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wmf" ContentType="image/x-wmf"/>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D677967">
      <w:pPr>
        <w:rPr>
          <w:color w:val="auto"/>
        </w:rPr>
      </w:pPr>
    </w:p>
    <w:p w14:paraId="6E74C445">
      <w:pPr>
        <w:rPr>
          <w:color w:val="auto"/>
          <w:sz w:val="36"/>
          <w:szCs w:val="36"/>
        </w:rPr>
      </w:pPr>
    </w:p>
    <w:p w14:paraId="5B0912C6">
      <w:pPr>
        <w:rPr>
          <w:color w:val="auto"/>
          <w:sz w:val="36"/>
          <w:szCs w:val="36"/>
        </w:rPr>
      </w:pPr>
    </w:p>
    <w:p w14:paraId="17F7DBAC">
      <w:pPr>
        <w:rPr>
          <w:color w:val="auto"/>
          <w:sz w:val="36"/>
          <w:szCs w:val="36"/>
        </w:rPr>
      </w:pPr>
    </w:p>
    <w:p w14:paraId="534C7285">
      <w:pPr>
        <w:adjustRightInd w:val="0"/>
        <w:snapToGrid w:val="0"/>
        <w:jc w:val="center"/>
        <w:rPr>
          <w:b/>
          <w:color w:val="auto"/>
          <w:sz w:val="72"/>
          <w:szCs w:val="72"/>
        </w:rPr>
      </w:pPr>
      <w:bookmarkStart w:id="0" w:name="_Toc25978"/>
      <w:bookmarkStart w:id="1" w:name="_Toc29582"/>
      <w:bookmarkStart w:id="2" w:name="_Toc66820353"/>
      <w:r>
        <w:rPr>
          <w:b/>
          <w:color w:val="auto"/>
          <w:sz w:val="72"/>
          <w:szCs w:val="72"/>
        </w:rPr>
        <w:t>建设项目环境影响报告表</w:t>
      </w:r>
      <w:bookmarkEnd w:id="0"/>
      <w:bookmarkEnd w:id="1"/>
      <w:bookmarkEnd w:id="2"/>
    </w:p>
    <w:p w14:paraId="1877C3FF">
      <w:pPr>
        <w:adjustRightInd w:val="0"/>
        <w:snapToGrid w:val="0"/>
        <w:spacing w:before="192" w:beforeLines="80"/>
        <w:jc w:val="center"/>
        <w:rPr>
          <w:b/>
          <w:color w:val="auto"/>
          <w:sz w:val="48"/>
          <w:szCs w:val="48"/>
        </w:rPr>
      </w:pPr>
      <w:r>
        <w:rPr>
          <w:b/>
          <w:color w:val="auto"/>
          <w:sz w:val="48"/>
          <w:szCs w:val="48"/>
        </w:rPr>
        <w:t>（污染影响类）</w:t>
      </w:r>
    </w:p>
    <w:p w14:paraId="07FB42D3">
      <w:pPr>
        <w:rPr>
          <w:color w:val="auto"/>
          <w:sz w:val="52"/>
          <w:szCs w:val="52"/>
        </w:rPr>
      </w:pPr>
    </w:p>
    <w:p w14:paraId="3137658F">
      <w:pPr>
        <w:rPr>
          <w:color w:val="auto"/>
          <w:sz w:val="52"/>
          <w:szCs w:val="52"/>
        </w:rPr>
      </w:pPr>
    </w:p>
    <w:p w14:paraId="01DAEA73">
      <w:pPr>
        <w:rPr>
          <w:color w:val="auto"/>
          <w:sz w:val="52"/>
          <w:szCs w:val="52"/>
        </w:rPr>
      </w:pPr>
    </w:p>
    <w:p w14:paraId="1028DEAB">
      <w:pPr>
        <w:rPr>
          <w:color w:val="auto"/>
          <w:sz w:val="52"/>
          <w:szCs w:val="52"/>
        </w:rPr>
      </w:pPr>
    </w:p>
    <w:p w14:paraId="086C5B1A">
      <w:pPr>
        <w:rPr>
          <w:color w:val="auto"/>
          <w:sz w:val="44"/>
          <w:szCs w:val="44"/>
        </w:rPr>
      </w:pPr>
    </w:p>
    <w:p w14:paraId="25EFD26D">
      <w:pPr>
        <w:spacing w:line="360" w:lineRule="auto"/>
        <w:rPr>
          <w:color w:val="auto"/>
        </w:rPr>
      </w:pPr>
    </w:p>
    <w:tbl>
      <w:tblPr>
        <w:tblStyle w:val="59"/>
        <w:tblW w:w="0" w:type="auto"/>
        <w:jc w:val="center"/>
        <w:tblLayout w:type="autofit"/>
        <w:tblCellMar>
          <w:top w:w="0" w:type="dxa"/>
          <w:left w:w="108" w:type="dxa"/>
          <w:bottom w:w="0" w:type="dxa"/>
          <w:right w:w="108" w:type="dxa"/>
        </w:tblCellMar>
      </w:tblPr>
      <w:tblGrid>
        <w:gridCol w:w="3219"/>
        <w:gridCol w:w="5841"/>
      </w:tblGrid>
      <w:tr w14:paraId="45201965">
        <w:trPr>
          <w:jc w:val="center"/>
        </w:trPr>
        <w:tc>
          <w:tcPr>
            <w:tcW w:w="3219" w:type="dxa"/>
            <w:shd w:val="clear" w:color="auto" w:fill="auto"/>
            <w:vAlign w:val="center"/>
          </w:tcPr>
          <w:p w14:paraId="64607486">
            <w:pPr>
              <w:adjustRightInd w:val="0"/>
              <w:snapToGrid w:val="0"/>
              <w:jc w:val="center"/>
              <w:rPr>
                <w:color w:val="auto"/>
                <w:sz w:val="36"/>
                <w:szCs w:val="36"/>
              </w:rPr>
            </w:pPr>
            <w:r>
              <w:rPr>
                <w:rFonts w:hint="eastAsia"/>
                <w:b/>
                <w:bCs/>
                <w:color w:val="auto"/>
                <w:sz w:val="36"/>
                <w:szCs w:val="36"/>
              </w:rPr>
              <w:t>项目名称：</w:t>
            </w:r>
          </w:p>
        </w:tc>
        <w:tc>
          <w:tcPr>
            <w:tcW w:w="5841" w:type="dxa"/>
            <w:tcBorders>
              <w:bottom w:val="single" w:color="auto" w:sz="4" w:space="0"/>
            </w:tcBorders>
            <w:shd w:val="clear" w:color="auto" w:fill="auto"/>
            <w:vAlign w:val="center"/>
          </w:tcPr>
          <w:p w14:paraId="00D1AD6C">
            <w:pPr>
              <w:adjustRightInd w:val="0"/>
              <w:snapToGrid w:val="0"/>
              <w:jc w:val="center"/>
              <w:rPr>
                <w:rFonts w:hint="eastAsia" w:eastAsia="宋体"/>
                <w:color w:val="auto"/>
                <w:sz w:val="32"/>
                <w:szCs w:val="32"/>
                <w:lang w:eastAsia="zh-CN"/>
              </w:rPr>
            </w:pPr>
            <w:r>
              <w:rPr>
                <w:rFonts w:hint="eastAsia"/>
                <w:color w:val="auto"/>
                <w:sz w:val="32"/>
                <w:szCs w:val="32"/>
                <w:lang w:eastAsia="zh-CN"/>
              </w:rPr>
              <w:t>新建年产1000件风电主轴，5000件风电轴承座和1000风电机架和轮毂项目</w:t>
            </w:r>
          </w:p>
        </w:tc>
      </w:tr>
      <w:tr w14:paraId="2EF98546">
        <w:tblPrEx>
          <w:tblCellMar>
            <w:top w:w="0" w:type="dxa"/>
            <w:left w:w="108" w:type="dxa"/>
            <w:bottom w:w="0" w:type="dxa"/>
            <w:right w:w="108" w:type="dxa"/>
          </w:tblCellMar>
        </w:tblPrEx>
        <w:trPr>
          <w:trHeight w:val="440" w:hRule="atLeast"/>
          <w:jc w:val="center"/>
        </w:trPr>
        <w:tc>
          <w:tcPr>
            <w:tcW w:w="3219" w:type="dxa"/>
            <w:shd w:val="clear" w:color="auto" w:fill="auto"/>
            <w:vAlign w:val="center"/>
          </w:tcPr>
          <w:p w14:paraId="390B9080">
            <w:pPr>
              <w:adjustRightInd w:val="0"/>
              <w:snapToGrid w:val="0"/>
              <w:jc w:val="center"/>
              <w:rPr>
                <w:color w:val="auto"/>
                <w:sz w:val="36"/>
                <w:szCs w:val="36"/>
              </w:rPr>
            </w:pPr>
            <w:r>
              <w:rPr>
                <w:b/>
                <w:bCs/>
                <w:color w:val="auto"/>
                <w:sz w:val="36"/>
                <w:szCs w:val="36"/>
              </w:rPr>
              <w:t>建设单位（盖章）</w:t>
            </w:r>
            <w:r>
              <w:rPr>
                <w:color w:val="auto"/>
                <w:sz w:val="36"/>
                <w:szCs w:val="36"/>
              </w:rPr>
              <w:t>：</w:t>
            </w:r>
          </w:p>
        </w:tc>
        <w:tc>
          <w:tcPr>
            <w:tcW w:w="5841" w:type="dxa"/>
            <w:tcBorders>
              <w:top w:val="single" w:color="auto" w:sz="4" w:space="0"/>
              <w:bottom w:val="single" w:color="auto" w:sz="4" w:space="0"/>
            </w:tcBorders>
            <w:shd w:val="clear" w:color="auto" w:fill="auto"/>
            <w:vAlign w:val="center"/>
          </w:tcPr>
          <w:p w14:paraId="70C26F7C">
            <w:pPr>
              <w:adjustRightInd w:val="0"/>
              <w:snapToGrid w:val="0"/>
              <w:jc w:val="center"/>
              <w:rPr>
                <w:rFonts w:hint="eastAsia" w:eastAsia="宋体"/>
                <w:color w:val="auto"/>
                <w:sz w:val="32"/>
                <w:szCs w:val="32"/>
                <w:lang w:eastAsia="zh-CN"/>
              </w:rPr>
            </w:pPr>
            <w:r>
              <w:rPr>
                <w:rFonts w:hint="eastAsia"/>
                <w:color w:val="auto"/>
                <w:sz w:val="32"/>
                <w:szCs w:val="32"/>
                <w:lang w:eastAsia="zh-CN"/>
              </w:rPr>
              <w:t>常州市永峰风能设备制造有限公司</w:t>
            </w:r>
          </w:p>
        </w:tc>
      </w:tr>
      <w:tr w14:paraId="7F9A53AA">
        <w:tblPrEx>
          <w:tblCellMar>
            <w:top w:w="0" w:type="dxa"/>
            <w:left w:w="108" w:type="dxa"/>
            <w:bottom w:w="0" w:type="dxa"/>
            <w:right w:w="108" w:type="dxa"/>
          </w:tblCellMar>
        </w:tblPrEx>
        <w:trPr>
          <w:jc w:val="center"/>
        </w:trPr>
        <w:tc>
          <w:tcPr>
            <w:tcW w:w="3219" w:type="dxa"/>
            <w:shd w:val="clear" w:color="auto" w:fill="auto"/>
            <w:vAlign w:val="center"/>
          </w:tcPr>
          <w:p w14:paraId="5EA7398D">
            <w:pPr>
              <w:adjustRightInd w:val="0"/>
              <w:snapToGrid w:val="0"/>
              <w:jc w:val="center"/>
              <w:rPr>
                <w:color w:val="auto"/>
                <w:sz w:val="36"/>
                <w:szCs w:val="36"/>
              </w:rPr>
            </w:pPr>
            <w:r>
              <w:rPr>
                <w:b/>
                <w:bCs/>
                <w:color w:val="auto"/>
                <w:sz w:val="36"/>
                <w:szCs w:val="36"/>
              </w:rPr>
              <w:t>编制日期</w:t>
            </w:r>
            <w:r>
              <w:rPr>
                <w:color w:val="auto"/>
                <w:sz w:val="36"/>
                <w:szCs w:val="36"/>
              </w:rPr>
              <w:t>：</w:t>
            </w:r>
          </w:p>
        </w:tc>
        <w:tc>
          <w:tcPr>
            <w:tcW w:w="5841" w:type="dxa"/>
            <w:tcBorders>
              <w:top w:val="single" w:color="auto" w:sz="4" w:space="0"/>
              <w:bottom w:val="single" w:color="auto" w:sz="4" w:space="0"/>
            </w:tcBorders>
            <w:shd w:val="clear" w:color="auto" w:fill="auto"/>
            <w:vAlign w:val="center"/>
          </w:tcPr>
          <w:p w14:paraId="371490E4">
            <w:pPr>
              <w:adjustRightInd w:val="0"/>
              <w:snapToGrid w:val="0"/>
              <w:jc w:val="center"/>
              <w:rPr>
                <w:color w:val="auto"/>
                <w:sz w:val="32"/>
                <w:szCs w:val="32"/>
              </w:rPr>
            </w:pPr>
            <w:r>
              <w:rPr>
                <w:rFonts w:hint="eastAsia"/>
                <w:color w:val="auto"/>
                <w:sz w:val="32"/>
                <w:szCs w:val="32"/>
              </w:rPr>
              <w:t>202</w:t>
            </w:r>
            <w:r>
              <w:rPr>
                <w:rFonts w:hint="eastAsia"/>
                <w:color w:val="auto"/>
                <w:sz w:val="32"/>
                <w:szCs w:val="32"/>
                <w:lang w:val="en-US" w:eastAsia="zh-CN"/>
              </w:rPr>
              <w:t>5</w:t>
            </w:r>
            <w:r>
              <w:rPr>
                <w:rFonts w:hint="eastAsia"/>
                <w:color w:val="auto"/>
                <w:sz w:val="32"/>
                <w:szCs w:val="32"/>
              </w:rPr>
              <w:t>年</w:t>
            </w:r>
            <w:r>
              <w:rPr>
                <w:rFonts w:hint="eastAsia"/>
                <w:color w:val="auto"/>
                <w:sz w:val="32"/>
                <w:szCs w:val="32"/>
                <w:lang w:val="en-US" w:eastAsia="zh-CN"/>
              </w:rPr>
              <w:t>6</w:t>
            </w:r>
            <w:r>
              <w:rPr>
                <w:rFonts w:hint="eastAsia"/>
                <w:color w:val="auto"/>
                <w:sz w:val="32"/>
                <w:szCs w:val="32"/>
              </w:rPr>
              <w:t>月</w:t>
            </w:r>
          </w:p>
        </w:tc>
      </w:tr>
    </w:tbl>
    <w:p w14:paraId="287F066E">
      <w:pPr>
        <w:adjustRightInd w:val="0"/>
        <w:snapToGrid w:val="0"/>
        <w:spacing w:line="360" w:lineRule="auto"/>
        <w:jc w:val="center"/>
        <w:rPr>
          <w:color w:val="auto"/>
          <w:sz w:val="36"/>
          <w:szCs w:val="36"/>
          <w:u w:val="single"/>
        </w:rPr>
      </w:pPr>
    </w:p>
    <w:p w14:paraId="17799682">
      <w:pPr>
        <w:adjustRightInd w:val="0"/>
        <w:snapToGrid w:val="0"/>
        <w:spacing w:line="288" w:lineRule="auto"/>
        <w:rPr>
          <w:color w:val="auto"/>
          <w:sz w:val="36"/>
          <w:szCs w:val="36"/>
          <w:u w:val="single"/>
        </w:rPr>
      </w:pPr>
    </w:p>
    <w:p w14:paraId="1247A432">
      <w:pPr>
        <w:adjustRightInd w:val="0"/>
        <w:snapToGrid w:val="0"/>
        <w:spacing w:line="288" w:lineRule="auto"/>
        <w:rPr>
          <w:color w:val="auto"/>
          <w:sz w:val="36"/>
          <w:szCs w:val="36"/>
        </w:rPr>
      </w:pPr>
    </w:p>
    <w:p w14:paraId="1EB6D056">
      <w:pPr>
        <w:adjustRightInd w:val="0"/>
        <w:snapToGrid w:val="0"/>
        <w:spacing w:line="288" w:lineRule="auto"/>
        <w:rPr>
          <w:color w:val="auto"/>
          <w:sz w:val="36"/>
          <w:szCs w:val="36"/>
        </w:rPr>
      </w:pPr>
    </w:p>
    <w:p w14:paraId="777549B8">
      <w:pPr>
        <w:adjustRightInd w:val="0"/>
        <w:snapToGrid w:val="0"/>
        <w:spacing w:line="288" w:lineRule="auto"/>
        <w:rPr>
          <w:color w:val="auto"/>
          <w:sz w:val="36"/>
          <w:szCs w:val="36"/>
        </w:rPr>
      </w:pPr>
    </w:p>
    <w:p w14:paraId="3E29E0B7">
      <w:pPr>
        <w:adjustRightInd w:val="0"/>
        <w:snapToGrid w:val="0"/>
        <w:spacing w:line="288" w:lineRule="auto"/>
        <w:rPr>
          <w:color w:val="auto"/>
          <w:sz w:val="36"/>
          <w:szCs w:val="36"/>
        </w:rPr>
      </w:pPr>
    </w:p>
    <w:p w14:paraId="56CE530F">
      <w:pPr>
        <w:adjustRightInd w:val="0"/>
        <w:snapToGrid w:val="0"/>
        <w:spacing w:line="360" w:lineRule="auto"/>
        <w:jc w:val="center"/>
        <w:rPr>
          <w:rFonts w:ascii="Times New Roman" w:hAnsi="Times New Roman" w:eastAsia="宋体" w:cs="Times New Roman"/>
          <w:b/>
          <w:bCs/>
          <w:color w:val="auto"/>
          <w:sz w:val="36"/>
          <w:szCs w:val="36"/>
        </w:rPr>
      </w:pPr>
      <w:bookmarkStart w:id="3" w:name="_Toc10649"/>
      <w:r>
        <w:rPr>
          <w:rFonts w:ascii="Times New Roman" w:hAnsi="Times New Roman" w:eastAsia="宋体" w:cs="Times New Roman"/>
          <w:b/>
          <w:bCs/>
          <w:color w:val="auto"/>
          <w:sz w:val="36"/>
          <w:szCs w:val="36"/>
        </w:rPr>
        <w:t>中华人民共和国生态环境部制</w:t>
      </w:r>
      <w:bookmarkEnd w:id="3"/>
    </w:p>
    <w:p w14:paraId="6050227B">
      <w:pPr>
        <w:adjustRightInd w:val="0"/>
        <w:snapToGrid w:val="0"/>
        <w:spacing w:line="288" w:lineRule="auto"/>
        <w:rPr>
          <w:color w:val="auto"/>
          <w:sz w:val="24"/>
        </w:rPr>
      </w:pPr>
    </w:p>
    <w:p w14:paraId="3DB7786B">
      <w:pPr>
        <w:adjustRightInd w:val="0"/>
        <w:snapToGrid w:val="0"/>
        <w:spacing w:line="288" w:lineRule="auto"/>
        <w:rPr>
          <w:color w:val="auto"/>
          <w:sz w:val="24"/>
        </w:rPr>
      </w:pPr>
    </w:p>
    <w:p w14:paraId="22F85FF6">
      <w:pPr>
        <w:pStyle w:val="23"/>
        <w:outlineLvl w:val="9"/>
        <w:rPr>
          <w:color w:val="auto"/>
        </w:rPr>
      </w:pPr>
    </w:p>
    <w:p w14:paraId="3C29C12A">
      <w:pPr>
        <w:rPr>
          <w:color w:val="auto"/>
          <w:sz w:val="24"/>
          <w:szCs w:val="24"/>
        </w:rPr>
      </w:pPr>
    </w:p>
    <w:p w14:paraId="01259E4C">
      <w:pPr>
        <w:pStyle w:val="23"/>
        <w:jc w:val="center"/>
        <w:outlineLvl w:val="9"/>
        <w:rPr>
          <w:rFonts w:hint="eastAsia" w:eastAsia="宋体"/>
          <w:color w:val="auto"/>
          <w:lang w:eastAsia="zh-CN"/>
        </w:rPr>
      </w:pPr>
      <w:bookmarkStart w:id="39" w:name="_GoBack"/>
      <w:r>
        <w:rPr>
          <w:rFonts w:hint="eastAsia" w:eastAsia="宋体"/>
          <w:color w:val="auto"/>
          <w:lang w:eastAsia="zh-CN"/>
        </w:rPr>
        <w:drawing>
          <wp:inline distT="0" distB="0" distL="114300" distR="114300">
            <wp:extent cx="5612765" cy="7936230"/>
            <wp:effectExtent l="0" t="0" r="10795" b="3810"/>
            <wp:docPr id="1" name="图片 1" descr="1、封面+资质+证书+社保+营业执照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封面+资质+证书+社保+营业执照_02"/>
                    <pic:cNvPicPr>
                      <a:picLocks noChangeAspect="1"/>
                    </pic:cNvPicPr>
                  </pic:nvPicPr>
                  <pic:blipFill>
                    <a:blip r:embed="rId8"/>
                    <a:stretch>
                      <a:fillRect/>
                    </a:stretch>
                  </pic:blipFill>
                  <pic:spPr>
                    <a:xfrm>
                      <a:off x="0" y="0"/>
                      <a:ext cx="5612765" cy="7936230"/>
                    </a:xfrm>
                    <a:prstGeom prst="rect">
                      <a:avLst/>
                    </a:prstGeom>
                  </pic:spPr>
                </pic:pic>
              </a:graphicData>
            </a:graphic>
          </wp:inline>
        </w:drawing>
      </w:r>
      <w:bookmarkEnd w:id="39"/>
    </w:p>
    <w:p w14:paraId="3D663898">
      <w:pPr>
        <w:rPr>
          <w:color w:val="auto"/>
        </w:rPr>
      </w:pPr>
      <w:r>
        <w:rPr>
          <w:color w:val="auto"/>
        </w:rPr>
        <w:br w:type="page"/>
      </w:r>
    </w:p>
    <w:p w14:paraId="11A7E449">
      <w:pPr>
        <w:pStyle w:val="23"/>
        <w:jc w:val="center"/>
        <w:outlineLvl w:val="9"/>
        <w:rPr>
          <w:rFonts w:ascii="宋体" w:hAnsi="宋体"/>
          <w:b/>
          <w:bCs/>
          <w:color w:val="auto"/>
          <w:sz w:val="24"/>
          <w:szCs w:val="24"/>
          <w:lang w:val="zh-CN"/>
        </w:rPr>
      </w:pPr>
      <w:r>
        <w:rPr>
          <w:rFonts w:hint="eastAsia" w:ascii="宋体" w:hAnsi="宋体"/>
          <w:b/>
          <w:color w:val="auto"/>
          <w:sz w:val="32"/>
          <w:szCs w:val="24"/>
        </w:rPr>
        <w:t>目录</w:t>
      </w:r>
      <w:r>
        <w:rPr>
          <w:rFonts w:ascii="宋体" w:hAnsi="宋体"/>
          <w:b/>
          <w:bCs/>
          <w:color w:val="auto"/>
          <w:lang w:val="zh-CN"/>
        </w:rPr>
        <w:fldChar w:fldCharType="begin"/>
      </w:r>
      <w:r>
        <w:rPr>
          <w:rFonts w:ascii="宋体" w:hAnsi="宋体"/>
          <w:b/>
          <w:bCs/>
          <w:color w:val="auto"/>
          <w:lang w:val="zh-CN"/>
        </w:rPr>
        <w:instrText xml:space="preserve"> TOC \o "1-3" \h \z \u </w:instrText>
      </w:r>
      <w:r>
        <w:rPr>
          <w:rFonts w:ascii="宋体" w:hAnsi="宋体"/>
          <w:b/>
          <w:bCs/>
          <w:color w:val="auto"/>
          <w:lang w:val="zh-CN"/>
        </w:rPr>
        <w:fldChar w:fldCharType="separate"/>
      </w:r>
    </w:p>
    <w:p w14:paraId="505FDE6A">
      <w:pPr>
        <w:pStyle w:val="40"/>
        <w:tabs>
          <w:tab w:val="right" w:leader="dot" w:pos="8844"/>
          <w:tab w:val="clear" w:pos="8296"/>
        </w:tabs>
        <w:rPr>
          <w:color w:val="auto"/>
          <w:sz w:val="24"/>
          <w:szCs w:val="24"/>
        </w:rPr>
      </w:pPr>
      <w:r>
        <w:rPr>
          <w:color w:val="auto"/>
        </w:rPr>
        <w:fldChar w:fldCharType="begin"/>
      </w:r>
      <w:r>
        <w:rPr>
          <w:color w:val="auto"/>
        </w:rPr>
        <w:instrText xml:space="preserve"> HYPERLINK \l "_Toc14737" </w:instrText>
      </w:r>
      <w:r>
        <w:rPr>
          <w:color w:val="auto"/>
        </w:rPr>
        <w:fldChar w:fldCharType="separate"/>
      </w:r>
      <w:r>
        <w:rPr>
          <w:color w:val="auto"/>
          <w:sz w:val="24"/>
          <w:szCs w:val="24"/>
        </w:rPr>
        <w:t>一、建设项目基本情况</w:t>
      </w:r>
      <w:r>
        <w:rPr>
          <w:color w:val="auto"/>
          <w:sz w:val="24"/>
          <w:szCs w:val="24"/>
        </w:rPr>
        <w:tab/>
      </w:r>
      <w:r>
        <w:rPr>
          <w:color w:val="auto"/>
          <w:sz w:val="24"/>
          <w:szCs w:val="24"/>
        </w:rPr>
        <w:fldChar w:fldCharType="begin"/>
      </w:r>
      <w:r>
        <w:rPr>
          <w:color w:val="auto"/>
          <w:sz w:val="24"/>
          <w:szCs w:val="24"/>
        </w:rPr>
        <w:instrText xml:space="preserve"> PAGEREF _Toc14737 \h </w:instrText>
      </w:r>
      <w:r>
        <w:rPr>
          <w:color w:val="auto"/>
          <w:sz w:val="24"/>
          <w:szCs w:val="24"/>
        </w:rPr>
        <w:fldChar w:fldCharType="separate"/>
      </w:r>
      <w:r>
        <w:rPr>
          <w:color w:val="auto"/>
          <w:sz w:val="24"/>
          <w:szCs w:val="24"/>
        </w:rPr>
        <w:t>1</w:t>
      </w:r>
      <w:r>
        <w:rPr>
          <w:color w:val="auto"/>
          <w:sz w:val="24"/>
          <w:szCs w:val="24"/>
        </w:rPr>
        <w:fldChar w:fldCharType="end"/>
      </w:r>
      <w:r>
        <w:rPr>
          <w:color w:val="auto"/>
          <w:sz w:val="24"/>
          <w:szCs w:val="24"/>
        </w:rPr>
        <w:fldChar w:fldCharType="end"/>
      </w:r>
    </w:p>
    <w:p w14:paraId="664A7A15">
      <w:pPr>
        <w:pStyle w:val="40"/>
        <w:tabs>
          <w:tab w:val="right" w:leader="dot" w:pos="8844"/>
          <w:tab w:val="clear" w:pos="8296"/>
        </w:tabs>
        <w:rPr>
          <w:color w:val="auto"/>
          <w:sz w:val="24"/>
          <w:szCs w:val="24"/>
        </w:rPr>
      </w:pPr>
      <w:r>
        <w:rPr>
          <w:color w:val="auto"/>
        </w:rPr>
        <w:fldChar w:fldCharType="begin"/>
      </w:r>
      <w:r>
        <w:rPr>
          <w:color w:val="auto"/>
        </w:rPr>
        <w:instrText xml:space="preserve"> HYPERLINK \l "_Toc14795" </w:instrText>
      </w:r>
      <w:r>
        <w:rPr>
          <w:color w:val="auto"/>
        </w:rPr>
        <w:fldChar w:fldCharType="separate"/>
      </w:r>
      <w:r>
        <w:rPr>
          <w:color w:val="auto"/>
          <w:sz w:val="24"/>
          <w:szCs w:val="24"/>
        </w:rPr>
        <w:t>二、建设项目工程分析</w:t>
      </w:r>
      <w:r>
        <w:rPr>
          <w:color w:val="auto"/>
          <w:sz w:val="24"/>
          <w:szCs w:val="24"/>
        </w:rPr>
        <w:tab/>
      </w:r>
      <w:r>
        <w:rPr>
          <w:color w:val="auto"/>
          <w:sz w:val="24"/>
          <w:szCs w:val="24"/>
        </w:rPr>
        <w:fldChar w:fldCharType="begin"/>
      </w:r>
      <w:r>
        <w:rPr>
          <w:color w:val="auto"/>
          <w:sz w:val="24"/>
          <w:szCs w:val="24"/>
        </w:rPr>
        <w:instrText xml:space="preserve"> PAGEREF _Toc14795 \h </w:instrText>
      </w:r>
      <w:r>
        <w:rPr>
          <w:color w:val="auto"/>
          <w:sz w:val="24"/>
          <w:szCs w:val="24"/>
        </w:rPr>
        <w:fldChar w:fldCharType="separate"/>
      </w:r>
      <w:r>
        <w:rPr>
          <w:color w:val="auto"/>
          <w:sz w:val="24"/>
          <w:szCs w:val="24"/>
        </w:rPr>
        <w:t>24</w:t>
      </w:r>
      <w:r>
        <w:rPr>
          <w:color w:val="auto"/>
          <w:sz w:val="24"/>
          <w:szCs w:val="24"/>
        </w:rPr>
        <w:fldChar w:fldCharType="end"/>
      </w:r>
      <w:r>
        <w:rPr>
          <w:color w:val="auto"/>
          <w:sz w:val="24"/>
          <w:szCs w:val="24"/>
        </w:rPr>
        <w:fldChar w:fldCharType="end"/>
      </w:r>
    </w:p>
    <w:p w14:paraId="2754A9DA">
      <w:pPr>
        <w:pStyle w:val="40"/>
        <w:tabs>
          <w:tab w:val="right" w:leader="dot" w:pos="8844"/>
          <w:tab w:val="clear" w:pos="8296"/>
        </w:tabs>
        <w:rPr>
          <w:color w:val="auto"/>
          <w:sz w:val="24"/>
          <w:szCs w:val="24"/>
        </w:rPr>
      </w:pPr>
      <w:r>
        <w:rPr>
          <w:color w:val="auto"/>
        </w:rPr>
        <w:fldChar w:fldCharType="begin"/>
      </w:r>
      <w:r>
        <w:rPr>
          <w:color w:val="auto"/>
        </w:rPr>
        <w:instrText xml:space="preserve"> HYPERLINK \l "_Toc21144" </w:instrText>
      </w:r>
      <w:r>
        <w:rPr>
          <w:color w:val="auto"/>
        </w:rPr>
        <w:fldChar w:fldCharType="separate"/>
      </w:r>
      <w:r>
        <w:rPr>
          <w:color w:val="auto"/>
          <w:sz w:val="24"/>
          <w:szCs w:val="24"/>
        </w:rPr>
        <w:t>三、区域环境质量现状、环境保护目标及评价标准</w:t>
      </w:r>
      <w:r>
        <w:rPr>
          <w:color w:val="auto"/>
          <w:sz w:val="24"/>
          <w:szCs w:val="24"/>
        </w:rPr>
        <w:tab/>
      </w:r>
      <w:r>
        <w:rPr>
          <w:color w:val="auto"/>
          <w:sz w:val="24"/>
          <w:szCs w:val="24"/>
        </w:rPr>
        <w:fldChar w:fldCharType="begin"/>
      </w:r>
      <w:r>
        <w:rPr>
          <w:color w:val="auto"/>
          <w:sz w:val="24"/>
          <w:szCs w:val="24"/>
        </w:rPr>
        <w:instrText xml:space="preserve"> PAGEREF _Toc21144 \h </w:instrText>
      </w:r>
      <w:r>
        <w:rPr>
          <w:color w:val="auto"/>
          <w:sz w:val="24"/>
          <w:szCs w:val="24"/>
        </w:rPr>
        <w:fldChar w:fldCharType="separate"/>
      </w:r>
      <w:r>
        <w:rPr>
          <w:color w:val="auto"/>
          <w:sz w:val="24"/>
          <w:szCs w:val="24"/>
        </w:rPr>
        <w:t>36</w:t>
      </w:r>
      <w:r>
        <w:rPr>
          <w:color w:val="auto"/>
          <w:sz w:val="24"/>
          <w:szCs w:val="24"/>
        </w:rPr>
        <w:fldChar w:fldCharType="end"/>
      </w:r>
      <w:r>
        <w:rPr>
          <w:color w:val="auto"/>
          <w:sz w:val="24"/>
          <w:szCs w:val="24"/>
        </w:rPr>
        <w:fldChar w:fldCharType="end"/>
      </w:r>
    </w:p>
    <w:p w14:paraId="158CD665">
      <w:pPr>
        <w:pStyle w:val="40"/>
        <w:tabs>
          <w:tab w:val="right" w:leader="dot" w:pos="8844"/>
          <w:tab w:val="clear" w:pos="8296"/>
        </w:tabs>
        <w:rPr>
          <w:color w:val="auto"/>
          <w:sz w:val="24"/>
          <w:szCs w:val="24"/>
        </w:rPr>
      </w:pPr>
      <w:r>
        <w:rPr>
          <w:color w:val="auto"/>
        </w:rPr>
        <w:fldChar w:fldCharType="begin"/>
      </w:r>
      <w:r>
        <w:rPr>
          <w:color w:val="auto"/>
        </w:rPr>
        <w:instrText xml:space="preserve"> HYPERLINK \l "_Toc9736" </w:instrText>
      </w:r>
      <w:r>
        <w:rPr>
          <w:color w:val="auto"/>
        </w:rPr>
        <w:fldChar w:fldCharType="separate"/>
      </w:r>
      <w:r>
        <w:rPr>
          <w:color w:val="auto"/>
          <w:sz w:val="24"/>
          <w:szCs w:val="24"/>
        </w:rPr>
        <w:t>四、主要环境影响和保护措施</w:t>
      </w:r>
      <w:r>
        <w:rPr>
          <w:color w:val="auto"/>
          <w:sz w:val="24"/>
          <w:szCs w:val="24"/>
        </w:rPr>
        <w:tab/>
      </w:r>
      <w:r>
        <w:rPr>
          <w:color w:val="auto"/>
          <w:sz w:val="24"/>
          <w:szCs w:val="24"/>
        </w:rPr>
        <w:fldChar w:fldCharType="begin"/>
      </w:r>
      <w:r>
        <w:rPr>
          <w:color w:val="auto"/>
          <w:sz w:val="24"/>
          <w:szCs w:val="24"/>
        </w:rPr>
        <w:instrText xml:space="preserve"> PAGEREF _Toc9736 \h </w:instrText>
      </w:r>
      <w:r>
        <w:rPr>
          <w:color w:val="auto"/>
          <w:sz w:val="24"/>
          <w:szCs w:val="24"/>
        </w:rPr>
        <w:fldChar w:fldCharType="separate"/>
      </w:r>
      <w:r>
        <w:rPr>
          <w:color w:val="auto"/>
          <w:sz w:val="24"/>
          <w:szCs w:val="24"/>
        </w:rPr>
        <w:t>44</w:t>
      </w:r>
      <w:r>
        <w:rPr>
          <w:color w:val="auto"/>
          <w:sz w:val="24"/>
          <w:szCs w:val="24"/>
        </w:rPr>
        <w:fldChar w:fldCharType="end"/>
      </w:r>
      <w:r>
        <w:rPr>
          <w:color w:val="auto"/>
          <w:sz w:val="24"/>
          <w:szCs w:val="24"/>
        </w:rPr>
        <w:fldChar w:fldCharType="end"/>
      </w:r>
    </w:p>
    <w:p w14:paraId="11FCF1A6">
      <w:pPr>
        <w:pStyle w:val="40"/>
        <w:tabs>
          <w:tab w:val="right" w:leader="dot" w:pos="8844"/>
          <w:tab w:val="clear" w:pos="8296"/>
        </w:tabs>
        <w:rPr>
          <w:color w:val="auto"/>
          <w:sz w:val="24"/>
          <w:szCs w:val="24"/>
        </w:rPr>
      </w:pPr>
      <w:r>
        <w:rPr>
          <w:color w:val="auto"/>
        </w:rPr>
        <w:fldChar w:fldCharType="begin"/>
      </w:r>
      <w:r>
        <w:rPr>
          <w:color w:val="auto"/>
        </w:rPr>
        <w:instrText xml:space="preserve"> HYPERLINK \l "_Toc21167" </w:instrText>
      </w:r>
      <w:r>
        <w:rPr>
          <w:color w:val="auto"/>
        </w:rPr>
        <w:fldChar w:fldCharType="separate"/>
      </w:r>
      <w:r>
        <w:rPr>
          <w:color w:val="auto"/>
          <w:sz w:val="24"/>
          <w:szCs w:val="24"/>
        </w:rPr>
        <w:t>五、环境保护措施监督检查清单</w:t>
      </w:r>
      <w:r>
        <w:rPr>
          <w:color w:val="auto"/>
          <w:sz w:val="24"/>
          <w:szCs w:val="24"/>
        </w:rPr>
        <w:tab/>
      </w:r>
      <w:r>
        <w:rPr>
          <w:color w:val="auto"/>
          <w:sz w:val="24"/>
          <w:szCs w:val="24"/>
        </w:rPr>
        <w:fldChar w:fldCharType="begin"/>
      </w:r>
      <w:r>
        <w:rPr>
          <w:color w:val="auto"/>
          <w:sz w:val="24"/>
          <w:szCs w:val="24"/>
        </w:rPr>
        <w:instrText xml:space="preserve"> PAGEREF _Toc21167 \h </w:instrText>
      </w:r>
      <w:r>
        <w:rPr>
          <w:color w:val="auto"/>
          <w:sz w:val="24"/>
          <w:szCs w:val="24"/>
        </w:rPr>
        <w:fldChar w:fldCharType="separate"/>
      </w:r>
      <w:r>
        <w:rPr>
          <w:color w:val="auto"/>
          <w:sz w:val="24"/>
          <w:szCs w:val="24"/>
        </w:rPr>
        <w:t>78</w:t>
      </w:r>
      <w:r>
        <w:rPr>
          <w:color w:val="auto"/>
          <w:sz w:val="24"/>
          <w:szCs w:val="24"/>
        </w:rPr>
        <w:fldChar w:fldCharType="end"/>
      </w:r>
      <w:r>
        <w:rPr>
          <w:color w:val="auto"/>
          <w:sz w:val="24"/>
          <w:szCs w:val="24"/>
        </w:rPr>
        <w:fldChar w:fldCharType="end"/>
      </w:r>
    </w:p>
    <w:p w14:paraId="67EEF151">
      <w:pPr>
        <w:pStyle w:val="40"/>
        <w:tabs>
          <w:tab w:val="right" w:leader="dot" w:pos="8844"/>
          <w:tab w:val="clear" w:pos="8296"/>
        </w:tabs>
        <w:rPr>
          <w:color w:val="auto"/>
          <w:sz w:val="24"/>
          <w:szCs w:val="24"/>
        </w:rPr>
      </w:pPr>
      <w:r>
        <w:rPr>
          <w:color w:val="auto"/>
        </w:rPr>
        <w:fldChar w:fldCharType="begin"/>
      </w:r>
      <w:r>
        <w:rPr>
          <w:color w:val="auto"/>
        </w:rPr>
        <w:instrText xml:space="preserve"> HYPERLINK \l "_Toc689" </w:instrText>
      </w:r>
      <w:r>
        <w:rPr>
          <w:color w:val="auto"/>
        </w:rPr>
        <w:fldChar w:fldCharType="separate"/>
      </w:r>
      <w:r>
        <w:rPr>
          <w:color w:val="auto"/>
          <w:sz w:val="24"/>
          <w:szCs w:val="24"/>
        </w:rPr>
        <w:t>六、结论</w:t>
      </w:r>
      <w:r>
        <w:rPr>
          <w:color w:val="auto"/>
          <w:sz w:val="24"/>
          <w:szCs w:val="24"/>
        </w:rPr>
        <w:tab/>
      </w:r>
      <w:r>
        <w:rPr>
          <w:color w:val="auto"/>
          <w:sz w:val="24"/>
          <w:szCs w:val="24"/>
        </w:rPr>
        <w:fldChar w:fldCharType="begin"/>
      </w:r>
      <w:r>
        <w:rPr>
          <w:color w:val="auto"/>
          <w:sz w:val="24"/>
          <w:szCs w:val="24"/>
        </w:rPr>
        <w:instrText xml:space="preserve"> PAGEREF _Toc689 \h </w:instrText>
      </w:r>
      <w:r>
        <w:rPr>
          <w:color w:val="auto"/>
          <w:sz w:val="24"/>
          <w:szCs w:val="24"/>
        </w:rPr>
        <w:fldChar w:fldCharType="separate"/>
      </w:r>
      <w:r>
        <w:rPr>
          <w:color w:val="auto"/>
          <w:sz w:val="24"/>
          <w:szCs w:val="24"/>
        </w:rPr>
        <w:t>80</w:t>
      </w:r>
      <w:r>
        <w:rPr>
          <w:color w:val="auto"/>
          <w:sz w:val="24"/>
          <w:szCs w:val="24"/>
        </w:rPr>
        <w:fldChar w:fldCharType="end"/>
      </w:r>
      <w:r>
        <w:rPr>
          <w:color w:val="auto"/>
          <w:sz w:val="24"/>
          <w:szCs w:val="24"/>
        </w:rPr>
        <w:fldChar w:fldCharType="end"/>
      </w:r>
    </w:p>
    <w:p w14:paraId="0E5B7DFA">
      <w:pPr>
        <w:pStyle w:val="677"/>
        <w:tabs>
          <w:tab w:val="right" w:leader="dot" w:pos="8844"/>
        </w:tabs>
        <w:adjustRightInd w:val="0"/>
        <w:snapToGrid w:val="0"/>
        <w:spacing w:line="360" w:lineRule="auto"/>
        <w:jc w:val="both"/>
        <w:rPr>
          <w:color w:val="auto"/>
        </w:rPr>
      </w:pPr>
      <w:r>
        <w:rPr>
          <w:rFonts w:ascii="宋体" w:hAnsi="宋体"/>
          <w:b/>
          <w:bCs/>
          <w:color w:val="auto"/>
          <w:sz w:val="24"/>
          <w:szCs w:val="24"/>
          <w:lang w:val="zh-CN"/>
        </w:rPr>
        <w:fldChar w:fldCharType="end"/>
      </w:r>
    </w:p>
    <w:p w14:paraId="3568AC9F">
      <w:pPr>
        <w:pStyle w:val="72"/>
        <w:rPr>
          <w:color w:val="auto"/>
        </w:rPr>
        <w:sectPr>
          <w:footerReference r:id="rId3" w:type="default"/>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p>
    <w:p w14:paraId="6537F9BA">
      <w:pPr>
        <w:pStyle w:val="72"/>
        <w:rPr>
          <w:color w:val="auto"/>
        </w:rPr>
        <w:sectPr>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p>
    <w:p w14:paraId="31F81151">
      <w:pPr>
        <w:pStyle w:val="55"/>
        <w:rPr>
          <w:color w:val="auto"/>
        </w:rPr>
      </w:pPr>
      <w:bookmarkStart w:id="4" w:name="_Toc137559019"/>
      <w:bookmarkStart w:id="5" w:name="_Toc3053"/>
      <w:bookmarkStart w:id="6" w:name="_Toc14737"/>
      <w:r>
        <w:rPr>
          <w:color w:val="auto"/>
        </w:rPr>
        <w:t>一、建设项目基本情况</w:t>
      </w:r>
      <w:bookmarkEnd w:id="4"/>
      <w:bookmarkEnd w:id="5"/>
      <w:bookmarkEnd w:id="6"/>
    </w:p>
    <w:tbl>
      <w:tblPr>
        <w:tblStyle w:val="59"/>
        <w:tblW w:w="4987"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705"/>
        <w:gridCol w:w="369"/>
        <w:gridCol w:w="1722"/>
        <w:gridCol w:w="2212"/>
        <w:gridCol w:w="4064"/>
      </w:tblGrid>
      <w:tr w14:paraId="5F03E02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38" w:hRule="atLeast"/>
          <w:jc w:val="center"/>
        </w:trPr>
        <w:tc>
          <w:tcPr>
            <w:tcW w:w="591" w:type="pct"/>
            <w:gridSpan w:val="2"/>
            <w:tcBorders>
              <w:bottom w:val="single" w:color="auto" w:sz="8" w:space="0"/>
              <w:right w:val="single" w:color="auto" w:sz="8" w:space="0"/>
            </w:tcBorders>
            <w:tcMar>
              <w:top w:w="16" w:type="dxa"/>
              <w:left w:w="16" w:type="dxa"/>
              <w:right w:w="16" w:type="dxa"/>
            </w:tcMar>
            <w:vAlign w:val="center"/>
          </w:tcPr>
          <w:p w14:paraId="629E4ED2">
            <w:pPr>
              <w:overflowPunct w:val="0"/>
              <w:adjustRightInd w:val="0"/>
              <w:snapToGrid w:val="0"/>
              <w:jc w:val="center"/>
              <w:rPr>
                <w:b/>
                <w:color w:val="auto"/>
              </w:rPr>
            </w:pPr>
            <w:r>
              <w:rPr>
                <w:b/>
                <w:color w:val="auto"/>
              </w:rPr>
              <w:t>建设项目名称</w:t>
            </w:r>
          </w:p>
        </w:tc>
        <w:tc>
          <w:tcPr>
            <w:tcW w:w="4408" w:type="pct"/>
            <w:gridSpan w:val="3"/>
            <w:tcBorders>
              <w:left w:val="single" w:color="auto" w:sz="8" w:space="0"/>
              <w:bottom w:val="single" w:color="auto" w:sz="8" w:space="0"/>
            </w:tcBorders>
            <w:vAlign w:val="center"/>
          </w:tcPr>
          <w:p w14:paraId="00D9FD0B">
            <w:pPr>
              <w:widowControl/>
              <w:adjustRightInd w:val="0"/>
              <w:snapToGrid w:val="0"/>
              <w:jc w:val="center"/>
              <w:rPr>
                <w:rFonts w:hint="eastAsia" w:eastAsia="宋体"/>
                <w:color w:val="auto"/>
                <w:lang w:eastAsia="zh-CN"/>
              </w:rPr>
            </w:pPr>
            <w:r>
              <w:rPr>
                <w:rFonts w:hint="eastAsia" w:cs="新宋体"/>
                <w:color w:val="auto"/>
                <w:kern w:val="0"/>
                <w:lang w:eastAsia="zh-CN" w:bidi="ar"/>
              </w:rPr>
              <w:t>新建年产1000件风电主轴，5000件风电轴承座和1000风电机架和轮毂项目</w:t>
            </w:r>
          </w:p>
        </w:tc>
      </w:tr>
      <w:tr w14:paraId="1BCBA9D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38" w:hRule="atLeast"/>
          <w:jc w:val="center"/>
        </w:trPr>
        <w:tc>
          <w:tcPr>
            <w:tcW w:w="591" w:type="pct"/>
            <w:gridSpan w:val="2"/>
            <w:tcBorders>
              <w:top w:val="single" w:color="auto" w:sz="8" w:space="0"/>
              <w:bottom w:val="single" w:color="auto" w:sz="8" w:space="0"/>
              <w:right w:val="single" w:color="auto" w:sz="8" w:space="0"/>
            </w:tcBorders>
            <w:tcMar>
              <w:top w:w="16" w:type="dxa"/>
              <w:left w:w="16" w:type="dxa"/>
              <w:right w:w="16" w:type="dxa"/>
            </w:tcMar>
            <w:vAlign w:val="center"/>
          </w:tcPr>
          <w:p w14:paraId="33B906DF">
            <w:pPr>
              <w:overflowPunct w:val="0"/>
              <w:adjustRightInd w:val="0"/>
              <w:snapToGrid w:val="0"/>
              <w:jc w:val="center"/>
              <w:rPr>
                <w:b/>
                <w:color w:val="auto"/>
              </w:rPr>
            </w:pPr>
            <w:r>
              <w:rPr>
                <w:b/>
                <w:color w:val="auto"/>
              </w:rPr>
              <w:t>项目代码</w:t>
            </w:r>
          </w:p>
        </w:tc>
        <w:tc>
          <w:tcPr>
            <w:tcW w:w="4408" w:type="pct"/>
            <w:gridSpan w:val="3"/>
            <w:tcBorders>
              <w:top w:val="single" w:color="auto" w:sz="8" w:space="0"/>
              <w:left w:val="single" w:color="auto" w:sz="8" w:space="0"/>
              <w:bottom w:val="single" w:color="auto" w:sz="8" w:space="0"/>
            </w:tcBorders>
            <w:vAlign w:val="center"/>
          </w:tcPr>
          <w:p w14:paraId="5DAD695C">
            <w:pPr>
              <w:overflowPunct w:val="0"/>
              <w:adjustRightInd w:val="0"/>
              <w:snapToGrid w:val="0"/>
              <w:jc w:val="center"/>
              <w:rPr>
                <w:rFonts w:hint="eastAsia" w:eastAsia="宋体"/>
                <w:color w:val="auto"/>
                <w:lang w:eastAsia="zh-CN"/>
              </w:rPr>
            </w:pPr>
            <w:r>
              <w:rPr>
                <w:rFonts w:hint="eastAsia"/>
                <w:color w:val="auto"/>
                <w:lang w:eastAsia="zh-CN"/>
              </w:rPr>
              <w:t>2502-320413-04-01-538132</w:t>
            </w:r>
          </w:p>
        </w:tc>
      </w:tr>
      <w:tr w14:paraId="21C392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591" w:type="pct"/>
            <w:gridSpan w:val="2"/>
            <w:tcBorders>
              <w:top w:val="single" w:color="auto" w:sz="8" w:space="0"/>
              <w:bottom w:val="single" w:color="auto" w:sz="8" w:space="0"/>
              <w:right w:val="single" w:color="auto" w:sz="8" w:space="0"/>
            </w:tcBorders>
            <w:tcMar>
              <w:top w:w="16" w:type="dxa"/>
              <w:left w:w="16" w:type="dxa"/>
              <w:right w:w="16" w:type="dxa"/>
            </w:tcMar>
            <w:vAlign w:val="center"/>
          </w:tcPr>
          <w:p w14:paraId="47328ABA">
            <w:pPr>
              <w:overflowPunct w:val="0"/>
              <w:adjustRightInd w:val="0"/>
              <w:snapToGrid w:val="0"/>
              <w:jc w:val="center"/>
              <w:rPr>
                <w:b/>
                <w:color w:val="auto"/>
              </w:rPr>
            </w:pPr>
            <w:r>
              <w:rPr>
                <w:b/>
                <w:color w:val="auto"/>
              </w:rPr>
              <w:t>建设单位联系人</w:t>
            </w:r>
          </w:p>
        </w:tc>
        <w:tc>
          <w:tcPr>
            <w:tcW w:w="949" w:type="pct"/>
            <w:tcBorders>
              <w:top w:val="single" w:color="auto" w:sz="8" w:space="0"/>
              <w:left w:val="single" w:color="auto" w:sz="8" w:space="0"/>
              <w:bottom w:val="single" w:color="auto" w:sz="8" w:space="0"/>
              <w:right w:val="single" w:color="auto" w:sz="8" w:space="0"/>
            </w:tcBorders>
            <w:vAlign w:val="center"/>
          </w:tcPr>
          <w:p w14:paraId="5FA6032E">
            <w:pPr>
              <w:overflowPunct w:val="0"/>
              <w:adjustRightInd w:val="0"/>
              <w:snapToGrid w:val="0"/>
              <w:jc w:val="center"/>
              <w:rPr>
                <w:rFonts w:hint="eastAsia" w:eastAsia="宋体"/>
                <w:color w:val="auto"/>
                <w:lang w:eastAsia="zh-CN"/>
              </w:rPr>
            </w:pPr>
            <w:r>
              <w:rPr>
                <w:rFonts w:hint="eastAsia"/>
                <w:color w:val="auto"/>
                <w:lang w:val="en-US" w:eastAsia="zh-CN"/>
              </w:rPr>
              <w:t>陈永春</w:t>
            </w:r>
          </w:p>
        </w:tc>
        <w:tc>
          <w:tcPr>
            <w:tcW w:w="1219" w:type="pct"/>
            <w:tcBorders>
              <w:top w:val="single" w:color="auto" w:sz="8" w:space="0"/>
              <w:left w:val="single" w:color="auto" w:sz="8" w:space="0"/>
              <w:bottom w:val="single" w:color="auto" w:sz="8" w:space="0"/>
              <w:right w:val="single" w:color="auto" w:sz="8" w:space="0"/>
            </w:tcBorders>
            <w:vAlign w:val="center"/>
          </w:tcPr>
          <w:p w14:paraId="33DAFBBA">
            <w:pPr>
              <w:overflowPunct w:val="0"/>
              <w:adjustRightInd w:val="0"/>
              <w:snapToGrid w:val="0"/>
              <w:jc w:val="center"/>
              <w:rPr>
                <w:b/>
                <w:color w:val="auto"/>
              </w:rPr>
            </w:pPr>
            <w:r>
              <w:rPr>
                <w:b/>
                <w:color w:val="auto"/>
              </w:rPr>
              <w:t>联系方式</w:t>
            </w:r>
          </w:p>
        </w:tc>
        <w:tc>
          <w:tcPr>
            <w:tcW w:w="2239" w:type="pct"/>
            <w:tcBorders>
              <w:top w:val="single" w:color="auto" w:sz="8" w:space="0"/>
              <w:left w:val="single" w:color="auto" w:sz="8" w:space="0"/>
              <w:bottom w:val="single" w:color="auto" w:sz="8" w:space="0"/>
            </w:tcBorders>
            <w:vAlign w:val="center"/>
          </w:tcPr>
          <w:p w14:paraId="76B0C9AE">
            <w:pPr>
              <w:overflowPunct w:val="0"/>
              <w:adjustRightInd w:val="0"/>
              <w:jc w:val="center"/>
              <w:rPr>
                <w:color w:val="auto"/>
              </w:rPr>
            </w:pPr>
            <w:r>
              <w:rPr>
                <w:rFonts w:hint="eastAsia"/>
                <w:color w:val="auto"/>
              </w:rPr>
              <w:t>18626227649</w:t>
            </w:r>
          </w:p>
        </w:tc>
      </w:tr>
      <w:tr w14:paraId="09FE67A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8" w:hRule="atLeast"/>
          <w:jc w:val="center"/>
        </w:trPr>
        <w:tc>
          <w:tcPr>
            <w:tcW w:w="591" w:type="pct"/>
            <w:gridSpan w:val="2"/>
            <w:tcBorders>
              <w:top w:val="single" w:color="auto" w:sz="8" w:space="0"/>
              <w:bottom w:val="single" w:color="auto" w:sz="8" w:space="0"/>
              <w:right w:val="single" w:color="auto" w:sz="8" w:space="0"/>
            </w:tcBorders>
            <w:tcMar>
              <w:top w:w="16" w:type="dxa"/>
              <w:left w:w="16" w:type="dxa"/>
              <w:right w:w="16" w:type="dxa"/>
            </w:tcMar>
            <w:vAlign w:val="center"/>
          </w:tcPr>
          <w:p w14:paraId="14865789">
            <w:pPr>
              <w:overflowPunct w:val="0"/>
              <w:adjustRightInd w:val="0"/>
              <w:snapToGrid w:val="0"/>
              <w:jc w:val="center"/>
              <w:rPr>
                <w:b/>
                <w:color w:val="auto"/>
              </w:rPr>
            </w:pPr>
            <w:r>
              <w:rPr>
                <w:b/>
                <w:color w:val="auto"/>
              </w:rPr>
              <w:t>建设地点</w:t>
            </w:r>
          </w:p>
        </w:tc>
        <w:tc>
          <w:tcPr>
            <w:tcW w:w="4408" w:type="pct"/>
            <w:gridSpan w:val="3"/>
            <w:tcBorders>
              <w:top w:val="single" w:color="auto" w:sz="8" w:space="0"/>
              <w:left w:val="single" w:color="auto" w:sz="8" w:space="0"/>
              <w:bottom w:val="single" w:color="auto" w:sz="8" w:space="0"/>
            </w:tcBorders>
            <w:vAlign w:val="center"/>
          </w:tcPr>
          <w:p w14:paraId="60F8317F">
            <w:pPr>
              <w:overflowPunct w:val="0"/>
              <w:adjustRightInd w:val="0"/>
              <w:jc w:val="center"/>
              <w:rPr>
                <w:rFonts w:hint="eastAsia" w:eastAsia="宋体"/>
                <w:color w:val="auto"/>
                <w:lang w:eastAsia="zh-CN"/>
              </w:rPr>
            </w:pPr>
            <w:r>
              <w:rPr>
                <w:rFonts w:hint="eastAsia"/>
                <w:color w:val="auto"/>
                <w:lang w:eastAsia="zh-CN"/>
              </w:rPr>
              <w:t>江苏省常州市金坛区亿晶路99号</w:t>
            </w:r>
          </w:p>
        </w:tc>
      </w:tr>
      <w:tr w14:paraId="508BE6E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34" w:hRule="atLeast"/>
          <w:jc w:val="center"/>
        </w:trPr>
        <w:tc>
          <w:tcPr>
            <w:tcW w:w="591" w:type="pct"/>
            <w:gridSpan w:val="2"/>
            <w:tcBorders>
              <w:top w:val="single" w:color="auto" w:sz="8" w:space="0"/>
              <w:bottom w:val="single" w:color="auto" w:sz="8" w:space="0"/>
              <w:right w:val="single" w:color="auto" w:sz="8" w:space="0"/>
            </w:tcBorders>
            <w:tcMar>
              <w:top w:w="16" w:type="dxa"/>
              <w:left w:w="16" w:type="dxa"/>
              <w:right w:w="16" w:type="dxa"/>
            </w:tcMar>
            <w:vAlign w:val="center"/>
          </w:tcPr>
          <w:p w14:paraId="05AE30C0">
            <w:pPr>
              <w:overflowPunct w:val="0"/>
              <w:adjustRightInd w:val="0"/>
              <w:snapToGrid w:val="0"/>
              <w:jc w:val="center"/>
              <w:rPr>
                <w:b/>
                <w:color w:val="auto"/>
              </w:rPr>
            </w:pPr>
            <w:r>
              <w:rPr>
                <w:b/>
                <w:color w:val="auto"/>
              </w:rPr>
              <w:t>地理坐标</w:t>
            </w:r>
          </w:p>
        </w:tc>
        <w:tc>
          <w:tcPr>
            <w:tcW w:w="4408" w:type="pct"/>
            <w:gridSpan w:val="3"/>
            <w:tcBorders>
              <w:top w:val="single" w:color="auto" w:sz="8" w:space="0"/>
              <w:left w:val="single" w:color="auto" w:sz="8" w:space="0"/>
              <w:bottom w:val="single" w:color="auto" w:sz="8" w:space="0"/>
            </w:tcBorders>
            <w:vAlign w:val="center"/>
          </w:tcPr>
          <w:p w14:paraId="079D8173">
            <w:pPr>
              <w:overflowPunct w:val="0"/>
              <w:adjustRightInd w:val="0"/>
              <w:jc w:val="center"/>
              <w:rPr>
                <w:color w:val="auto"/>
              </w:rPr>
            </w:pPr>
            <w:r>
              <w:rPr>
                <w:color w:val="auto"/>
              </w:rPr>
              <w:t>E：1</w:t>
            </w:r>
            <w:r>
              <w:rPr>
                <w:rFonts w:hint="eastAsia"/>
                <w:color w:val="auto"/>
              </w:rPr>
              <w:t>19</w:t>
            </w:r>
            <w:r>
              <w:rPr>
                <w:color w:val="auto"/>
              </w:rPr>
              <w:t>°</w:t>
            </w:r>
            <w:r>
              <w:rPr>
                <w:rFonts w:hint="eastAsia"/>
                <w:color w:val="auto"/>
              </w:rPr>
              <w:t>39</w:t>
            </w:r>
            <w:r>
              <w:rPr>
                <w:color w:val="auto"/>
              </w:rPr>
              <w:t>′</w:t>
            </w:r>
            <w:r>
              <w:rPr>
                <w:rFonts w:hint="eastAsia"/>
                <w:color w:val="auto"/>
                <w:lang w:val="en-US" w:eastAsia="zh-CN"/>
              </w:rPr>
              <w:t>50.315</w:t>
            </w:r>
            <w:r>
              <w:rPr>
                <w:color w:val="auto"/>
              </w:rPr>
              <w:t>″，N：31°</w:t>
            </w:r>
            <w:r>
              <w:rPr>
                <w:rFonts w:hint="eastAsia"/>
                <w:color w:val="auto"/>
              </w:rPr>
              <w:t>4</w:t>
            </w:r>
            <w:r>
              <w:rPr>
                <w:rFonts w:hint="eastAsia"/>
                <w:color w:val="auto"/>
                <w:lang w:val="en-US" w:eastAsia="zh-CN"/>
              </w:rPr>
              <w:t>3</w:t>
            </w:r>
            <w:r>
              <w:rPr>
                <w:color w:val="auto"/>
              </w:rPr>
              <w:t>′</w:t>
            </w:r>
            <w:r>
              <w:rPr>
                <w:rFonts w:hint="eastAsia"/>
                <w:color w:val="auto"/>
                <w:lang w:val="en-US" w:eastAsia="zh-CN"/>
              </w:rPr>
              <w:t>09.764</w:t>
            </w:r>
            <w:r>
              <w:rPr>
                <w:color w:val="auto"/>
              </w:rPr>
              <w:t>″</w:t>
            </w:r>
          </w:p>
        </w:tc>
      </w:tr>
      <w:tr w14:paraId="7E02E5D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591" w:type="pct"/>
            <w:gridSpan w:val="2"/>
            <w:tcBorders>
              <w:top w:val="single" w:color="auto" w:sz="8" w:space="0"/>
              <w:bottom w:val="single" w:color="auto" w:sz="8" w:space="0"/>
              <w:right w:val="single" w:color="auto" w:sz="8" w:space="0"/>
            </w:tcBorders>
            <w:tcMar>
              <w:top w:w="16" w:type="dxa"/>
              <w:left w:w="16" w:type="dxa"/>
              <w:right w:w="16" w:type="dxa"/>
            </w:tcMar>
            <w:vAlign w:val="center"/>
          </w:tcPr>
          <w:p w14:paraId="488B308A">
            <w:pPr>
              <w:overflowPunct w:val="0"/>
              <w:adjustRightInd w:val="0"/>
              <w:snapToGrid w:val="0"/>
              <w:jc w:val="center"/>
              <w:rPr>
                <w:b/>
                <w:color w:val="auto"/>
              </w:rPr>
            </w:pPr>
            <w:r>
              <w:rPr>
                <w:b/>
                <w:color w:val="auto"/>
              </w:rPr>
              <w:t>国民经济行业类别</w:t>
            </w:r>
          </w:p>
        </w:tc>
        <w:tc>
          <w:tcPr>
            <w:tcW w:w="949" w:type="pct"/>
            <w:tcBorders>
              <w:top w:val="single" w:color="auto" w:sz="8" w:space="0"/>
              <w:left w:val="single" w:color="auto" w:sz="8" w:space="0"/>
              <w:bottom w:val="single" w:color="auto" w:sz="8" w:space="0"/>
              <w:right w:val="single" w:color="auto" w:sz="8" w:space="0"/>
            </w:tcBorders>
            <w:vAlign w:val="center"/>
          </w:tcPr>
          <w:p w14:paraId="1F35C50C">
            <w:pPr>
              <w:overflowPunct w:val="0"/>
              <w:adjustRightInd w:val="0"/>
              <w:jc w:val="center"/>
              <w:rPr>
                <w:rFonts w:hint="eastAsia" w:eastAsia="宋体"/>
                <w:color w:val="auto"/>
                <w:lang w:eastAsia="zh-CN"/>
              </w:rPr>
            </w:pPr>
            <w:r>
              <w:rPr>
                <w:rFonts w:hint="eastAsia"/>
                <w:bCs/>
                <w:color w:val="auto"/>
                <w:kern w:val="0"/>
                <w:lang w:eastAsia="zh-CN"/>
              </w:rPr>
              <w:t>C3811发电机及发电机组制造</w:t>
            </w:r>
          </w:p>
        </w:tc>
        <w:tc>
          <w:tcPr>
            <w:tcW w:w="1219" w:type="pct"/>
            <w:tcBorders>
              <w:top w:val="single" w:color="auto" w:sz="8" w:space="0"/>
              <w:left w:val="single" w:color="auto" w:sz="8" w:space="0"/>
              <w:bottom w:val="single" w:color="auto" w:sz="8" w:space="0"/>
              <w:right w:val="single" w:color="auto" w:sz="8" w:space="0"/>
            </w:tcBorders>
            <w:vAlign w:val="center"/>
          </w:tcPr>
          <w:p w14:paraId="6724BFFC">
            <w:pPr>
              <w:overflowPunct w:val="0"/>
              <w:jc w:val="center"/>
              <w:rPr>
                <w:b/>
                <w:color w:val="auto"/>
              </w:rPr>
            </w:pPr>
            <w:bookmarkStart w:id="7" w:name="_Hlk49843745"/>
            <w:r>
              <w:rPr>
                <w:b/>
                <w:color w:val="auto"/>
              </w:rPr>
              <w:t>建设项目</w:t>
            </w:r>
          </w:p>
          <w:p w14:paraId="62AD214B">
            <w:pPr>
              <w:overflowPunct w:val="0"/>
              <w:jc w:val="center"/>
              <w:rPr>
                <w:b/>
                <w:color w:val="auto"/>
              </w:rPr>
            </w:pPr>
            <w:r>
              <w:rPr>
                <w:b/>
                <w:color w:val="auto"/>
              </w:rPr>
              <w:t>行业类别</w:t>
            </w:r>
            <w:bookmarkEnd w:id="7"/>
          </w:p>
        </w:tc>
        <w:tc>
          <w:tcPr>
            <w:tcW w:w="2239" w:type="pct"/>
            <w:tcBorders>
              <w:top w:val="single" w:color="auto" w:sz="8" w:space="0"/>
              <w:left w:val="single" w:color="auto" w:sz="8" w:space="0"/>
              <w:bottom w:val="single" w:color="auto" w:sz="8" w:space="0"/>
            </w:tcBorders>
            <w:vAlign w:val="center"/>
          </w:tcPr>
          <w:p w14:paraId="75DD1ED1">
            <w:pPr>
              <w:adjustRightInd w:val="0"/>
              <w:snapToGrid w:val="0"/>
              <w:jc w:val="left"/>
              <w:rPr>
                <w:color w:val="auto"/>
              </w:rPr>
            </w:pPr>
            <w:r>
              <w:rPr>
                <w:rFonts w:hint="eastAsia"/>
                <w:color w:val="auto"/>
                <w:kern w:val="0"/>
                <w:sz w:val="21"/>
                <w:lang w:val="en-US" w:eastAsia="zh-CN"/>
              </w:rPr>
              <w:t>三十五</w:t>
            </w:r>
            <w:r>
              <w:rPr>
                <w:color w:val="auto"/>
                <w:kern w:val="0"/>
                <w:sz w:val="21"/>
              </w:rPr>
              <w:t>、</w:t>
            </w:r>
            <w:r>
              <w:rPr>
                <w:rFonts w:hint="eastAsia"/>
                <w:color w:val="auto"/>
                <w:kern w:val="0"/>
                <w:sz w:val="21"/>
              </w:rPr>
              <w:t>电气机械和器材制造业38</w:t>
            </w:r>
            <w:r>
              <w:rPr>
                <w:rFonts w:hint="eastAsia"/>
                <w:color w:val="auto"/>
                <w:kern w:val="0"/>
                <w:sz w:val="21"/>
                <w:lang w:val="en-US" w:eastAsia="zh-CN"/>
              </w:rPr>
              <w:t xml:space="preserve"> 电机制造381</w:t>
            </w:r>
            <w:r>
              <w:rPr>
                <w:rFonts w:hint="eastAsia"/>
                <w:color w:val="auto"/>
                <w:kern w:val="0"/>
                <w:sz w:val="21"/>
              </w:rPr>
              <w:t xml:space="preserve"> 其他（仅分割、焊接、组装的除外；年用非溶剂型低VOCs含量涂料10吨以下的除外）</w:t>
            </w:r>
          </w:p>
        </w:tc>
      </w:tr>
      <w:tr w14:paraId="4B25E53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591" w:type="pct"/>
            <w:gridSpan w:val="2"/>
            <w:tcBorders>
              <w:top w:val="single" w:color="auto" w:sz="8" w:space="0"/>
              <w:bottom w:val="single" w:color="auto" w:sz="8" w:space="0"/>
              <w:right w:val="single" w:color="auto" w:sz="8" w:space="0"/>
            </w:tcBorders>
            <w:tcMar>
              <w:top w:w="16" w:type="dxa"/>
              <w:left w:w="16" w:type="dxa"/>
              <w:right w:w="16" w:type="dxa"/>
            </w:tcMar>
            <w:vAlign w:val="center"/>
          </w:tcPr>
          <w:p w14:paraId="0AE52D55">
            <w:pPr>
              <w:overflowPunct w:val="0"/>
              <w:adjustRightInd w:val="0"/>
              <w:snapToGrid w:val="0"/>
              <w:jc w:val="center"/>
              <w:rPr>
                <w:b/>
                <w:color w:val="auto"/>
              </w:rPr>
            </w:pPr>
            <w:r>
              <w:rPr>
                <w:b/>
                <w:color w:val="auto"/>
              </w:rPr>
              <w:t>建设性质</w:t>
            </w:r>
          </w:p>
        </w:tc>
        <w:tc>
          <w:tcPr>
            <w:tcW w:w="949" w:type="pct"/>
            <w:tcBorders>
              <w:top w:val="single" w:color="auto" w:sz="8" w:space="0"/>
              <w:left w:val="single" w:color="auto" w:sz="8" w:space="0"/>
              <w:bottom w:val="single" w:color="auto" w:sz="8" w:space="0"/>
              <w:right w:val="single" w:color="auto" w:sz="8" w:space="0"/>
            </w:tcBorders>
            <w:vAlign w:val="center"/>
          </w:tcPr>
          <w:p w14:paraId="3C959FDE">
            <w:pPr>
              <w:overflowPunct w:val="0"/>
              <w:jc w:val="left"/>
              <w:rPr>
                <w:color w:val="auto"/>
              </w:rPr>
            </w:pPr>
            <w:r>
              <w:rPr>
                <w:rFonts w:hint="eastAsia"/>
                <w:color w:val="auto"/>
              </w:rPr>
              <w:t>☑</w:t>
            </w:r>
            <w:r>
              <w:rPr>
                <w:rFonts w:hint="eastAsia"/>
                <w:b/>
                <w:bCs/>
                <w:color w:val="auto"/>
              </w:rPr>
              <w:t>新建（迁建）</w:t>
            </w:r>
          </w:p>
          <w:p w14:paraId="6FC37C9A">
            <w:pPr>
              <w:overflowPunct w:val="0"/>
              <w:jc w:val="left"/>
              <w:rPr>
                <w:color w:val="auto"/>
              </w:rPr>
            </w:pPr>
            <w:r>
              <w:rPr>
                <w:rFonts w:hint="eastAsia"/>
                <w:color w:val="auto"/>
              </w:rPr>
              <w:t>□</w:t>
            </w:r>
            <w:r>
              <w:rPr>
                <w:color w:val="auto"/>
              </w:rPr>
              <w:t>改建</w:t>
            </w:r>
          </w:p>
          <w:p w14:paraId="20D1659D">
            <w:pPr>
              <w:overflowPunct w:val="0"/>
              <w:jc w:val="left"/>
              <w:rPr>
                <w:b/>
                <w:bCs/>
                <w:color w:val="auto"/>
              </w:rPr>
            </w:pPr>
            <w:r>
              <w:rPr>
                <w:rFonts w:hint="eastAsia"/>
                <w:color w:val="auto"/>
              </w:rPr>
              <w:t>□</w:t>
            </w:r>
            <w:r>
              <w:rPr>
                <w:color w:val="auto"/>
              </w:rPr>
              <w:t>扩建</w:t>
            </w:r>
          </w:p>
          <w:p w14:paraId="17EC5727">
            <w:pPr>
              <w:overflowPunct w:val="0"/>
              <w:jc w:val="left"/>
              <w:rPr>
                <w:color w:val="auto"/>
              </w:rPr>
            </w:pPr>
            <w:r>
              <w:rPr>
                <w:rFonts w:hint="eastAsia"/>
                <w:color w:val="auto"/>
              </w:rPr>
              <w:t>□</w:t>
            </w:r>
            <w:r>
              <w:rPr>
                <w:color w:val="auto"/>
              </w:rPr>
              <w:t>技术改造</w:t>
            </w:r>
          </w:p>
        </w:tc>
        <w:tc>
          <w:tcPr>
            <w:tcW w:w="1219" w:type="pct"/>
            <w:tcBorders>
              <w:top w:val="single" w:color="auto" w:sz="8" w:space="0"/>
              <w:left w:val="single" w:color="auto" w:sz="8" w:space="0"/>
              <w:bottom w:val="single" w:color="auto" w:sz="8" w:space="0"/>
              <w:right w:val="single" w:color="auto" w:sz="8" w:space="0"/>
            </w:tcBorders>
            <w:vAlign w:val="center"/>
          </w:tcPr>
          <w:p w14:paraId="3EC62BB2">
            <w:pPr>
              <w:overflowPunct w:val="0"/>
              <w:adjustRightInd w:val="0"/>
              <w:snapToGrid w:val="0"/>
              <w:jc w:val="center"/>
              <w:rPr>
                <w:b/>
                <w:color w:val="auto"/>
              </w:rPr>
            </w:pPr>
            <w:r>
              <w:rPr>
                <w:b/>
                <w:color w:val="auto"/>
              </w:rPr>
              <w:t>建设项目</w:t>
            </w:r>
          </w:p>
          <w:p w14:paraId="5B6A20F1">
            <w:pPr>
              <w:overflowPunct w:val="0"/>
              <w:adjustRightInd w:val="0"/>
              <w:snapToGrid w:val="0"/>
              <w:jc w:val="center"/>
              <w:rPr>
                <w:b/>
                <w:color w:val="auto"/>
              </w:rPr>
            </w:pPr>
            <w:r>
              <w:rPr>
                <w:b/>
                <w:color w:val="auto"/>
              </w:rPr>
              <w:t>申报情形</w:t>
            </w:r>
          </w:p>
        </w:tc>
        <w:tc>
          <w:tcPr>
            <w:tcW w:w="2239" w:type="pct"/>
            <w:tcBorders>
              <w:top w:val="single" w:color="auto" w:sz="8" w:space="0"/>
              <w:left w:val="single" w:color="auto" w:sz="8" w:space="0"/>
              <w:bottom w:val="single" w:color="auto" w:sz="8" w:space="0"/>
            </w:tcBorders>
            <w:vAlign w:val="center"/>
          </w:tcPr>
          <w:p w14:paraId="042C9B8F">
            <w:pPr>
              <w:overflowPunct w:val="0"/>
              <w:jc w:val="left"/>
              <w:rPr>
                <w:color w:val="auto"/>
              </w:rPr>
            </w:pPr>
            <w:r>
              <w:rPr>
                <w:color w:val="auto"/>
              </w:rPr>
              <w:t>☑首次申报项目</w:t>
            </w:r>
          </w:p>
          <w:p w14:paraId="48C05E16">
            <w:pPr>
              <w:overflowPunct w:val="0"/>
              <w:jc w:val="left"/>
              <w:rPr>
                <w:color w:val="auto"/>
              </w:rPr>
            </w:pPr>
            <w:r>
              <w:rPr>
                <w:rFonts w:hint="eastAsia"/>
                <w:color w:val="auto"/>
              </w:rPr>
              <w:t>□</w:t>
            </w:r>
            <w:r>
              <w:rPr>
                <w:color w:val="auto"/>
              </w:rPr>
              <w:t>不予批准后再次申报项目</w:t>
            </w:r>
          </w:p>
          <w:p w14:paraId="5D6C1C27">
            <w:pPr>
              <w:overflowPunct w:val="0"/>
              <w:jc w:val="left"/>
              <w:rPr>
                <w:color w:val="auto"/>
              </w:rPr>
            </w:pPr>
            <w:r>
              <w:rPr>
                <w:rFonts w:hint="eastAsia"/>
                <w:color w:val="auto"/>
              </w:rPr>
              <w:t>□</w:t>
            </w:r>
            <w:r>
              <w:rPr>
                <w:color w:val="auto"/>
              </w:rPr>
              <w:t>超五年重新审核项目</w:t>
            </w:r>
          </w:p>
          <w:p w14:paraId="113C1DE9">
            <w:pPr>
              <w:overflowPunct w:val="0"/>
              <w:jc w:val="left"/>
              <w:rPr>
                <w:color w:val="auto"/>
              </w:rPr>
            </w:pPr>
            <w:r>
              <w:rPr>
                <w:rFonts w:hint="eastAsia"/>
                <w:color w:val="auto"/>
              </w:rPr>
              <w:t>□</w:t>
            </w:r>
            <w:r>
              <w:rPr>
                <w:color w:val="auto"/>
              </w:rPr>
              <w:t>重大变动重新报批项目</w:t>
            </w:r>
          </w:p>
        </w:tc>
      </w:tr>
      <w:tr w14:paraId="2940311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591" w:type="pct"/>
            <w:gridSpan w:val="2"/>
            <w:tcBorders>
              <w:top w:val="single" w:color="auto" w:sz="8" w:space="0"/>
              <w:bottom w:val="single" w:color="auto" w:sz="8" w:space="0"/>
              <w:right w:val="single" w:color="auto" w:sz="8" w:space="0"/>
            </w:tcBorders>
            <w:tcMar>
              <w:top w:w="16" w:type="dxa"/>
              <w:left w:w="16" w:type="dxa"/>
              <w:right w:w="16" w:type="dxa"/>
            </w:tcMar>
            <w:vAlign w:val="center"/>
          </w:tcPr>
          <w:p w14:paraId="5C0B8A38">
            <w:pPr>
              <w:overflowPunct w:val="0"/>
              <w:adjustRightInd w:val="0"/>
              <w:snapToGrid w:val="0"/>
              <w:jc w:val="center"/>
              <w:rPr>
                <w:b/>
                <w:color w:val="auto"/>
              </w:rPr>
            </w:pPr>
            <w:r>
              <w:rPr>
                <w:b/>
                <w:color w:val="auto"/>
              </w:rPr>
              <w:t>项目备案部门</w:t>
            </w:r>
          </w:p>
        </w:tc>
        <w:tc>
          <w:tcPr>
            <w:tcW w:w="949" w:type="pct"/>
            <w:tcBorders>
              <w:top w:val="single" w:color="auto" w:sz="8" w:space="0"/>
              <w:left w:val="single" w:color="auto" w:sz="8" w:space="0"/>
              <w:bottom w:val="single" w:color="auto" w:sz="8" w:space="0"/>
              <w:right w:val="single" w:color="auto" w:sz="8" w:space="0"/>
            </w:tcBorders>
            <w:vAlign w:val="center"/>
          </w:tcPr>
          <w:p w14:paraId="1DC9FB83">
            <w:pPr>
              <w:overflowPunct w:val="0"/>
              <w:adjustRightInd w:val="0"/>
              <w:jc w:val="center"/>
              <w:rPr>
                <w:color w:val="auto"/>
              </w:rPr>
            </w:pPr>
            <w:r>
              <w:rPr>
                <w:rFonts w:hint="eastAsia"/>
                <w:color w:val="auto"/>
              </w:rPr>
              <w:t>常州市金坛区发展和改革局</w:t>
            </w:r>
          </w:p>
        </w:tc>
        <w:tc>
          <w:tcPr>
            <w:tcW w:w="1219" w:type="pct"/>
            <w:tcBorders>
              <w:top w:val="single" w:color="auto" w:sz="8" w:space="0"/>
              <w:left w:val="single" w:color="auto" w:sz="8" w:space="0"/>
              <w:bottom w:val="single" w:color="auto" w:sz="8" w:space="0"/>
              <w:right w:val="single" w:color="auto" w:sz="8" w:space="0"/>
            </w:tcBorders>
            <w:vAlign w:val="center"/>
          </w:tcPr>
          <w:p w14:paraId="0FE1C974">
            <w:pPr>
              <w:overflowPunct w:val="0"/>
              <w:adjustRightInd w:val="0"/>
              <w:snapToGrid w:val="0"/>
              <w:jc w:val="center"/>
              <w:rPr>
                <w:b/>
                <w:color w:val="auto"/>
              </w:rPr>
            </w:pPr>
            <w:r>
              <w:rPr>
                <w:b/>
                <w:color w:val="auto"/>
              </w:rPr>
              <w:t>项目备案文号</w:t>
            </w:r>
          </w:p>
        </w:tc>
        <w:tc>
          <w:tcPr>
            <w:tcW w:w="2239" w:type="pct"/>
            <w:tcBorders>
              <w:top w:val="single" w:color="auto" w:sz="8" w:space="0"/>
              <w:left w:val="single" w:color="auto" w:sz="8" w:space="0"/>
              <w:bottom w:val="single" w:color="auto" w:sz="8" w:space="0"/>
            </w:tcBorders>
            <w:vAlign w:val="center"/>
          </w:tcPr>
          <w:p w14:paraId="72F48DAE">
            <w:pPr>
              <w:overflowPunct w:val="0"/>
              <w:adjustRightInd w:val="0"/>
              <w:jc w:val="center"/>
              <w:rPr>
                <w:rFonts w:hint="default" w:eastAsia="宋体"/>
                <w:color w:val="auto"/>
                <w:lang w:val="en-US" w:eastAsia="zh-CN"/>
              </w:rPr>
            </w:pPr>
            <w:r>
              <w:rPr>
                <w:rFonts w:hint="eastAsia"/>
                <w:color w:val="auto"/>
                <w:lang w:val="en-US" w:eastAsia="zh-CN"/>
              </w:rPr>
              <w:t>坛发改备[2025]49号</w:t>
            </w:r>
          </w:p>
        </w:tc>
      </w:tr>
      <w:tr w14:paraId="6334C99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591" w:type="pct"/>
            <w:gridSpan w:val="2"/>
            <w:tcBorders>
              <w:top w:val="single" w:color="auto" w:sz="8" w:space="0"/>
              <w:bottom w:val="single" w:color="auto" w:sz="8" w:space="0"/>
              <w:right w:val="single" w:color="auto" w:sz="8" w:space="0"/>
            </w:tcBorders>
            <w:tcMar>
              <w:top w:w="16" w:type="dxa"/>
              <w:left w:w="16" w:type="dxa"/>
              <w:right w:w="16" w:type="dxa"/>
            </w:tcMar>
            <w:vAlign w:val="center"/>
          </w:tcPr>
          <w:p w14:paraId="2F063EF0">
            <w:pPr>
              <w:overflowPunct w:val="0"/>
              <w:adjustRightInd w:val="0"/>
              <w:snapToGrid w:val="0"/>
              <w:jc w:val="center"/>
              <w:rPr>
                <w:b/>
                <w:color w:val="auto"/>
              </w:rPr>
            </w:pPr>
            <w:r>
              <w:rPr>
                <w:b/>
                <w:color w:val="auto"/>
              </w:rPr>
              <w:t>总投资（万元）</w:t>
            </w:r>
          </w:p>
        </w:tc>
        <w:tc>
          <w:tcPr>
            <w:tcW w:w="949" w:type="pct"/>
            <w:tcBorders>
              <w:top w:val="single" w:color="auto" w:sz="8" w:space="0"/>
              <w:left w:val="single" w:color="auto" w:sz="8" w:space="0"/>
              <w:bottom w:val="single" w:color="auto" w:sz="8" w:space="0"/>
              <w:right w:val="single" w:color="auto" w:sz="8" w:space="0"/>
            </w:tcBorders>
            <w:vAlign w:val="center"/>
          </w:tcPr>
          <w:p w14:paraId="3860F772">
            <w:pPr>
              <w:overflowPunct w:val="0"/>
              <w:adjustRightInd w:val="0"/>
              <w:jc w:val="center"/>
              <w:rPr>
                <w:rFonts w:hint="default" w:eastAsia="宋体"/>
                <w:color w:val="auto"/>
                <w:lang w:val="en-US" w:eastAsia="zh-CN"/>
              </w:rPr>
            </w:pPr>
            <w:r>
              <w:rPr>
                <w:rFonts w:hint="eastAsia"/>
                <w:color w:val="auto"/>
                <w:lang w:val="en-US" w:eastAsia="zh-CN"/>
              </w:rPr>
              <w:t>1000</w:t>
            </w:r>
          </w:p>
        </w:tc>
        <w:tc>
          <w:tcPr>
            <w:tcW w:w="1219" w:type="pct"/>
            <w:tcBorders>
              <w:top w:val="single" w:color="auto" w:sz="8" w:space="0"/>
              <w:left w:val="single" w:color="auto" w:sz="8" w:space="0"/>
              <w:bottom w:val="single" w:color="auto" w:sz="8" w:space="0"/>
              <w:right w:val="single" w:color="auto" w:sz="8" w:space="0"/>
            </w:tcBorders>
            <w:tcMar>
              <w:top w:w="16" w:type="dxa"/>
              <w:left w:w="16" w:type="dxa"/>
              <w:right w:w="16" w:type="dxa"/>
            </w:tcMar>
            <w:vAlign w:val="center"/>
          </w:tcPr>
          <w:p w14:paraId="6B1E8FD6">
            <w:pPr>
              <w:overflowPunct w:val="0"/>
              <w:adjustRightInd w:val="0"/>
              <w:snapToGrid w:val="0"/>
              <w:jc w:val="center"/>
              <w:rPr>
                <w:b/>
                <w:color w:val="auto"/>
              </w:rPr>
            </w:pPr>
            <w:r>
              <w:rPr>
                <w:b/>
                <w:color w:val="auto"/>
              </w:rPr>
              <w:t>环保投资（万元）</w:t>
            </w:r>
          </w:p>
        </w:tc>
        <w:tc>
          <w:tcPr>
            <w:tcW w:w="2239" w:type="pct"/>
            <w:tcBorders>
              <w:top w:val="single" w:color="auto" w:sz="8" w:space="0"/>
              <w:left w:val="single" w:color="auto" w:sz="8" w:space="0"/>
              <w:bottom w:val="single" w:color="auto" w:sz="8" w:space="0"/>
            </w:tcBorders>
            <w:vAlign w:val="center"/>
          </w:tcPr>
          <w:p w14:paraId="7EFD9664">
            <w:pPr>
              <w:overflowPunct w:val="0"/>
              <w:adjustRightInd w:val="0"/>
              <w:jc w:val="center"/>
              <w:rPr>
                <w:rFonts w:hint="default" w:eastAsia="宋体"/>
                <w:color w:val="auto"/>
                <w:lang w:val="en-US" w:eastAsia="zh-CN"/>
              </w:rPr>
            </w:pPr>
            <w:r>
              <w:rPr>
                <w:rFonts w:hint="eastAsia"/>
                <w:color w:val="auto"/>
                <w:lang w:val="en-US" w:eastAsia="zh-CN"/>
              </w:rPr>
              <w:t>200</w:t>
            </w:r>
          </w:p>
        </w:tc>
      </w:tr>
      <w:tr w14:paraId="639F4F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591" w:type="pct"/>
            <w:gridSpan w:val="2"/>
            <w:tcBorders>
              <w:top w:val="single" w:color="auto" w:sz="8" w:space="0"/>
              <w:bottom w:val="single" w:color="auto" w:sz="8" w:space="0"/>
              <w:right w:val="single" w:color="auto" w:sz="8" w:space="0"/>
            </w:tcBorders>
            <w:tcMar>
              <w:top w:w="16" w:type="dxa"/>
              <w:left w:w="16" w:type="dxa"/>
              <w:right w:w="16" w:type="dxa"/>
            </w:tcMar>
            <w:vAlign w:val="center"/>
          </w:tcPr>
          <w:p w14:paraId="10897B8E">
            <w:pPr>
              <w:overflowPunct w:val="0"/>
              <w:adjustRightInd w:val="0"/>
              <w:snapToGrid w:val="0"/>
              <w:jc w:val="center"/>
              <w:rPr>
                <w:b/>
                <w:color w:val="auto"/>
              </w:rPr>
            </w:pPr>
            <w:r>
              <w:rPr>
                <w:b/>
                <w:color w:val="auto"/>
              </w:rPr>
              <w:t>环保投资占比（%）</w:t>
            </w:r>
          </w:p>
        </w:tc>
        <w:tc>
          <w:tcPr>
            <w:tcW w:w="949" w:type="pct"/>
            <w:tcBorders>
              <w:top w:val="single" w:color="auto" w:sz="8" w:space="0"/>
              <w:left w:val="single" w:color="auto" w:sz="8" w:space="0"/>
              <w:bottom w:val="single" w:color="auto" w:sz="8" w:space="0"/>
              <w:right w:val="single" w:color="auto" w:sz="8" w:space="0"/>
            </w:tcBorders>
            <w:vAlign w:val="center"/>
          </w:tcPr>
          <w:p w14:paraId="03F21A31">
            <w:pPr>
              <w:overflowPunct w:val="0"/>
              <w:adjustRightInd w:val="0"/>
              <w:snapToGrid w:val="0"/>
              <w:jc w:val="center"/>
              <w:rPr>
                <w:rFonts w:hint="default" w:eastAsia="宋体"/>
                <w:color w:val="auto"/>
                <w:lang w:val="en-US" w:eastAsia="zh-CN"/>
              </w:rPr>
            </w:pPr>
            <w:r>
              <w:rPr>
                <w:rFonts w:hint="eastAsia"/>
                <w:color w:val="auto"/>
                <w:lang w:val="en-US" w:eastAsia="zh-CN"/>
              </w:rPr>
              <w:t>20</w:t>
            </w:r>
          </w:p>
        </w:tc>
        <w:tc>
          <w:tcPr>
            <w:tcW w:w="1219" w:type="pct"/>
            <w:tcBorders>
              <w:top w:val="single" w:color="auto" w:sz="8" w:space="0"/>
              <w:left w:val="single" w:color="auto" w:sz="8" w:space="0"/>
              <w:bottom w:val="single" w:color="auto" w:sz="8" w:space="0"/>
              <w:right w:val="single" w:color="auto" w:sz="8" w:space="0"/>
            </w:tcBorders>
            <w:tcMar>
              <w:top w:w="16" w:type="dxa"/>
              <w:left w:w="16" w:type="dxa"/>
              <w:right w:w="16" w:type="dxa"/>
            </w:tcMar>
            <w:vAlign w:val="center"/>
          </w:tcPr>
          <w:p w14:paraId="2B7677E9">
            <w:pPr>
              <w:overflowPunct w:val="0"/>
              <w:adjustRightInd w:val="0"/>
              <w:snapToGrid w:val="0"/>
              <w:jc w:val="center"/>
              <w:rPr>
                <w:b/>
                <w:color w:val="auto"/>
              </w:rPr>
            </w:pPr>
            <w:r>
              <w:rPr>
                <w:b/>
                <w:color w:val="auto"/>
              </w:rPr>
              <w:t>施工工期</w:t>
            </w:r>
          </w:p>
        </w:tc>
        <w:tc>
          <w:tcPr>
            <w:tcW w:w="2239" w:type="pct"/>
            <w:tcBorders>
              <w:top w:val="single" w:color="auto" w:sz="8" w:space="0"/>
              <w:left w:val="single" w:color="auto" w:sz="8" w:space="0"/>
              <w:bottom w:val="single" w:color="auto" w:sz="8" w:space="0"/>
            </w:tcBorders>
            <w:vAlign w:val="center"/>
          </w:tcPr>
          <w:p w14:paraId="2BC4CD4F">
            <w:pPr>
              <w:overflowPunct w:val="0"/>
              <w:adjustRightInd w:val="0"/>
              <w:snapToGrid w:val="0"/>
              <w:jc w:val="center"/>
              <w:rPr>
                <w:color w:val="auto"/>
              </w:rPr>
            </w:pPr>
            <w:r>
              <w:rPr>
                <w:color w:val="auto"/>
              </w:rPr>
              <w:t>3个月</w:t>
            </w:r>
          </w:p>
        </w:tc>
      </w:tr>
      <w:tr w14:paraId="19BA04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591" w:type="pct"/>
            <w:gridSpan w:val="2"/>
            <w:tcBorders>
              <w:top w:val="single" w:color="auto" w:sz="8" w:space="0"/>
              <w:bottom w:val="single" w:color="auto" w:sz="8" w:space="0"/>
              <w:right w:val="single" w:color="auto" w:sz="8" w:space="0"/>
            </w:tcBorders>
            <w:tcMar>
              <w:top w:w="16" w:type="dxa"/>
              <w:left w:w="16" w:type="dxa"/>
              <w:right w:w="16" w:type="dxa"/>
            </w:tcMar>
            <w:vAlign w:val="center"/>
          </w:tcPr>
          <w:p w14:paraId="2B84572C">
            <w:pPr>
              <w:overflowPunct w:val="0"/>
              <w:adjustRightInd w:val="0"/>
              <w:snapToGrid w:val="0"/>
              <w:jc w:val="center"/>
              <w:rPr>
                <w:b/>
                <w:color w:val="auto"/>
              </w:rPr>
            </w:pPr>
            <w:r>
              <w:rPr>
                <w:b/>
                <w:color w:val="auto"/>
              </w:rPr>
              <w:t>是否开工建设</w:t>
            </w:r>
          </w:p>
        </w:tc>
        <w:tc>
          <w:tcPr>
            <w:tcW w:w="949" w:type="pct"/>
            <w:tcBorders>
              <w:top w:val="single" w:color="auto" w:sz="8" w:space="0"/>
              <w:left w:val="single" w:color="auto" w:sz="8" w:space="0"/>
              <w:bottom w:val="single" w:color="auto" w:sz="8" w:space="0"/>
              <w:right w:val="single" w:color="auto" w:sz="8" w:space="0"/>
            </w:tcBorders>
            <w:vAlign w:val="center"/>
          </w:tcPr>
          <w:p w14:paraId="2F5A7714">
            <w:pPr>
              <w:overflowPunct w:val="0"/>
              <w:adjustRightInd w:val="0"/>
              <w:snapToGrid w:val="0"/>
              <w:rPr>
                <w:color w:val="auto"/>
              </w:rPr>
            </w:pPr>
            <w:r>
              <w:rPr>
                <w:color w:val="auto"/>
              </w:rPr>
              <w:t>☑否</w:t>
            </w:r>
          </w:p>
          <w:p w14:paraId="23952497">
            <w:pPr>
              <w:overflowPunct w:val="0"/>
              <w:adjustRightInd w:val="0"/>
              <w:jc w:val="left"/>
              <w:rPr>
                <w:color w:val="auto"/>
              </w:rPr>
            </w:pPr>
            <w:r>
              <w:rPr>
                <w:rFonts w:hint="eastAsia"/>
                <w:color w:val="auto"/>
              </w:rPr>
              <w:t>□</w:t>
            </w:r>
            <w:r>
              <w:rPr>
                <w:color w:val="auto"/>
              </w:rPr>
              <w:t>是：</w:t>
            </w:r>
            <w:r>
              <w:rPr>
                <w:color w:val="auto"/>
                <w:u w:val="single"/>
              </w:rPr>
              <w:t xml:space="preserve">           </w:t>
            </w:r>
          </w:p>
        </w:tc>
        <w:tc>
          <w:tcPr>
            <w:tcW w:w="1219" w:type="pct"/>
            <w:tcBorders>
              <w:top w:val="single" w:color="auto" w:sz="8" w:space="0"/>
              <w:left w:val="single" w:color="auto" w:sz="8" w:space="0"/>
              <w:bottom w:val="single" w:color="auto" w:sz="8" w:space="0"/>
              <w:right w:val="single" w:color="auto" w:sz="8" w:space="0"/>
            </w:tcBorders>
            <w:tcMar>
              <w:top w:w="16" w:type="dxa"/>
              <w:left w:w="16" w:type="dxa"/>
              <w:right w:w="16" w:type="dxa"/>
            </w:tcMar>
            <w:vAlign w:val="center"/>
          </w:tcPr>
          <w:p w14:paraId="30F56FC6">
            <w:pPr>
              <w:overflowPunct w:val="0"/>
              <w:adjustRightInd w:val="0"/>
              <w:snapToGrid w:val="0"/>
              <w:jc w:val="center"/>
              <w:rPr>
                <w:b/>
                <w:color w:val="auto"/>
              </w:rPr>
            </w:pPr>
            <w:r>
              <w:rPr>
                <w:b/>
                <w:color w:val="auto"/>
              </w:rPr>
              <w:t>用地面积（m</w:t>
            </w:r>
            <w:r>
              <w:rPr>
                <w:b/>
                <w:color w:val="auto"/>
                <w:vertAlign w:val="superscript"/>
              </w:rPr>
              <w:t>2</w:t>
            </w:r>
            <w:r>
              <w:rPr>
                <w:b/>
                <w:color w:val="auto"/>
              </w:rPr>
              <w:t>）</w:t>
            </w:r>
          </w:p>
        </w:tc>
        <w:tc>
          <w:tcPr>
            <w:tcW w:w="2239" w:type="pct"/>
            <w:tcBorders>
              <w:top w:val="single" w:color="auto" w:sz="8" w:space="0"/>
              <w:left w:val="single" w:color="auto" w:sz="8" w:space="0"/>
              <w:bottom w:val="single" w:color="auto" w:sz="8" w:space="0"/>
            </w:tcBorders>
            <w:vAlign w:val="center"/>
          </w:tcPr>
          <w:p w14:paraId="28D7D921">
            <w:pPr>
              <w:overflowPunct w:val="0"/>
              <w:adjustRightInd w:val="0"/>
              <w:snapToGrid w:val="0"/>
              <w:jc w:val="center"/>
              <w:rPr>
                <w:b/>
                <w:color w:val="auto"/>
              </w:rPr>
            </w:pPr>
            <w:r>
              <w:rPr>
                <w:rFonts w:hint="eastAsia"/>
                <w:bCs/>
                <w:color w:val="auto"/>
                <w:lang w:val="en-US" w:eastAsia="zh-CN"/>
              </w:rPr>
              <w:t>5333</w:t>
            </w:r>
            <w:r>
              <w:rPr>
                <w:bCs/>
                <w:color w:val="auto"/>
              </w:rPr>
              <w:t>（</w:t>
            </w:r>
            <w:r>
              <w:rPr>
                <w:rFonts w:hint="eastAsia"/>
                <w:bCs/>
                <w:color w:val="auto"/>
              </w:rPr>
              <w:t>建筑面积</w:t>
            </w:r>
            <w:r>
              <w:rPr>
                <w:bCs/>
                <w:color w:val="auto"/>
              </w:rPr>
              <w:t>）</w:t>
            </w:r>
          </w:p>
        </w:tc>
      </w:tr>
      <w:tr w14:paraId="2ED52CB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1" w:type="pct"/>
            <w:gridSpan w:val="2"/>
            <w:tcBorders>
              <w:top w:val="single" w:color="auto" w:sz="8" w:space="0"/>
              <w:bottom w:val="single" w:color="auto" w:sz="8" w:space="0"/>
              <w:right w:val="single" w:color="auto" w:sz="8" w:space="0"/>
            </w:tcBorders>
            <w:vAlign w:val="center"/>
          </w:tcPr>
          <w:p w14:paraId="5A73AEBC">
            <w:pPr>
              <w:overflowPunct w:val="0"/>
              <w:adjustRightInd w:val="0"/>
              <w:snapToGrid w:val="0"/>
              <w:jc w:val="center"/>
              <w:rPr>
                <w:b/>
                <w:color w:val="auto"/>
                <w:kern w:val="0"/>
              </w:rPr>
            </w:pPr>
            <w:r>
              <w:rPr>
                <w:b/>
                <w:color w:val="auto"/>
                <w:kern w:val="0"/>
              </w:rPr>
              <w:t>专项评价设置情况</w:t>
            </w:r>
          </w:p>
        </w:tc>
        <w:tc>
          <w:tcPr>
            <w:tcW w:w="4408" w:type="pct"/>
            <w:gridSpan w:val="3"/>
            <w:tcBorders>
              <w:top w:val="single" w:color="auto" w:sz="8" w:space="0"/>
              <w:left w:val="single" w:color="auto" w:sz="8" w:space="0"/>
              <w:bottom w:val="single" w:color="auto" w:sz="8" w:space="0"/>
            </w:tcBorders>
            <w:vAlign w:val="center"/>
          </w:tcPr>
          <w:tbl>
            <w:tblPr>
              <w:tblStyle w:val="59"/>
              <w:tblW w:w="4998" w:type="pct"/>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
            <w:tblGrid>
              <w:gridCol w:w="867"/>
              <w:gridCol w:w="3293"/>
              <w:gridCol w:w="2682"/>
              <w:gridCol w:w="908"/>
            </w:tblGrid>
            <w:tr w14:paraId="4C32761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340" w:hRule="atLeast"/>
                <w:jc w:val="center"/>
              </w:trPr>
              <w:tc>
                <w:tcPr>
                  <w:tcW w:w="559" w:type="pct"/>
                  <w:tcBorders>
                    <w:tl2br w:val="nil"/>
                    <w:tr2bl w:val="nil"/>
                  </w:tcBorders>
                  <w:noWrap w:val="0"/>
                  <w:vAlign w:val="center"/>
                </w:tcPr>
                <w:p w14:paraId="4E67FBCF">
                  <w:pPr>
                    <w:keepNext w:val="0"/>
                    <w:keepLines w:val="0"/>
                    <w:pageBreakBefore w:val="0"/>
                    <w:widowControl w:val="0"/>
                    <w:kinsoku/>
                    <w:wordWrap/>
                    <w:overflowPunct/>
                    <w:topLinePunct w:val="0"/>
                    <w:autoSpaceDE w:val="0"/>
                    <w:autoSpaceDN w:val="0"/>
                    <w:bidi w:val="0"/>
                    <w:adjustRightInd w:val="0"/>
                    <w:snapToGrid w:val="0"/>
                    <w:jc w:val="center"/>
                    <w:textAlignment w:val="auto"/>
                    <w:rPr>
                      <w:b/>
                      <w:bCs/>
                      <w:color w:val="auto"/>
                      <w:kern w:val="0"/>
                      <w:sz w:val="21"/>
                      <w:szCs w:val="21"/>
                      <w:highlight w:val="none"/>
                    </w:rPr>
                  </w:pPr>
                  <w:r>
                    <w:rPr>
                      <w:b/>
                      <w:bCs/>
                      <w:color w:val="auto"/>
                      <w:kern w:val="0"/>
                      <w:sz w:val="21"/>
                      <w:szCs w:val="21"/>
                      <w:highlight w:val="none"/>
                    </w:rPr>
                    <w:t>专项评价的类别</w:t>
                  </w:r>
                </w:p>
              </w:tc>
              <w:tc>
                <w:tcPr>
                  <w:tcW w:w="2124" w:type="pct"/>
                  <w:tcBorders>
                    <w:tl2br w:val="nil"/>
                    <w:tr2bl w:val="nil"/>
                  </w:tcBorders>
                  <w:noWrap w:val="0"/>
                  <w:vAlign w:val="center"/>
                </w:tcPr>
                <w:p w14:paraId="320A6105">
                  <w:pPr>
                    <w:keepNext w:val="0"/>
                    <w:keepLines w:val="0"/>
                    <w:pageBreakBefore w:val="0"/>
                    <w:widowControl w:val="0"/>
                    <w:kinsoku/>
                    <w:wordWrap/>
                    <w:overflowPunct/>
                    <w:topLinePunct w:val="0"/>
                    <w:autoSpaceDE w:val="0"/>
                    <w:autoSpaceDN w:val="0"/>
                    <w:bidi w:val="0"/>
                    <w:adjustRightInd w:val="0"/>
                    <w:snapToGrid w:val="0"/>
                    <w:jc w:val="center"/>
                    <w:textAlignment w:val="auto"/>
                    <w:rPr>
                      <w:b/>
                      <w:bCs/>
                      <w:color w:val="auto"/>
                      <w:kern w:val="0"/>
                      <w:sz w:val="21"/>
                      <w:szCs w:val="21"/>
                      <w:highlight w:val="none"/>
                    </w:rPr>
                  </w:pPr>
                  <w:r>
                    <w:rPr>
                      <w:b/>
                      <w:bCs/>
                      <w:color w:val="auto"/>
                      <w:kern w:val="0"/>
                      <w:sz w:val="21"/>
                      <w:szCs w:val="21"/>
                      <w:highlight w:val="none"/>
                    </w:rPr>
                    <w:t>设置原则</w:t>
                  </w:r>
                </w:p>
              </w:tc>
              <w:tc>
                <w:tcPr>
                  <w:tcW w:w="1730" w:type="pct"/>
                  <w:tcBorders>
                    <w:tl2br w:val="nil"/>
                    <w:tr2bl w:val="nil"/>
                  </w:tcBorders>
                  <w:noWrap w:val="0"/>
                  <w:vAlign w:val="center"/>
                </w:tcPr>
                <w:p w14:paraId="05EB4DCC">
                  <w:pPr>
                    <w:keepNext w:val="0"/>
                    <w:keepLines w:val="0"/>
                    <w:pageBreakBefore w:val="0"/>
                    <w:widowControl w:val="0"/>
                    <w:kinsoku/>
                    <w:wordWrap/>
                    <w:overflowPunct/>
                    <w:topLinePunct w:val="0"/>
                    <w:autoSpaceDE w:val="0"/>
                    <w:autoSpaceDN w:val="0"/>
                    <w:bidi w:val="0"/>
                    <w:adjustRightInd w:val="0"/>
                    <w:snapToGrid w:val="0"/>
                    <w:jc w:val="center"/>
                    <w:textAlignment w:val="auto"/>
                    <w:rPr>
                      <w:b/>
                      <w:bCs/>
                      <w:color w:val="auto"/>
                      <w:kern w:val="0"/>
                      <w:sz w:val="21"/>
                      <w:szCs w:val="21"/>
                      <w:highlight w:val="none"/>
                    </w:rPr>
                  </w:pPr>
                  <w:r>
                    <w:rPr>
                      <w:b/>
                      <w:bCs/>
                      <w:color w:val="auto"/>
                      <w:kern w:val="0"/>
                      <w:sz w:val="21"/>
                      <w:szCs w:val="21"/>
                      <w:highlight w:val="none"/>
                    </w:rPr>
                    <w:t>项目情况</w:t>
                  </w:r>
                </w:p>
              </w:tc>
              <w:tc>
                <w:tcPr>
                  <w:tcW w:w="585" w:type="pct"/>
                  <w:tcBorders>
                    <w:tl2br w:val="nil"/>
                    <w:tr2bl w:val="nil"/>
                  </w:tcBorders>
                  <w:noWrap w:val="0"/>
                  <w:vAlign w:val="center"/>
                </w:tcPr>
                <w:p w14:paraId="0EC515E2">
                  <w:pPr>
                    <w:keepNext w:val="0"/>
                    <w:keepLines w:val="0"/>
                    <w:pageBreakBefore w:val="0"/>
                    <w:widowControl w:val="0"/>
                    <w:kinsoku/>
                    <w:wordWrap/>
                    <w:overflowPunct/>
                    <w:topLinePunct w:val="0"/>
                    <w:autoSpaceDE w:val="0"/>
                    <w:autoSpaceDN w:val="0"/>
                    <w:bidi w:val="0"/>
                    <w:adjustRightInd w:val="0"/>
                    <w:snapToGrid w:val="0"/>
                    <w:jc w:val="center"/>
                    <w:textAlignment w:val="auto"/>
                    <w:rPr>
                      <w:b/>
                      <w:bCs/>
                      <w:color w:val="auto"/>
                      <w:kern w:val="0"/>
                      <w:sz w:val="21"/>
                      <w:szCs w:val="21"/>
                      <w:highlight w:val="none"/>
                    </w:rPr>
                  </w:pPr>
                  <w:r>
                    <w:rPr>
                      <w:b/>
                      <w:bCs/>
                      <w:color w:val="auto"/>
                      <w:kern w:val="0"/>
                      <w:sz w:val="21"/>
                      <w:szCs w:val="21"/>
                      <w:highlight w:val="none"/>
                    </w:rPr>
                    <w:t>设置情况</w:t>
                  </w:r>
                </w:p>
              </w:tc>
            </w:tr>
            <w:tr w14:paraId="6E3FF99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340" w:hRule="atLeast"/>
                <w:jc w:val="center"/>
              </w:trPr>
              <w:tc>
                <w:tcPr>
                  <w:tcW w:w="559" w:type="pct"/>
                  <w:tcBorders>
                    <w:tl2br w:val="nil"/>
                    <w:tr2bl w:val="nil"/>
                  </w:tcBorders>
                  <w:noWrap w:val="0"/>
                  <w:vAlign w:val="center"/>
                </w:tcPr>
                <w:p w14:paraId="32628D3E">
                  <w:pPr>
                    <w:keepNext w:val="0"/>
                    <w:keepLines w:val="0"/>
                    <w:pageBreakBefore w:val="0"/>
                    <w:widowControl w:val="0"/>
                    <w:kinsoku/>
                    <w:wordWrap/>
                    <w:overflowPunct/>
                    <w:topLinePunct w:val="0"/>
                    <w:autoSpaceDE w:val="0"/>
                    <w:autoSpaceDN w:val="0"/>
                    <w:bidi w:val="0"/>
                    <w:adjustRightInd w:val="0"/>
                    <w:snapToGrid w:val="0"/>
                    <w:jc w:val="center"/>
                    <w:textAlignment w:val="auto"/>
                    <w:rPr>
                      <w:color w:val="auto"/>
                      <w:kern w:val="0"/>
                      <w:sz w:val="21"/>
                      <w:szCs w:val="21"/>
                      <w:highlight w:val="none"/>
                    </w:rPr>
                  </w:pPr>
                  <w:r>
                    <w:rPr>
                      <w:color w:val="auto"/>
                      <w:kern w:val="0"/>
                      <w:sz w:val="21"/>
                      <w:szCs w:val="21"/>
                      <w:highlight w:val="none"/>
                    </w:rPr>
                    <w:t>大气</w:t>
                  </w:r>
                </w:p>
              </w:tc>
              <w:tc>
                <w:tcPr>
                  <w:tcW w:w="2124" w:type="pct"/>
                  <w:tcBorders>
                    <w:tl2br w:val="nil"/>
                    <w:tr2bl w:val="nil"/>
                  </w:tcBorders>
                  <w:noWrap w:val="0"/>
                  <w:vAlign w:val="center"/>
                </w:tcPr>
                <w:p w14:paraId="1A058E5F">
                  <w:pPr>
                    <w:keepNext w:val="0"/>
                    <w:keepLines w:val="0"/>
                    <w:pageBreakBefore w:val="0"/>
                    <w:widowControl w:val="0"/>
                    <w:kinsoku/>
                    <w:wordWrap/>
                    <w:overflowPunct/>
                    <w:topLinePunct w:val="0"/>
                    <w:autoSpaceDE w:val="0"/>
                    <w:autoSpaceDN w:val="0"/>
                    <w:bidi w:val="0"/>
                    <w:adjustRightInd w:val="0"/>
                    <w:snapToGrid w:val="0"/>
                    <w:jc w:val="center"/>
                    <w:textAlignment w:val="auto"/>
                    <w:rPr>
                      <w:color w:val="auto"/>
                      <w:kern w:val="0"/>
                      <w:sz w:val="21"/>
                      <w:szCs w:val="21"/>
                      <w:highlight w:val="none"/>
                    </w:rPr>
                  </w:pPr>
                  <w:r>
                    <w:rPr>
                      <w:color w:val="auto"/>
                      <w:kern w:val="0"/>
                      <w:sz w:val="21"/>
                      <w:szCs w:val="21"/>
                      <w:highlight w:val="none"/>
                    </w:rPr>
                    <w:t>排放废气含有毒有害污染物</w:t>
                  </w:r>
                  <w:r>
                    <w:rPr>
                      <w:color w:val="auto"/>
                      <w:kern w:val="0"/>
                      <w:sz w:val="21"/>
                      <w:szCs w:val="21"/>
                      <w:highlight w:val="none"/>
                      <w:vertAlign w:val="superscript"/>
                    </w:rPr>
                    <w:t>1</w:t>
                  </w:r>
                  <w:r>
                    <w:rPr>
                      <w:color w:val="auto"/>
                      <w:kern w:val="0"/>
                      <w:sz w:val="21"/>
                      <w:szCs w:val="21"/>
                      <w:highlight w:val="none"/>
                    </w:rPr>
                    <w:t>、二噁英、苯并[a]芘、氰化物、氯气且厂界外500米范围内有环境空气保护目标</w:t>
                  </w:r>
                  <w:r>
                    <w:rPr>
                      <w:color w:val="auto"/>
                      <w:kern w:val="0"/>
                      <w:sz w:val="21"/>
                      <w:szCs w:val="21"/>
                      <w:highlight w:val="none"/>
                      <w:vertAlign w:val="superscript"/>
                    </w:rPr>
                    <w:t>2</w:t>
                  </w:r>
                  <w:r>
                    <w:rPr>
                      <w:color w:val="auto"/>
                      <w:kern w:val="0"/>
                      <w:sz w:val="21"/>
                      <w:szCs w:val="21"/>
                      <w:highlight w:val="none"/>
                    </w:rPr>
                    <w:t>的建设项目</w:t>
                  </w:r>
                </w:p>
              </w:tc>
              <w:tc>
                <w:tcPr>
                  <w:tcW w:w="1730" w:type="pct"/>
                  <w:tcBorders>
                    <w:tl2br w:val="nil"/>
                    <w:tr2bl w:val="nil"/>
                  </w:tcBorders>
                  <w:noWrap w:val="0"/>
                  <w:vAlign w:val="center"/>
                </w:tcPr>
                <w:p w14:paraId="397C13C9">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eastAsia="宋体"/>
                      <w:color w:val="auto"/>
                      <w:kern w:val="0"/>
                      <w:sz w:val="21"/>
                      <w:szCs w:val="21"/>
                      <w:highlight w:val="none"/>
                      <w:lang w:val="en-US" w:eastAsia="zh-CN"/>
                    </w:rPr>
                  </w:pPr>
                  <w:r>
                    <w:rPr>
                      <w:rFonts w:hint="eastAsia"/>
                      <w:color w:val="auto"/>
                      <w:kern w:val="0"/>
                      <w:sz w:val="21"/>
                      <w:szCs w:val="21"/>
                      <w:highlight w:val="none"/>
                      <w:lang w:val="en-US" w:eastAsia="zh-CN"/>
                    </w:rPr>
                    <w:t>本项目排放废气为非甲烷总烃、颗粒物、苯系物，不属于有毒有害污染物</w:t>
                  </w:r>
                  <w:r>
                    <w:rPr>
                      <w:color w:val="auto"/>
                      <w:kern w:val="0"/>
                      <w:sz w:val="21"/>
                      <w:szCs w:val="21"/>
                      <w:highlight w:val="none"/>
                    </w:rPr>
                    <w:t>，</w:t>
                  </w:r>
                  <w:r>
                    <w:rPr>
                      <w:rFonts w:hint="eastAsia"/>
                      <w:color w:val="auto"/>
                      <w:kern w:val="0"/>
                      <w:sz w:val="21"/>
                      <w:szCs w:val="21"/>
                      <w:highlight w:val="none"/>
                      <w:lang w:val="en-US" w:eastAsia="zh-CN"/>
                    </w:rPr>
                    <w:t>因此无需设置大气专项评价</w:t>
                  </w:r>
                </w:p>
              </w:tc>
              <w:tc>
                <w:tcPr>
                  <w:tcW w:w="585" w:type="pct"/>
                  <w:tcBorders>
                    <w:tl2br w:val="nil"/>
                    <w:tr2bl w:val="nil"/>
                  </w:tcBorders>
                  <w:noWrap w:val="0"/>
                  <w:vAlign w:val="center"/>
                </w:tcPr>
                <w:p w14:paraId="75B5C6A6">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eastAsia" w:eastAsia="宋体"/>
                      <w:color w:val="auto"/>
                      <w:kern w:val="0"/>
                      <w:sz w:val="21"/>
                      <w:szCs w:val="21"/>
                      <w:highlight w:val="none"/>
                      <w:lang w:eastAsia="zh-CN"/>
                    </w:rPr>
                  </w:pPr>
                  <w:r>
                    <w:rPr>
                      <w:rFonts w:hint="eastAsia"/>
                      <w:color w:val="auto"/>
                      <w:kern w:val="0"/>
                      <w:sz w:val="21"/>
                      <w:szCs w:val="21"/>
                      <w:highlight w:val="none"/>
                      <w:lang w:val="en-US" w:eastAsia="zh-CN"/>
                    </w:rPr>
                    <w:t>无</w:t>
                  </w:r>
                </w:p>
              </w:tc>
            </w:tr>
            <w:tr w14:paraId="0E09A3D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340" w:hRule="atLeast"/>
                <w:jc w:val="center"/>
              </w:trPr>
              <w:tc>
                <w:tcPr>
                  <w:tcW w:w="559" w:type="pct"/>
                  <w:tcBorders>
                    <w:tl2br w:val="nil"/>
                    <w:tr2bl w:val="nil"/>
                  </w:tcBorders>
                  <w:noWrap w:val="0"/>
                  <w:vAlign w:val="center"/>
                </w:tcPr>
                <w:p w14:paraId="5A14366A">
                  <w:pPr>
                    <w:keepNext w:val="0"/>
                    <w:keepLines w:val="0"/>
                    <w:pageBreakBefore w:val="0"/>
                    <w:widowControl w:val="0"/>
                    <w:kinsoku/>
                    <w:wordWrap/>
                    <w:overflowPunct/>
                    <w:topLinePunct w:val="0"/>
                    <w:autoSpaceDE w:val="0"/>
                    <w:autoSpaceDN w:val="0"/>
                    <w:bidi w:val="0"/>
                    <w:adjustRightInd w:val="0"/>
                    <w:snapToGrid w:val="0"/>
                    <w:jc w:val="center"/>
                    <w:textAlignment w:val="auto"/>
                    <w:rPr>
                      <w:color w:val="auto"/>
                      <w:kern w:val="0"/>
                      <w:sz w:val="21"/>
                      <w:szCs w:val="21"/>
                      <w:highlight w:val="none"/>
                    </w:rPr>
                  </w:pPr>
                  <w:r>
                    <w:rPr>
                      <w:color w:val="auto"/>
                      <w:kern w:val="0"/>
                      <w:sz w:val="21"/>
                      <w:szCs w:val="21"/>
                      <w:highlight w:val="none"/>
                    </w:rPr>
                    <w:t>地表水</w:t>
                  </w:r>
                </w:p>
              </w:tc>
              <w:tc>
                <w:tcPr>
                  <w:tcW w:w="2124" w:type="pct"/>
                  <w:tcBorders>
                    <w:tl2br w:val="nil"/>
                    <w:tr2bl w:val="nil"/>
                  </w:tcBorders>
                  <w:noWrap w:val="0"/>
                  <w:vAlign w:val="center"/>
                </w:tcPr>
                <w:p w14:paraId="7BED59B5">
                  <w:pPr>
                    <w:keepNext w:val="0"/>
                    <w:keepLines w:val="0"/>
                    <w:pageBreakBefore w:val="0"/>
                    <w:widowControl w:val="0"/>
                    <w:kinsoku/>
                    <w:wordWrap/>
                    <w:overflowPunct/>
                    <w:topLinePunct w:val="0"/>
                    <w:autoSpaceDE w:val="0"/>
                    <w:autoSpaceDN w:val="0"/>
                    <w:bidi w:val="0"/>
                    <w:adjustRightInd w:val="0"/>
                    <w:snapToGrid w:val="0"/>
                    <w:jc w:val="center"/>
                    <w:textAlignment w:val="auto"/>
                    <w:rPr>
                      <w:color w:val="auto"/>
                      <w:kern w:val="0"/>
                      <w:sz w:val="21"/>
                      <w:szCs w:val="21"/>
                      <w:highlight w:val="none"/>
                    </w:rPr>
                  </w:pPr>
                  <w:r>
                    <w:rPr>
                      <w:color w:val="auto"/>
                      <w:kern w:val="0"/>
                      <w:sz w:val="21"/>
                      <w:szCs w:val="21"/>
                      <w:highlight w:val="none"/>
                    </w:rPr>
                    <w:t>新增工业废水直排建设项目（槽罐车外送污水处理厂的除外）；新增废水直排的污水集中处理厂</w:t>
                  </w:r>
                </w:p>
              </w:tc>
              <w:tc>
                <w:tcPr>
                  <w:tcW w:w="1730" w:type="pct"/>
                  <w:tcBorders>
                    <w:tl2br w:val="nil"/>
                    <w:tr2bl w:val="nil"/>
                  </w:tcBorders>
                  <w:noWrap w:val="0"/>
                  <w:vAlign w:val="center"/>
                </w:tcPr>
                <w:p w14:paraId="3EDCDC61">
                  <w:pPr>
                    <w:keepNext w:val="0"/>
                    <w:keepLines w:val="0"/>
                    <w:pageBreakBefore w:val="0"/>
                    <w:widowControl w:val="0"/>
                    <w:kinsoku/>
                    <w:wordWrap/>
                    <w:overflowPunct/>
                    <w:topLinePunct w:val="0"/>
                    <w:autoSpaceDE w:val="0"/>
                    <w:autoSpaceDN w:val="0"/>
                    <w:bidi w:val="0"/>
                    <w:adjustRightInd w:val="0"/>
                    <w:snapToGrid w:val="0"/>
                    <w:jc w:val="center"/>
                    <w:textAlignment w:val="auto"/>
                    <w:rPr>
                      <w:color w:val="auto"/>
                      <w:kern w:val="0"/>
                      <w:sz w:val="21"/>
                      <w:szCs w:val="21"/>
                      <w:highlight w:val="none"/>
                    </w:rPr>
                  </w:pPr>
                  <w:r>
                    <w:rPr>
                      <w:color w:val="auto"/>
                      <w:kern w:val="0"/>
                      <w:sz w:val="21"/>
                      <w:szCs w:val="21"/>
                      <w:highlight w:val="none"/>
                    </w:rPr>
                    <w:t>项目生活污水</w:t>
                  </w:r>
                  <w:r>
                    <w:rPr>
                      <w:rFonts w:hint="eastAsia" w:eastAsia="宋体"/>
                      <w:color w:val="auto"/>
                      <w:kern w:val="0"/>
                      <w:lang w:val="en-US" w:eastAsia="zh-CN"/>
                    </w:rPr>
                    <w:t>接管至常州金坛区第二污水处理有限公司</w:t>
                  </w:r>
                  <w:r>
                    <w:rPr>
                      <w:color w:val="auto"/>
                      <w:kern w:val="0"/>
                      <w:sz w:val="21"/>
                      <w:szCs w:val="21"/>
                      <w:highlight w:val="none"/>
                    </w:rPr>
                    <w:t>，</w:t>
                  </w:r>
                  <w:r>
                    <w:rPr>
                      <w:rFonts w:hint="eastAsia"/>
                      <w:color w:val="auto"/>
                      <w:kern w:val="0"/>
                      <w:sz w:val="21"/>
                      <w:szCs w:val="21"/>
                      <w:highlight w:val="none"/>
                      <w:lang w:val="en-US" w:eastAsia="zh-CN"/>
                    </w:rPr>
                    <w:t>无生产废水外排，</w:t>
                  </w:r>
                  <w:r>
                    <w:rPr>
                      <w:color w:val="auto"/>
                      <w:kern w:val="0"/>
                      <w:sz w:val="21"/>
                      <w:szCs w:val="21"/>
                      <w:highlight w:val="none"/>
                    </w:rPr>
                    <w:t>因此无需设置地表水专项评价</w:t>
                  </w:r>
                </w:p>
              </w:tc>
              <w:tc>
                <w:tcPr>
                  <w:tcW w:w="585" w:type="pct"/>
                  <w:tcBorders>
                    <w:tl2br w:val="nil"/>
                    <w:tr2bl w:val="nil"/>
                  </w:tcBorders>
                  <w:noWrap w:val="0"/>
                  <w:vAlign w:val="center"/>
                </w:tcPr>
                <w:p w14:paraId="49BEDFE1">
                  <w:pPr>
                    <w:keepNext w:val="0"/>
                    <w:keepLines w:val="0"/>
                    <w:pageBreakBefore w:val="0"/>
                    <w:widowControl w:val="0"/>
                    <w:kinsoku/>
                    <w:wordWrap/>
                    <w:overflowPunct/>
                    <w:topLinePunct w:val="0"/>
                    <w:autoSpaceDE w:val="0"/>
                    <w:autoSpaceDN w:val="0"/>
                    <w:bidi w:val="0"/>
                    <w:adjustRightInd w:val="0"/>
                    <w:snapToGrid w:val="0"/>
                    <w:jc w:val="center"/>
                    <w:textAlignment w:val="auto"/>
                    <w:rPr>
                      <w:color w:val="auto"/>
                      <w:kern w:val="0"/>
                      <w:sz w:val="21"/>
                      <w:szCs w:val="21"/>
                      <w:highlight w:val="none"/>
                    </w:rPr>
                  </w:pPr>
                  <w:r>
                    <w:rPr>
                      <w:color w:val="auto"/>
                      <w:kern w:val="0"/>
                      <w:sz w:val="21"/>
                      <w:szCs w:val="21"/>
                      <w:highlight w:val="none"/>
                    </w:rPr>
                    <w:t>无</w:t>
                  </w:r>
                </w:p>
              </w:tc>
            </w:tr>
            <w:tr w14:paraId="3ECC7B7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340" w:hRule="atLeast"/>
                <w:jc w:val="center"/>
              </w:trPr>
              <w:tc>
                <w:tcPr>
                  <w:tcW w:w="559" w:type="pct"/>
                  <w:tcBorders>
                    <w:tl2br w:val="nil"/>
                    <w:tr2bl w:val="nil"/>
                  </w:tcBorders>
                  <w:noWrap w:val="0"/>
                  <w:vAlign w:val="center"/>
                </w:tcPr>
                <w:p w14:paraId="6042C883">
                  <w:pPr>
                    <w:keepNext w:val="0"/>
                    <w:keepLines w:val="0"/>
                    <w:pageBreakBefore w:val="0"/>
                    <w:widowControl w:val="0"/>
                    <w:kinsoku/>
                    <w:wordWrap/>
                    <w:overflowPunct/>
                    <w:topLinePunct w:val="0"/>
                    <w:autoSpaceDE w:val="0"/>
                    <w:autoSpaceDN w:val="0"/>
                    <w:bidi w:val="0"/>
                    <w:adjustRightInd w:val="0"/>
                    <w:snapToGrid w:val="0"/>
                    <w:jc w:val="center"/>
                    <w:textAlignment w:val="auto"/>
                    <w:rPr>
                      <w:color w:val="auto"/>
                      <w:kern w:val="0"/>
                      <w:sz w:val="21"/>
                      <w:szCs w:val="21"/>
                      <w:highlight w:val="none"/>
                    </w:rPr>
                  </w:pPr>
                  <w:r>
                    <w:rPr>
                      <w:color w:val="auto"/>
                      <w:kern w:val="0"/>
                      <w:sz w:val="21"/>
                      <w:szCs w:val="21"/>
                      <w:highlight w:val="none"/>
                    </w:rPr>
                    <w:t>环境风险</w:t>
                  </w:r>
                </w:p>
              </w:tc>
              <w:tc>
                <w:tcPr>
                  <w:tcW w:w="2124" w:type="pct"/>
                  <w:tcBorders>
                    <w:tl2br w:val="nil"/>
                    <w:tr2bl w:val="nil"/>
                  </w:tcBorders>
                  <w:noWrap w:val="0"/>
                  <w:vAlign w:val="center"/>
                </w:tcPr>
                <w:p w14:paraId="2CBFC83B">
                  <w:pPr>
                    <w:keepNext w:val="0"/>
                    <w:keepLines w:val="0"/>
                    <w:pageBreakBefore w:val="0"/>
                    <w:widowControl w:val="0"/>
                    <w:kinsoku/>
                    <w:wordWrap/>
                    <w:overflowPunct/>
                    <w:topLinePunct w:val="0"/>
                    <w:autoSpaceDE w:val="0"/>
                    <w:autoSpaceDN w:val="0"/>
                    <w:bidi w:val="0"/>
                    <w:adjustRightInd w:val="0"/>
                    <w:snapToGrid w:val="0"/>
                    <w:jc w:val="center"/>
                    <w:textAlignment w:val="auto"/>
                    <w:rPr>
                      <w:color w:val="auto"/>
                      <w:kern w:val="0"/>
                      <w:sz w:val="21"/>
                      <w:szCs w:val="21"/>
                      <w:highlight w:val="none"/>
                    </w:rPr>
                  </w:pPr>
                  <w:r>
                    <w:rPr>
                      <w:color w:val="auto"/>
                      <w:kern w:val="0"/>
                      <w:sz w:val="21"/>
                      <w:szCs w:val="21"/>
                      <w:highlight w:val="none"/>
                    </w:rPr>
                    <w:t>有毒有害和易燃易爆危险物质存储量超过临界量</w:t>
                  </w:r>
                  <w:r>
                    <w:rPr>
                      <w:color w:val="auto"/>
                      <w:kern w:val="0"/>
                      <w:sz w:val="21"/>
                      <w:szCs w:val="21"/>
                      <w:highlight w:val="none"/>
                      <w:vertAlign w:val="superscript"/>
                    </w:rPr>
                    <w:t>3</w:t>
                  </w:r>
                  <w:r>
                    <w:rPr>
                      <w:color w:val="auto"/>
                      <w:kern w:val="0"/>
                      <w:sz w:val="21"/>
                      <w:szCs w:val="21"/>
                      <w:highlight w:val="none"/>
                    </w:rPr>
                    <w:t>的建设项目</w:t>
                  </w:r>
                </w:p>
              </w:tc>
              <w:tc>
                <w:tcPr>
                  <w:tcW w:w="1730" w:type="pct"/>
                  <w:tcBorders>
                    <w:tl2br w:val="nil"/>
                    <w:tr2bl w:val="nil"/>
                  </w:tcBorders>
                  <w:noWrap w:val="0"/>
                  <w:vAlign w:val="center"/>
                </w:tcPr>
                <w:p w14:paraId="0902BCC2">
                  <w:pPr>
                    <w:keepNext w:val="0"/>
                    <w:keepLines w:val="0"/>
                    <w:pageBreakBefore w:val="0"/>
                    <w:widowControl w:val="0"/>
                    <w:kinsoku/>
                    <w:wordWrap/>
                    <w:overflowPunct/>
                    <w:topLinePunct w:val="0"/>
                    <w:autoSpaceDE w:val="0"/>
                    <w:autoSpaceDN w:val="0"/>
                    <w:bidi w:val="0"/>
                    <w:adjustRightInd w:val="0"/>
                    <w:snapToGrid w:val="0"/>
                    <w:jc w:val="center"/>
                    <w:textAlignment w:val="auto"/>
                    <w:rPr>
                      <w:color w:val="auto"/>
                      <w:kern w:val="0"/>
                      <w:sz w:val="21"/>
                      <w:szCs w:val="21"/>
                      <w:highlight w:val="none"/>
                    </w:rPr>
                  </w:pPr>
                  <w:r>
                    <w:rPr>
                      <w:color w:val="auto"/>
                      <w:kern w:val="0"/>
                      <w:sz w:val="21"/>
                      <w:szCs w:val="21"/>
                      <w:highlight w:val="none"/>
                    </w:rPr>
                    <w:t>项目有毒有害和易燃易爆危险物质存储量</w:t>
                  </w:r>
                  <w:r>
                    <w:rPr>
                      <w:rFonts w:hint="eastAsia"/>
                      <w:color w:val="auto"/>
                      <w:kern w:val="0"/>
                      <w:sz w:val="21"/>
                      <w:szCs w:val="21"/>
                      <w:highlight w:val="none"/>
                    </w:rPr>
                    <w:t>未</w:t>
                  </w:r>
                  <w:r>
                    <w:rPr>
                      <w:color w:val="auto"/>
                      <w:kern w:val="0"/>
                      <w:sz w:val="21"/>
                      <w:szCs w:val="21"/>
                      <w:highlight w:val="none"/>
                    </w:rPr>
                    <w:t>超过临界量，Q</w:t>
                  </w:r>
                  <w:r>
                    <w:rPr>
                      <w:rFonts w:hint="eastAsia"/>
                      <w:color w:val="auto"/>
                      <w:kern w:val="0"/>
                      <w:sz w:val="21"/>
                      <w:szCs w:val="21"/>
                      <w:highlight w:val="none"/>
                    </w:rPr>
                    <w:t>＜1</w:t>
                  </w:r>
                  <w:r>
                    <w:rPr>
                      <w:color w:val="auto"/>
                      <w:kern w:val="0"/>
                      <w:sz w:val="21"/>
                      <w:szCs w:val="21"/>
                      <w:highlight w:val="none"/>
                    </w:rPr>
                    <w:t>，因此</w:t>
                  </w:r>
                  <w:r>
                    <w:rPr>
                      <w:rFonts w:hint="eastAsia"/>
                      <w:color w:val="auto"/>
                      <w:kern w:val="0"/>
                      <w:sz w:val="21"/>
                      <w:szCs w:val="21"/>
                      <w:highlight w:val="none"/>
                    </w:rPr>
                    <w:t>无需</w:t>
                  </w:r>
                  <w:r>
                    <w:rPr>
                      <w:color w:val="auto"/>
                      <w:kern w:val="0"/>
                      <w:sz w:val="21"/>
                      <w:szCs w:val="21"/>
                      <w:highlight w:val="none"/>
                    </w:rPr>
                    <w:t>设置环境风险专项评价</w:t>
                  </w:r>
                </w:p>
              </w:tc>
              <w:tc>
                <w:tcPr>
                  <w:tcW w:w="585" w:type="pct"/>
                  <w:tcBorders>
                    <w:tl2br w:val="nil"/>
                    <w:tr2bl w:val="nil"/>
                  </w:tcBorders>
                  <w:noWrap w:val="0"/>
                  <w:vAlign w:val="center"/>
                </w:tcPr>
                <w:p w14:paraId="0FB65F26">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eastAsia="宋体"/>
                      <w:color w:val="auto"/>
                      <w:kern w:val="0"/>
                      <w:sz w:val="21"/>
                      <w:szCs w:val="21"/>
                      <w:highlight w:val="none"/>
                      <w:lang w:val="en-US" w:eastAsia="zh-CN"/>
                    </w:rPr>
                  </w:pPr>
                  <w:r>
                    <w:rPr>
                      <w:rFonts w:hint="eastAsia"/>
                      <w:color w:val="auto"/>
                      <w:kern w:val="0"/>
                      <w:sz w:val="21"/>
                      <w:szCs w:val="21"/>
                      <w:highlight w:val="none"/>
                      <w:lang w:val="en-US" w:eastAsia="zh-CN"/>
                    </w:rPr>
                    <w:t>无</w:t>
                  </w:r>
                </w:p>
              </w:tc>
            </w:tr>
            <w:tr w14:paraId="2436746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340" w:hRule="atLeast"/>
                <w:jc w:val="center"/>
              </w:trPr>
              <w:tc>
                <w:tcPr>
                  <w:tcW w:w="559" w:type="pct"/>
                  <w:tcBorders>
                    <w:tl2br w:val="nil"/>
                    <w:tr2bl w:val="nil"/>
                  </w:tcBorders>
                  <w:noWrap w:val="0"/>
                  <w:vAlign w:val="center"/>
                </w:tcPr>
                <w:p w14:paraId="5A2FA8E8">
                  <w:pPr>
                    <w:keepNext w:val="0"/>
                    <w:keepLines w:val="0"/>
                    <w:pageBreakBefore w:val="0"/>
                    <w:widowControl w:val="0"/>
                    <w:kinsoku/>
                    <w:wordWrap/>
                    <w:overflowPunct/>
                    <w:topLinePunct w:val="0"/>
                    <w:autoSpaceDE w:val="0"/>
                    <w:autoSpaceDN w:val="0"/>
                    <w:bidi w:val="0"/>
                    <w:adjustRightInd w:val="0"/>
                    <w:snapToGrid w:val="0"/>
                    <w:jc w:val="center"/>
                    <w:textAlignment w:val="auto"/>
                    <w:rPr>
                      <w:color w:val="auto"/>
                      <w:kern w:val="0"/>
                      <w:sz w:val="21"/>
                      <w:szCs w:val="21"/>
                      <w:highlight w:val="none"/>
                    </w:rPr>
                  </w:pPr>
                  <w:r>
                    <w:rPr>
                      <w:color w:val="auto"/>
                      <w:kern w:val="0"/>
                      <w:sz w:val="21"/>
                      <w:szCs w:val="21"/>
                      <w:highlight w:val="none"/>
                    </w:rPr>
                    <w:t>生态</w:t>
                  </w:r>
                </w:p>
              </w:tc>
              <w:tc>
                <w:tcPr>
                  <w:tcW w:w="2124" w:type="pct"/>
                  <w:tcBorders>
                    <w:tl2br w:val="nil"/>
                    <w:tr2bl w:val="nil"/>
                  </w:tcBorders>
                  <w:noWrap w:val="0"/>
                  <w:vAlign w:val="center"/>
                </w:tcPr>
                <w:p w14:paraId="47E2DC34">
                  <w:pPr>
                    <w:keepNext w:val="0"/>
                    <w:keepLines w:val="0"/>
                    <w:pageBreakBefore w:val="0"/>
                    <w:widowControl w:val="0"/>
                    <w:kinsoku/>
                    <w:wordWrap/>
                    <w:overflowPunct/>
                    <w:topLinePunct w:val="0"/>
                    <w:autoSpaceDE w:val="0"/>
                    <w:autoSpaceDN w:val="0"/>
                    <w:bidi w:val="0"/>
                    <w:adjustRightInd w:val="0"/>
                    <w:snapToGrid w:val="0"/>
                    <w:jc w:val="center"/>
                    <w:textAlignment w:val="auto"/>
                    <w:rPr>
                      <w:color w:val="auto"/>
                      <w:kern w:val="0"/>
                      <w:sz w:val="21"/>
                      <w:szCs w:val="21"/>
                      <w:highlight w:val="none"/>
                    </w:rPr>
                  </w:pPr>
                  <w:r>
                    <w:rPr>
                      <w:color w:val="auto"/>
                      <w:kern w:val="0"/>
                      <w:sz w:val="21"/>
                      <w:szCs w:val="21"/>
                      <w:highlight w:val="none"/>
                    </w:rPr>
                    <w:t>取水口下游500米范围内有重要水生生物的自然产卵场、索饵场、越冬场和洄游通道的新增河道取水的污染类建设项目</w:t>
                  </w:r>
                </w:p>
              </w:tc>
              <w:tc>
                <w:tcPr>
                  <w:tcW w:w="1730" w:type="pct"/>
                  <w:tcBorders>
                    <w:tl2br w:val="nil"/>
                    <w:tr2bl w:val="nil"/>
                  </w:tcBorders>
                  <w:noWrap w:val="0"/>
                  <w:vAlign w:val="center"/>
                </w:tcPr>
                <w:p w14:paraId="3423DED1">
                  <w:pPr>
                    <w:keepNext w:val="0"/>
                    <w:keepLines w:val="0"/>
                    <w:pageBreakBefore w:val="0"/>
                    <w:widowControl w:val="0"/>
                    <w:kinsoku/>
                    <w:wordWrap/>
                    <w:overflowPunct/>
                    <w:topLinePunct w:val="0"/>
                    <w:autoSpaceDE w:val="0"/>
                    <w:autoSpaceDN w:val="0"/>
                    <w:bidi w:val="0"/>
                    <w:adjustRightInd w:val="0"/>
                    <w:snapToGrid w:val="0"/>
                    <w:jc w:val="center"/>
                    <w:textAlignment w:val="auto"/>
                    <w:rPr>
                      <w:color w:val="auto"/>
                      <w:kern w:val="0"/>
                      <w:sz w:val="21"/>
                      <w:szCs w:val="21"/>
                      <w:highlight w:val="none"/>
                    </w:rPr>
                  </w:pPr>
                  <w:r>
                    <w:rPr>
                      <w:color w:val="auto"/>
                      <w:kern w:val="0"/>
                      <w:sz w:val="21"/>
                      <w:szCs w:val="21"/>
                      <w:highlight w:val="none"/>
                    </w:rPr>
                    <w:t>不涉及</w:t>
                  </w:r>
                </w:p>
              </w:tc>
              <w:tc>
                <w:tcPr>
                  <w:tcW w:w="585" w:type="pct"/>
                  <w:tcBorders>
                    <w:tl2br w:val="nil"/>
                    <w:tr2bl w:val="nil"/>
                  </w:tcBorders>
                  <w:noWrap w:val="0"/>
                  <w:vAlign w:val="center"/>
                </w:tcPr>
                <w:p w14:paraId="7174E3B0">
                  <w:pPr>
                    <w:keepNext w:val="0"/>
                    <w:keepLines w:val="0"/>
                    <w:pageBreakBefore w:val="0"/>
                    <w:widowControl w:val="0"/>
                    <w:kinsoku/>
                    <w:wordWrap/>
                    <w:overflowPunct/>
                    <w:topLinePunct w:val="0"/>
                    <w:autoSpaceDE w:val="0"/>
                    <w:autoSpaceDN w:val="0"/>
                    <w:bidi w:val="0"/>
                    <w:adjustRightInd w:val="0"/>
                    <w:snapToGrid w:val="0"/>
                    <w:jc w:val="center"/>
                    <w:textAlignment w:val="auto"/>
                    <w:rPr>
                      <w:color w:val="auto"/>
                      <w:kern w:val="0"/>
                      <w:sz w:val="21"/>
                      <w:szCs w:val="21"/>
                      <w:highlight w:val="none"/>
                    </w:rPr>
                  </w:pPr>
                  <w:r>
                    <w:rPr>
                      <w:color w:val="auto"/>
                      <w:kern w:val="0"/>
                      <w:sz w:val="21"/>
                      <w:szCs w:val="21"/>
                      <w:highlight w:val="none"/>
                    </w:rPr>
                    <w:t>无</w:t>
                  </w:r>
                </w:p>
              </w:tc>
            </w:tr>
            <w:tr w14:paraId="294DE46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340" w:hRule="atLeast"/>
                <w:jc w:val="center"/>
              </w:trPr>
              <w:tc>
                <w:tcPr>
                  <w:tcW w:w="559" w:type="pct"/>
                  <w:tcBorders>
                    <w:tl2br w:val="nil"/>
                    <w:tr2bl w:val="nil"/>
                  </w:tcBorders>
                  <w:noWrap w:val="0"/>
                  <w:vAlign w:val="center"/>
                </w:tcPr>
                <w:p w14:paraId="51D47537">
                  <w:pPr>
                    <w:keepNext w:val="0"/>
                    <w:keepLines w:val="0"/>
                    <w:pageBreakBefore w:val="0"/>
                    <w:widowControl w:val="0"/>
                    <w:kinsoku/>
                    <w:wordWrap/>
                    <w:overflowPunct/>
                    <w:topLinePunct w:val="0"/>
                    <w:autoSpaceDE w:val="0"/>
                    <w:autoSpaceDN w:val="0"/>
                    <w:bidi w:val="0"/>
                    <w:adjustRightInd w:val="0"/>
                    <w:snapToGrid w:val="0"/>
                    <w:jc w:val="center"/>
                    <w:textAlignment w:val="auto"/>
                    <w:rPr>
                      <w:color w:val="auto"/>
                      <w:kern w:val="0"/>
                      <w:sz w:val="21"/>
                      <w:szCs w:val="21"/>
                      <w:highlight w:val="none"/>
                    </w:rPr>
                  </w:pPr>
                  <w:r>
                    <w:rPr>
                      <w:color w:val="auto"/>
                      <w:kern w:val="0"/>
                      <w:sz w:val="21"/>
                      <w:szCs w:val="21"/>
                      <w:highlight w:val="none"/>
                    </w:rPr>
                    <w:t>海洋</w:t>
                  </w:r>
                </w:p>
              </w:tc>
              <w:tc>
                <w:tcPr>
                  <w:tcW w:w="2124" w:type="pct"/>
                  <w:tcBorders>
                    <w:tl2br w:val="nil"/>
                    <w:tr2bl w:val="nil"/>
                  </w:tcBorders>
                  <w:noWrap w:val="0"/>
                  <w:vAlign w:val="center"/>
                </w:tcPr>
                <w:p w14:paraId="22995BB8">
                  <w:pPr>
                    <w:keepNext w:val="0"/>
                    <w:keepLines w:val="0"/>
                    <w:pageBreakBefore w:val="0"/>
                    <w:widowControl w:val="0"/>
                    <w:kinsoku/>
                    <w:wordWrap/>
                    <w:overflowPunct/>
                    <w:topLinePunct w:val="0"/>
                    <w:autoSpaceDE w:val="0"/>
                    <w:autoSpaceDN w:val="0"/>
                    <w:bidi w:val="0"/>
                    <w:adjustRightInd w:val="0"/>
                    <w:snapToGrid w:val="0"/>
                    <w:jc w:val="center"/>
                    <w:textAlignment w:val="auto"/>
                    <w:rPr>
                      <w:color w:val="auto"/>
                      <w:kern w:val="0"/>
                      <w:sz w:val="21"/>
                      <w:szCs w:val="21"/>
                      <w:highlight w:val="none"/>
                    </w:rPr>
                  </w:pPr>
                  <w:r>
                    <w:rPr>
                      <w:color w:val="auto"/>
                      <w:kern w:val="0"/>
                      <w:sz w:val="21"/>
                      <w:szCs w:val="21"/>
                      <w:highlight w:val="none"/>
                    </w:rPr>
                    <w:t>直接向海排放污染物的海洋工程建设项目</w:t>
                  </w:r>
                </w:p>
              </w:tc>
              <w:tc>
                <w:tcPr>
                  <w:tcW w:w="1730" w:type="pct"/>
                  <w:tcBorders>
                    <w:tl2br w:val="nil"/>
                    <w:tr2bl w:val="nil"/>
                  </w:tcBorders>
                  <w:noWrap w:val="0"/>
                  <w:vAlign w:val="center"/>
                </w:tcPr>
                <w:p w14:paraId="3C692712">
                  <w:pPr>
                    <w:keepNext w:val="0"/>
                    <w:keepLines w:val="0"/>
                    <w:pageBreakBefore w:val="0"/>
                    <w:widowControl w:val="0"/>
                    <w:kinsoku/>
                    <w:wordWrap/>
                    <w:overflowPunct/>
                    <w:topLinePunct w:val="0"/>
                    <w:autoSpaceDE w:val="0"/>
                    <w:autoSpaceDN w:val="0"/>
                    <w:bidi w:val="0"/>
                    <w:adjustRightInd w:val="0"/>
                    <w:snapToGrid w:val="0"/>
                    <w:jc w:val="center"/>
                    <w:textAlignment w:val="auto"/>
                    <w:rPr>
                      <w:color w:val="auto"/>
                      <w:kern w:val="0"/>
                      <w:sz w:val="21"/>
                      <w:szCs w:val="21"/>
                      <w:highlight w:val="none"/>
                    </w:rPr>
                  </w:pPr>
                  <w:r>
                    <w:rPr>
                      <w:color w:val="auto"/>
                      <w:kern w:val="0"/>
                      <w:sz w:val="21"/>
                      <w:szCs w:val="21"/>
                      <w:highlight w:val="none"/>
                    </w:rPr>
                    <w:t>不涉及</w:t>
                  </w:r>
                </w:p>
              </w:tc>
              <w:tc>
                <w:tcPr>
                  <w:tcW w:w="585" w:type="pct"/>
                  <w:tcBorders>
                    <w:tl2br w:val="nil"/>
                    <w:tr2bl w:val="nil"/>
                  </w:tcBorders>
                  <w:noWrap w:val="0"/>
                  <w:vAlign w:val="center"/>
                </w:tcPr>
                <w:p w14:paraId="5484D429">
                  <w:pPr>
                    <w:keepNext w:val="0"/>
                    <w:keepLines w:val="0"/>
                    <w:pageBreakBefore w:val="0"/>
                    <w:widowControl w:val="0"/>
                    <w:kinsoku/>
                    <w:wordWrap/>
                    <w:overflowPunct/>
                    <w:topLinePunct w:val="0"/>
                    <w:autoSpaceDE w:val="0"/>
                    <w:autoSpaceDN w:val="0"/>
                    <w:bidi w:val="0"/>
                    <w:adjustRightInd w:val="0"/>
                    <w:snapToGrid w:val="0"/>
                    <w:jc w:val="center"/>
                    <w:textAlignment w:val="auto"/>
                    <w:rPr>
                      <w:color w:val="auto"/>
                      <w:kern w:val="0"/>
                      <w:sz w:val="21"/>
                      <w:szCs w:val="21"/>
                      <w:highlight w:val="none"/>
                    </w:rPr>
                  </w:pPr>
                  <w:r>
                    <w:rPr>
                      <w:color w:val="auto"/>
                      <w:kern w:val="0"/>
                      <w:sz w:val="21"/>
                      <w:szCs w:val="21"/>
                      <w:highlight w:val="none"/>
                    </w:rPr>
                    <w:t>无</w:t>
                  </w:r>
                </w:p>
              </w:tc>
            </w:tr>
          </w:tbl>
          <w:p w14:paraId="22EF2F4E">
            <w:pPr>
              <w:overflowPunct w:val="0"/>
              <w:adjustRightInd w:val="0"/>
              <w:snapToGrid w:val="0"/>
              <w:jc w:val="center"/>
              <w:rPr>
                <w:color w:val="auto"/>
                <w:kern w:val="0"/>
              </w:rPr>
            </w:pPr>
          </w:p>
        </w:tc>
      </w:tr>
      <w:tr w14:paraId="2569754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779" w:hRule="atLeast"/>
          <w:jc w:val="center"/>
        </w:trPr>
        <w:tc>
          <w:tcPr>
            <w:tcW w:w="591" w:type="pct"/>
            <w:gridSpan w:val="2"/>
            <w:tcBorders>
              <w:top w:val="single" w:color="auto" w:sz="8" w:space="0"/>
              <w:bottom w:val="single" w:color="auto" w:sz="8" w:space="0"/>
              <w:right w:val="single" w:color="auto" w:sz="8" w:space="0"/>
            </w:tcBorders>
            <w:vAlign w:val="center"/>
          </w:tcPr>
          <w:p w14:paraId="23CFC67D">
            <w:pPr>
              <w:overflowPunct w:val="0"/>
              <w:adjustRightInd w:val="0"/>
              <w:snapToGrid w:val="0"/>
              <w:jc w:val="center"/>
              <w:rPr>
                <w:b/>
                <w:color w:val="auto"/>
                <w:kern w:val="0"/>
              </w:rPr>
            </w:pPr>
            <w:r>
              <w:rPr>
                <w:b/>
                <w:color w:val="auto"/>
              </w:rPr>
              <w:t>规划情况</w:t>
            </w:r>
          </w:p>
        </w:tc>
        <w:tc>
          <w:tcPr>
            <w:tcW w:w="7998" w:type="dxa"/>
            <w:gridSpan w:val="3"/>
            <w:tcBorders>
              <w:top w:val="single" w:color="auto" w:sz="8" w:space="0"/>
              <w:left w:val="single" w:color="auto" w:sz="8" w:space="0"/>
              <w:bottom w:val="single" w:color="auto" w:sz="8" w:space="0"/>
            </w:tcBorders>
            <w:vAlign w:val="center"/>
          </w:tcPr>
          <w:p w14:paraId="13AD15D5">
            <w:pPr>
              <w:pStyle w:val="23"/>
              <w:keepNext w:val="0"/>
              <w:keepLines w:val="0"/>
              <w:pageBreakBefore w:val="0"/>
              <w:widowControl w:val="0"/>
              <w:kinsoku/>
              <w:wordWrap/>
              <w:overflowPunct/>
              <w:topLinePunct w:val="0"/>
              <w:autoSpaceDE/>
              <w:autoSpaceDN/>
              <w:bidi w:val="0"/>
              <w:adjustRightInd w:val="0"/>
              <w:snapToGrid w:val="0"/>
              <w:spacing w:after="0" w:line="360" w:lineRule="auto"/>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规划名称：</w:t>
            </w:r>
            <w:r>
              <w:rPr>
                <w:rFonts w:hint="default" w:ascii="Times New Roman" w:hAnsi="Times New Roman" w:eastAsia="宋体" w:cs="Times New Roman"/>
                <w:color w:val="auto"/>
                <w:kern w:val="0"/>
                <w:sz w:val="21"/>
                <w:szCs w:val="21"/>
                <w:lang w:val="en-US" w:eastAsia="zh-CN" w:bidi="ar-SA"/>
              </w:rPr>
              <w:t>《江苏省金坛华罗庚高新技术产业开发区控制性详细规划》</w:t>
            </w:r>
          </w:p>
          <w:p w14:paraId="37EE0CE9">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审查机关：常州市金坛区人民政府</w:t>
            </w:r>
          </w:p>
          <w:p w14:paraId="05972D40">
            <w:pPr>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color w:val="auto"/>
              </w:rPr>
            </w:pPr>
            <w:r>
              <w:rPr>
                <w:rFonts w:hint="default" w:ascii="Times New Roman" w:hAnsi="Times New Roman" w:eastAsia="宋体" w:cs="Times New Roman"/>
                <w:color w:val="auto"/>
                <w:kern w:val="0"/>
                <w:sz w:val="21"/>
                <w:szCs w:val="21"/>
                <w:lang w:val="en-US" w:eastAsia="zh-CN" w:bidi="ar-SA"/>
              </w:rPr>
              <w:t>审查文件名称及文号：《常州市金坛区人民政府关于同意江苏省金坛华罗庚高新技术产业开发区控制性详细规划的批复》（坛政复[2021]176号</w:t>
            </w:r>
          </w:p>
        </w:tc>
      </w:tr>
      <w:tr w14:paraId="3692B33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00" w:hRule="atLeast"/>
          <w:jc w:val="center"/>
        </w:trPr>
        <w:tc>
          <w:tcPr>
            <w:tcW w:w="591" w:type="pct"/>
            <w:gridSpan w:val="2"/>
            <w:tcBorders>
              <w:top w:val="single" w:color="auto" w:sz="8" w:space="0"/>
              <w:bottom w:val="single" w:color="auto" w:sz="8" w:space="0"/>
              <w:right w:val="single" w:color="auto" w:sz="8" w:space="0"/>
            </w:tcBorders>
            <w:vAlign w:val="center"/>
          </w:tcPr>
          <w:p w14:paraId="51CA77A5">
            <w:pPr>
              <w:overflowPunct w:val="0"/>
              <w:adjustRightInd w:val="0"/>
              <w:snapToGrid w:val="0"/>
              <w:jc w:val="center"/>
              <w:rPr>
                <w:b/>
                <w:color w:val="auto"/>
              </w:rPr>
            </w:pPr>
            <w:r>
              <w:rPr>
                <w:b/>
                <w:bCs/>
                <w:color w:val="auto"/>
              </w:rPr>
              <w:t>规划环境影响评价情况</w:t>
            </w:r>
          </w:p>
        </w:tc>
        <w:tc>
          <w:tcPr>
            <w:tcW w:w="7998" w:type="dxa"/>
            <w:gridSpan w:val="3"/>
            <w:tcBorders>
              <w:top w:val="single" w:color="auto" w:sz="8" w:space="0"/>
              <w:left w:val="single" w:color="auto" w:sz="8" w:space="0"/>
              <w:bottom w:val="single" w:color="auto" w:sz="8" w:space="0"/>
            </w:tcBorders>
            <w:vAlign w:val="center"/>
          </w:tcPr>
          <w:p w14:paraId="7A7AD2E0">
            <w:pPr>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color w:val="auto"/>
                <w:sz w:val="21"/>
                <w:szCs w:val="21"/>
                <w:highlight w:val="none"/>
              </w:rPr>
            </w:pPr>
            <w:r>
              <w:rPr>
                <w:color w:val="auto"/>
                <w:sz w:val="21"/>
                <w:szCs w:val="21"/>
                <w:highlight w:val="none"/>
              </w:rPr>
              <w:t>规划环境影响评价文件名称：</w:t>
            </w:r>
            <w:r>
              <w:rPr>
                <w:rFonts w:hint="eastAsia"/>
                <w:color w:val="auto"/>
                <w:sz w:val="21"/>
                <w:szCs w:val="21"/>
                <w:highlight w:val="none"/>
              </w:rPr>
              <w:t>《江苏省金坛华罗庚高新技术产业园开发区开发建设规划（2022~2035）环境影响报告书》</w:t>
            </w:r>
          </w:p>
          <w:p w14:paraId="1EFD8488">
            <w:pPr>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color w:val="auto"/>
                <w:sz w:val="21"/>
                <w:szCs w:val="21"/>
                <w:highlight w:val="none"/>
              </w:rPr>
            </w:pPr>
            <w:r>
              <w:rPr>
                <w:color w:val="auto"/>
                <w:sz w:val="21"/>
                <w:szCs w:val="21"/>
                <w:highlight w:val="none"/>
              </w:rPr>
              <w:t>审查机关：</w:t>
            </w:r>
            <w:r>
              <w:rPr>
                <w:rFonts w:hint="default" w:ascii="Times New Roman" w:hAnsi="Times New Roman" w:eastAsia="宋体" w:cs="Times New Roman"/>
                <w:color w:val="auto"/>
              </w:rPr>
              <w:t>常州市生态环境局</w:t>
            </w:r>
          </w:p>
          <w:p w14:paraId="2A87BAC9">
            <w:pPr>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color w:val="auto"/>
                <w:sz w:val="21"/>
                <w:szCs w:val="21"/>
                <w:highlight w:val="none"/>
              </w:rPr>
            </w:pPr>
            <w:r>
              <w:rPr>
                <w:color w:val="auto"/>
                <w:sz w:val="21"/>
                <w:szCs w:val="21"/>
                <w:highlight w:val="none"/>
              </w:rPr>
              <w:t>审查文件：</w:t>
            </w:r>
            <w:r>
              <w:rPr>
                <w:rFonts w:hint="eastAsia"/>
                <w:color w:val="auto"/>
                <w:sz w:val="21"/>
                <w:szCs w:val="21"/>
                <w:highlight w:val="none"/>
              </w:rPr>
              <w:t>《市生态环境局关于江苏省金坛华罗庚高新技术产业园开发区开发建设规划（2022~2035）环境影响报告书的审查意见》</w:t>
            </w:r>
          </w:p>
          <w:p w14:paraId="155A5B8E">
            <w:pPr>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color w:val="auto"/>
              </w:rPr>
            </w:pPr>
            <w:r>
              <w:rPr>
                <w:color w:val="auto"/>
                <w:sz w:val="21"/>
                <w:szCs w:val="21"/>
                <w:highlight w:val="none"/>
              </w:rPr>
              <w:t>审查文号：</w:t>
            </w:r>
            <w:r>
              <w:rPr>
                <w:rFonts w:hint="eastAsia"/>
                <w:color w:val="auto"/>
                <w:sz w:val="21"/>
                <w:szCs w:val="21"/>
                <w:highlight w:val="none"/>
              </w:rPr>
              <w:t>常金环审[2023]4号</w:t>
            </w:r>
          </w:p>
        </w:tc>
      </w:tr>
      <w:tr w14:paraId="1C21911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903" w:hRule="atLeast"/>
          <w:jc w:val="center"/>
        </w:trPr>
        <w:tc>
          <w:tcPr>
            <w:tcW w:w="388" w:type="pct"/>
            <w:tcBorders>
              <w:top w:val="single" w:color="auto" w:sz="8" w:space="0"/>
            </w:tcBorders>
            <w:vAlign w:val="center"/>
          </w:tcPr>
          <w:p w14:paraId="7D2EF4E7">
            <w:pPr>
              <w:overflowPunct w:val="0"/>
              <w:adjustRightInd w:val="0"/>
              <w:snapToGrid w:val="0"/>
              <w:jc w:val="center"/>
              <w:rPr>
                <w:b/>
                <w:color w:val="auto"/>
                <w:kern w:val="0"/>
              </w:rPr>
            </w:pPr>
            <w:r>
              <w:rPr>
                <w:rFonts w:hint="eastAsia"/>
                <w:b/>
                <w:color w:val="auto"/>
              </w:rPr>
              <w:t>规划及</w:t>
            </w:r>
            <w:r>
              <w:rPr>
                <w:b/>
                <w:color w:val="auto"/>
              </w:rPr>
              <w:t>规划环境影响评价</w:t>
            </w:r>
            <w:r>
              <w:rPr>
                <w:rFonts w:hint="eastAsia"/>
                <w:b/>
                <w:color w:val="auto"/>
              </w:rPr>
              <w:t>符合性分析</w:t>
            </w:r>
          </w:p>
        </w:tc>
        <w:tc>
          <w:tcPr>
            <w:tcW w:w="4611" w:type="pct"/>
            <w:gridSpan w:val="4"/>
            <w:tcBorders>
              <w:top w:val="single" w:color="auto" w:sz="8" w:space="0"/>
            </w:tcBorders>
            <w:vAlign w:val="center"/>
          </w:tcPr>
          <w:p w14:paraId="758A771F">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textAlignment w:val="auto"/>
              <w:rPr>
                <w:b/>
                <w:bCs/>
                <w:color w:val="auto"/>
                <w:szCs w:val="21"/>
              </w:rPr>
            </w:pPr>
            <w:r>
              <w:rPr>
                <w:rFonts w:hint="eastAsia"/>
                <w:b/>
                <w:bCs/>
                <w:color w:val="auto"/>
                <w:szCs w:val="21"/>
              </w:rPr>
              <w:t>1、</w:t>
            </w:r>
            <w:r>
              <w:rPr>
                <w:b/>
                <w:bCs/>
                <w:color w:val="auto"/>
                <w:szCs w:val="21"/>
              </w:rPr>
              <w:t>规划相符性</w:t>
            </w:r>
          </w:p>
          <w:p w14:paraId="324E6C81">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both"/>
              <w:textAlignment w:val="auto"/>
              <w:rPr>
                <w:rFonts w:hint="eastAsia"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rPr>
              <w:t>本项目</w:t>
            </w:r>
            <w:r>
              <w:rPr>
                <w:rFonts w:hint="default" w:ascii="Times New Roman" w:hAnsi="Times New Roman" w:eastAsia="宋体" w:cs="Times New Roman"/>
                <w:b w:val="0"/>
                <w:bCs w:val="0"/>
                <w:color w:val="auto"/>
                <w:sz w:val="21"/>
                <w:szCs w:val="21"/>
                <w:highlight w:val="none"/>
              </w:rPr>
              <w:t>与《江苏省金坛华罗庚高新技术产业开发区控制性详细规划》相符性分析见</w:t>
            </w:r>
            <w:r>
              <w:rPr>
                <w:rFonts w:hint="eastAsia" w:ascii="Times New Roman" w:hAnsi="Times New Roman" w:eastAsia="宋体" w:cs="Times New Roman"/>
                <w:b w:val="0"/>
                <w:bCs w:val="0"/>
                <w:color w:val="auto"/>
                <w:sz w:val="21"/>
                <w:szCs w:val="21"/>
                <w:highlight w:val="none"/>
                <w:lang w:val="en-US" w:eastAsia="zh-CN"/>
              </w:rPr>
              <w:t>下表</w:t>
            </w:r>
            <w:r>
              <w:rPr>
                <w:rFonts w:hint="eastAsia" w:ascii="Times New Roman" w:hAnsi="Times New Roman" w:eastAsia="宋体" w:cs="Times New Roman"/>
                <w:b w:val="0"/>
                <w:bCs w:val="0"/>
                <w:color w:val="auto"/>
                <w:sz w:val="21"/>
                <w:szCs w:val="21"/>
                <w:highlight w:val="none"/>
                <w:lang w:eastAsia="zh-CN"/>
              </w:rPr>
              <w:t>。</w:t>
            </w:r>
          </w:p>
          <w:p w14:paraId="1FBE5753">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highlight w:val="none"/>
              </w:rPr>
              <w:t>表1-</w:t>
            </w:r>
            <w:r>
              <w:rPr>
                <w:rFonts w:hint="eastAsia" w:ascii="Times New Roman" w:hAnsi="Times New Roman" w:eastAsia="宋体" w:cs="Times New Roman"/>
                <w:b/>
                <w:bCs/>
                <w:color w:val="auto"/>
                <w:sz w:val="21"/>
                <w:szCs w:val="21"/>
                <w:highlight w:val="none"/>
                <w:lang w:val="en-US" w:eastAsia="zh-CN"/>
              </w:rPr>
              <w:t>1</w:t>
            </w:r>
            <w:r>
              <w:rPr>
                <w:rFonts w:hint="default" w:ascii="Times New Roman" w:hAnsi="Times New Roman" w:eastAsia="宋体" w:cs="Times New Roman"/>
                <w:b/>
                <w:bCs/>
                <w:color w:val="auto"/>
                <w:sz w:val="21"/>
                <w:szCs w:val="21"/>
                <w:highlight w:val="none"/>
              </w:rPr>
              <w:t xml:space="preserve"> </w:t>
            </w:r>
            <w:r>
              <w:rPr>
                <w:rFonts w:hint="eastAsia" w:eastAsia="宋体" w:cs="Times New Roman"/>
                <w:b/>
                <w:bCs/>
                <w:color w:val="auto"/>
                <w:sz w:val="21"/>
                <w:szCs w:val="21"/>
                <w:highlight w:val="none"/>
                <w:lang w:val="en-US" w:eastAsia="zh-CN"/>
              </w:rPr>
              <w:t xml:space="preserve">  </w:t>
            </w:r>
            <w:r>
              <w:rPr>
                <w:rFonts w:hint="default" w:ascii="Times New Roman" w:hAnsi="Times New Roman" w:eastAsia="宋体" w:cs="Times New Roman"/>
                <w:b/>
                <w:bCs/>
                <w:color w:val="auto"/>
                <w:sz w:val="21"/>
                <w:szCs w:val="21"/>
                <w:highlight w:val="none"/>
              </w:rPr>
              <w:t>本项目</w:t>
            </w:r>
            <w:r>
              <w:rPr>
                <w:rFonts w:hint="default" w:ascii="Times New Roman" w:hAnsi="Times New Roman" w:eastAsia="宋体" w:cs="Times New Roman"/>
                <w:b/>
                <w:bCs/>
                <w:color w:val="auto"/>
                <w:sz w:val="21"/>
                <w:szCs w:val="21"/>
                <w:highlight w:val="none"/>
                <w:lang w:val="en-US" w:eastAsia="zh-CN"/>
              </w:rPr>
              <w:t>与《江苏省金坛华罗庚高新技术产业开发区控制性详细规划》</w:t>
            </w:r>
            <w:r>
              <w:rPr>
                <w:rFonts w:hint="default" w:ascii="Times New Roman" w:hAnsi="Times New Roman" w:eastAsia="宋体" w:cs="Times New Roman"/>
                <w:b/>
                <w:bCs/>
                <w:color w:val="auto"/>
                <w:sz w:val="21"/>
                <w:szCs w:val="21"/>
              </w:rPr>
              <w:t>相符性分析</w:t>
            </w:r>
          </w:p>
          <w:tbl>
            <w:tblPr>
              <w:tblStyle w:val="59"/>
              <w:tblW w:w="5000" w:type="pct"/>
              <w:tblInd w:w="0" w:type="dxa"/>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0" w:type="dxa"/>
                <w:bottom w:w="0" w:type="dxa"/>
                <w:right w:w="0" w:type="dxa"/>
              </w:tblCellMar>
            </w:tblPr>
            <w:tblGrid>
              <w:gridCol w:w="5026"/>
              <w:gridCol w:w="2378"/>
              <w:gridCol w:w="747"/>
            </w:tblGrid>
            <w:tr w14:paraId="509BA4E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40" w:hRule="atLeast"/>
              </w:trPr>
              <w:tc>
                <w:tcPr>
                  <w:tcW w:w="3083" w:type="pct"/>
                  <w:tcBorders>
                    <w:tl2br w:val="nil"/>
                    <w:tr2bl w:val="nil"/>
                  </w:tcBorders>
                  <w:noWrap w:val="0"/>
                  <w:vAlign w:val="center"/>
                </w:tcPr>
                <w:p w14:paraId="49F81377">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b/>
                      <w:bCs w:val="0"/>
                      <w:color w:val="auto"/>
                      <w:sz w:val="21"/>
                      <w:szCs w:val="21"/>
                      <w:lang w:eastAsia="zh-CN"/>
                    </w:rPr>
                  </w:pPr>
                  <w:r>
                    <w:rPr>
                      <w:rFonts w:hint="default" w:ascii="Times New Roman" w:hAnsi="Times New Roman" w:eastAsia="宋体" w:cs="Times New Roman"/>
                      <w:b/>
                      <w:bCs w:val="0"/>
                      <w:color w:val="auto"/>
                      <w:sz w:val="21"/>
                      <w:szCs w:val="21"/>
                    </w:rPr>
                    <w:t>相关</w:t>
                  </w:r>
                  <w:r>
                    <w:rPr>
                      <w:rFonts w:hint="eastAsia" w:ascii="Times New Roman" w:hAnsi="Times New Roman" w:eastAsia="宋体" w:cs="Times New Roman"/>
                      <w:b/>
                      <w:bCs w:val="0"/>
                      <w:color w:val="auto"/>
                      <w:sz w:val="21"/>
                      <w:szCs w:val="21"/>
                      <w:lang w:val="en-US" w:eastAsia="zh-CN"/>
                    </w:rPr>
                    <w:t>要求</w:t>
                  </w:r>
                </w:p>
              </w:tc>
              <w:tc>
                <w:tcPr>
                  <w:tcW w:w="1458" w:type="pct"/>
                  <w:tcBorders>
                    <w:tl2br w:val="nil"/>
                    <w:tr2bl w:val="nil"/>
                  </w:tcBorders>
                  <w:noWrap w:val="0"/>
                  <w:vAlign w:val="center"/>
                </w:tcPr>
                <w:p w14:paraId="460DAF8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z w:val="21"/>
                      <w:szCs w:val="21"/>
                      <w:lang w:val="en-US" w:eastAsia="zh-CN"/>
                    </w:rPr>
                  </w:pPr>
                  <w:r>
                    <w:rPr>
                      <w:rFonts w:hint="eastAsia" w:ascii="Times New Roman" w:hAnsi="Times New Roman" w:eastAsia="宋体" w:cs="Times New Roman"/>
                      <w:b/>
                      <w:bCs w:val="0"/>
                      <w:color w:val="auto"/>
                      <w:sz w:val="21"/>
                      <w:szCs w:val="21"/>
                      <w:lang w:val="en-US" w:eastAsia="zh-CN"/>
                    </w:rPr>
                    <w:t>本项目情况</w:t>
                  </w:r>
                </w:p>
              </w:tc>
              <w:tc>
                <w:tcPr>
                  <w:tcW w:w="458" w:type="pct"/>
                  <w:tcBorders>
                    <w:tl2br w:val="nil"/>
                    <w:tr2bl w:val="nil"/>
                  </w:tcBorders>
                  <w:noWrap w:val="0"/>
                  <w:vAlign w:val="center"/>
                </w:tcPr>
                <w:p w14:paraId="4363F66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相符性</w:t>
                  </w:r>
                </w:p>
              </w:tc>
            </w:tr>
            <w:tr w14:paraId="4832BB73">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40" w:hRule="atLeast"/>
              </w:trPr>
              <w:tc>
                <w:tcPr>
                  <w:tcW w:w="3083" w:type="pct"/>
                  <w:tcBorders>
                    <w:tl2br w:val="nil"/>
                    <w:tr2bl w:val="nil"/>
                  </w:tcBorders>
                  <w:noWrap w:val="0"/>
                  <w:vAlign w:val="center"/>
                </w:tcPr>
                <w:p w14:paraId="01975F30">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b w:val="0"/>
                      <w:bCs/>
                      <w:color w:val="auto"/>
                      <w:kern w:val="44"/>
                      <w:sz w:val="21"/>
                      <w:szCs w:val="21"/>
                      <w:lang w:eastAsia="zh-CN"/>
                    </w:rPr>
                  </w:pPr>
                  <w:r>
                    <w:rPr>
                      <w:rFonts w:hint="eastAsia" w:ascii="Times New Roman" w:hAnsi="Times New Roman" w:eastAsia="宋体" w:cs="Times New Roman"/>
                      <w:b w:val="0"/>
                      <w:bCs/>
                      <w:color w:val="auto"/>
                      <w:kern w:val="44"/>
                      <w:sz w:val="21"/>
                      <w:szCs w:val="21"/>
                      <w:lang w:eastAsia="zh-CN"/>
                    </w:rPr>
                    <w:t>规划范围：包括华罗庚产业科技园（东至G233，南至江东大道、西至金湖路、北至金坛大道）、金东现代产业园（东至G233、南至河下东街、西至金湖南路、北至长荡湖北路）、华罗庚科学城（东至庆生路、南至长荡湖北路、西至丹桂南路、北至华家路），规划面积46.02平方公里</w:t>
                  </w:r>
                </w:p>
              </w:tc>
              <w:tc>
                <w:tcPr>
                  <w:tcW w:w="1458" w:type="pct"/>
                  <w:tcBorders>
                    <w:tl2br w:val="nil"/>
                    <w:tr2bl w:val="nil"/>
                  </w:tcBorders>
                  <w:noWrap w:val="0"/>
                  <w:vAlign w:val="center"/>
                </w:tcPr>
                <w:p w14:paraId="64CAB8A4">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auto"/>
                      <w:sz w:val="21"/>
                      <w:szCs w:val="21"/>
                    </w:rPr>
                  </w:pPr>
                  <w:r>
                    <w:rPr>
                      <w:rFonts w:hint="eastAsia" w:ascii="Times New Roman" w:hAnsi="Times New Roman" w:eastAsia="宋体" w:cs="Times New Roman"/>
                      <w:b w:val="0"/>
                      <w:bCs/>
                      <w:color w:val="auto"/>
                      <w:kern w:val="44"/>
                      <w:sz w:val="21"/>
                      <w:szCs w:val="21"/>
                      <w:lang w:val="en-US" w:eastAsia="zh-CN"/>
                    </w:rPr>
                    <w:t>项目建设地位于</w:t>
                  </w:r>
                  <w:r>
                    <w:rPr>
                      <w:rFonts w:hint="eastAsia"/>
                      <w:color w:val="auto"/>
                      <w:lang w:eastAsia="zh-CN"/>
                    </w:rPr>
                    <w:t>江苏省常州市金坛区亿晶路99号</w:t>
                  </w:r>
                  <w:r>
                    <w:rPr>
                      <w:rFonts w:hint="eastAsia" w:ascii="Times New Roman" w:hAnsi="Times New Roman" w:eastAsia="宋体" w:cs="Times New Roman"/>
                      <w:b w:val="0"/>
                      <w:bCs/>
                      <w:color w:val="auto"/>
                      <w:kern w:val="44"/>
                      <w:sz w:val="21"/>
                      <w:szCs w:val="21"/>
                      <w:lang w:val="en-US" w:eastAsia="zh-CN"/>
                    </w:rPr>
                    <w:t>，位于</w:t>
                  </w:r>
                  <w:r>
                    <w:rPr>
                      <w:rFonts w:hint="default" w:ascii="Times New Roman" w:hAnsi="Times New Roman" w:eastAsia="宋体" w:cs="Times New Roman"/>
                      <w:color w:val="auto"/>
                      <w:kern w:val="0"/>
                      <w:sz w:val="21"/>
                      <w:szCs w:val="21"/>
                    </w:rPr>
                    <w:t>江苏省金坛华罗庚高新技术产业开发区</w:t>
                  </w:r>
                  <w:r>
                    <w:rPr>
                      <w:rFonts w:hint="eastAsia" w:ascii="Times New Roman" w:hAnsi="Times New Roman" w:eastAsia="宋体" w:cs="Times New Roman"/>
                      <w:color w:val="auto"/>
                      <w:kern w:val="0"/>
                      <w:sz w:val="21"/>
                      <w:szCs w:val="21"/>
                      <w:lang w:val="en-US" w:eastAsia="zh-CN"/>
                    </w:rPr>
                    <w:t>中</w:t>
                  </w:r>
                  <w:r>
                    <w:rPr>
                      <w:rFonts w:hint="eastAsia" w:eastAsia="宋体" w:cs="Times New Roman"/>
                      <w:color w:val="auto"/>
                      <w:kern w:val="0"/>
                      <w:sz w:val="21"/>
                      <w:szCs w:val="21"/>
                      <w:lang w:val="en-US" w:eastAsia="zh-CN"/>
                    </w:rPr>
                    <w:t>华罗庚科技产业园</w:t>
                  </w:r>
                  <w:r>
                    <w:rPr>
                      <w:rFonts w:hint="default" w:ascii="Times New Roman" w:hAnsi="Times New Roman" w:eastAsia="宋体" w:cs="Times New Roman"/>
                      <w:color w:val="auto"/>
                      <w:kern w:val="0"/>
                      <w:sz w:val="21"/>
                      <w:szCs w:val="21"/>
                    </w:rPr>
                    <w:t>（</w:t>
                  </w:r>
                  <w:r>
                    <w:rPr>
                      <w:rFonts w:hint="eastAsia" w:eastAsia="宋体" w:cs="Times New Roman"/>
                      <w:color w:val="auto"/>
                      <w:kern w:val="0"/>
                      <w:sz w:val="21"/>
                      <w:szCs w:val="21"/>
                      <w:lang w:val="en-US" w:eastAsia="zh-CN"/>
                    </w:rPr>
                    <w:t>北区</w:t>
                  </w:r>
                  <w:r>
                    <w:rPr>
                      <w:rFonts w:hint="default" w:ascii="Times New Roman" w:hAnsi="Times New Roman" w:eastAsia="宋体" w:cs="Times New Roman"/>
                      <w:color w:val="auto"/>
                      <w:kern w:val="0"/>
                      <w:sz w:val="21"/>
                      <w:szCs w:val="21"/>
                    </w:rPr>
                    <w:t>）</w:t>
                  </w:r>
                </w:p>
              </w:tc>
              <w:tc>
                <w:tcPr>
                  <w:tcW w:w="458" w:type="pct"/>
                  <w:tcBorders>
                    <w:tl2br w:val="nil"/>
                    <w:tr2bl w:val="nil"/>
                  </w:tcBorders>
                  <w:noWrap w:val="0"/>
                  <w:vAlign w:val="center"/>
                </w:tcPr>
                <w:p w14:paraId="0DAABB9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相符</w:t>
                  </w:r>
                </w:p>
              </w:tc>
            </w:tr>
          </w:tbl>
          <w:p w14:paraId="1A3EC5A0">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color w:val="auto"/>
                <w:sz w:val="21"/>
                <w:szCs w:val="21"/>
                <w:highlight w:val="none"/>
              </w:rPr>
            </w:pPr>
            <w:r>
              <w:rPr>
                <w:rFonts w:hint="default" w:ascii="Times New Roman" w:hAnsi="Times New Roman" w:eastAsia="宋体" w:cs="Times New Roman"/>
                <w:color w:val="auto"/>
                <w:kern w:val="0"/>
                <w:sz w:val="21"/>
                <w:szCs w:val="21"/>
              </w:rPr>
              <w:t>项目建设地位于</w:t>
            </w:r>
            <w:r>
              <w:rPr>
                <w:rFonts w:hint="eastAsia"/>
                <w:color w:val="auto"/>
                <w:lang w:eastAsia="zh-CN"/>
              </w:rPr>
              <w:t>江苏省常州市金坛区亿晶路99号</w:t>
            </w:r>
            <w:r>
              <w:rPr>
                <w:rFonts w:hint="default" w:ascii="Times New Roman" w:hAnsi="Times New Roman" w:eastAsia="宋体" w:cs="Times New Roman"/>
                <w:color w:val="auto"/>
                <w:kern w:val="0"/>
                <w:sz w:val="21"/>
                <w:szCs w:val="21"/>
              </w:rPr>
              <w:t>，</w:t>
            </w:r>
            <w:r>
              <w:rPr>
                <w:rFonts w:hint="eastAsia" w:ascii="Times New Roman" w:hAnsi="Times New Roman" w:eastAsia="宋体" w:cs="Times New Roman"/>
                <w:color w:val="auto"/>
                <w:kern w:val="0"/>
                <w:sz w:val="21"/>
                <w:szCs w:val="21"/>
                <w:lang w:val="en-US" w:eastAsia="zh-CN"/>
              </w:rPr>
              <w:t>位于</w:t>
            </w:r>
            <w:r>
              <w:rPr>
                <w:rFonts w:hint="default" w:ascii="Times New Roman" w:hAnsi="Times New Roman" w:eastAsia="宋体" w:cs="Times New Roman"/>
                <w:bCs/>
                <w:color w:val="auto"/>
                <w:sz w:val="21"/>
                <w:szCs w:val="21"/>
              </w:rPr>
              <w:t>江</w:t>
            </w:r>
            <w:r>
              <w:rPr>
                <w:rFonts w:hint="default" w:ascii="Times New Roman" w:hAnsi="Times New Roman" w:eastAsia="宋体" w:cs="Times New Roman"/>
                <w:color w:val="auto"/>
                <w:kern w:val="0"/>
                <w:sz w:val="21"/>
                <w:szCs w:val="21"/>
              </w:rPr>
              <w:t>苏省金坛华罗庚高新技术产业开发区</w:t>
            </w:r>
            <w:r>
              <w:rPr>
                <w:rFonts w:hint="eastAsia" w:ascii="Times New Roman" w:hAnsi="Times New Roman" w:eastAsia="宋体" w:cs="Times New Roman"/>
                <w:color w:val="auto"/>
                <w:kern w:val="0"/>
                <w:sz w:val="21"/>
                <w:szCs w:val="21"/>
                <w:lang w:val="en-US" w:eastAsia="zh-CN"/>
              </w:rPr>
              <w:t>中</w:t>
            </w:r>
            <w:r>
              <w:rPr>
                <w:rFonts w:hint="eastAsia" w:eastAsia="宋体" w:cs="Times New Roman"/>
                <w:color w:val="auto"/>
                <w:kern w:val="0"/>
                <w:sz w:val="21"/>
                <w:szCs w:val="21"/>
                <w:lang w:val="en-US" w:eastAsia="zh-CN"/>
              </w:rPr>
              <w:t>华罗庚科技产业园</w:t>
            </w:r>
            <w:r>
              <w:rPr>
                <w:rFonts w:hint="default" w:ascii="Times New Roman" w:hAnsi="Times New Roman" w:eastAsia="宋体" w:cs="Times New Roman"/>
                <w:color w:val="auto"/>
                <w:kern w:val="0"/>
                <w:sz w:val="21"/>
                <w:szCs w:val="21"/>
              </w:rPr>
              <w:t>（</w:t>
            </w:r>
            <w:r>
              <w:rPr>
                <w:rFonts w:hint="eastAsia" w:eastAsia="宋体" w:cs="Times New Roman"/>
                <w:color w:val="auto"/>
                <w:kern w:val="0"/>
                <w:sz w:val="21"/>
                <w:szCs w:val="21"/>
                <w:lang w:val="en-US" w:eastAsia="zh-CN"/>
              </w:rPr>
              <w:t>北区</w:t>
            </w:r>
            <w:r>
              <w:rPr>
                <w:rFonts w:hint="default" w:ascii="Times New Roman" w:hAnsi="Times New Roman" w:eastAsia="宋体" w:cs="Times New Roman"/>
                <w:color w:val="auto"/>
                <w:kern w:val="0"/>
                <w:sz w:val="21"/>
                <w:szCs w:val="21"/>
              </w:rPr>
              <w:t>）</w:t>
            </w:r>
            <w:r>
              <w:rPr>
                <w:rFonts w:hint="eastAsia" w:ascii="Times New Roman" w:hAnsi="Times New Roman" w:eastAsia="宋体" w:cs="Times New Roman"/>
                <w:bCs/>
                <w:color w:val="auto"/>
                <w:sz w:val="21"/>
                <w:szCs w:val="21"/>
                <w:lang w:eastAsia="zh-CN"/>
              </w:rPr>
              <w:t>，</w:t>
            </w:r>
            <w:r>
              <w:rPr>
                <w:rFonts w:hint="default" w:ascii="Times New Roman" w:hAnsi="Times New Roman" w:eastAsia="宋体" w:cs="Times New Roman"/>
                <w:bCs/>
                <w:color w:val="auto"/>
                <w:sz w:val="21"/>
                <w:szCs w:val="21"/>
              </w:rPr>
              <w:t>根据用地规划图，项目用地地块属于</w:t>
            </w:r>
            <w:r>
              <w:rPr>
                <w:rFonts w:hint="eastAsia" w:eastAsia="宋体" w:cs="Times New Roman"/>
                <w:bCs/>
                <w:color w:val="auto"/>
                <w:sz w:val="21"/>
                <w:szCs w:val="21"/>
                <w:lang w:val="en-US" w:eastAsia="zh-CN"/>
              </w:rPr>
              <w:t>一</w:t>
            </w:r>
            <w:r>
              <w:rPr>
                <w:rFonts w:hint="default" w:ascii="Times New Roman" w:hAnsi="Times New Roman" w:eastAsia="宋体" w:cs="Times New Roman"/>
                <w:bCs/>
                <w:color w:val="auto"/>
                <w:sz w:val="21"/>
                <w:szCs w:val="21"/>
              </w:rPr>
              <w:t>类工业用地</w:t>
            </w:r>
            <w:r>
              <w:rPr>
                <w:rFonts w:hint="eastAsia" w:eastAsia="宋体" w:cs="Times New Roman"/>
                <w:bCs/>
                <w:color w:val="auto"/>
                <w:sz w:val="21"/>
                <w:szCs w:val="21"/>
                <w:lang w:eastAsia="zh-CN"/>
              </w:rPr>
              <w:t>（</w:t>
            </w:r>
            <w:r>
              <w:rPr>
                <w:rFonts w:hint="eastAsia" w:eastAsia="宋体" w:cs="Times New Roman"/>
                <w:bCs/>
                <w:color w:val="auto"/>
                <w:sz w:val="21"/>
                <w:szCs w:val="21"/>
                <w:lang w:val="en-US" w:eastAsia="zh-CN"/>
              </w:rPr>
              <w:t>见附图5用地规划图</w:t>
            </w:r>
            <w:r>
              <w:rPr>
                <w:rFonts w:hint="eastAsia" w:eastAsia="宋体" w:cs="Times New Roman"/>
                <w:bCs/>
                <w:color w:val="auto"/>
                <w:sz w:val="21"/>
                <w:szCs w:val="21"/>
                <w:lang w:eastAsia="zh-CN"/>
              </w:rPr>
              <w:t>）</w:t>
            </w:r>
            <w:r>
              <w:rPr>
                <w:rFonts w:hint="default" w:ascii="Times New Roman" w:hAnsi="Times New Roman" w:eastAsia="宋体" w:cs="Times New Roman"/>
                <w:bCs/>
                <w:color w:val="auto"/>
                <w:sz w:val="21"/>
                <w:szCs w:val="21"/>
              </w:rPr>
              <w:t>，满足规划要求。因此项目建设符合《江苏省金坛华罗庚高新技术产业开发区控制性详细规划》中相关要求。</w:t>
            </w:r>
          </w:p>
          <w:p w14:paraId="3DED2059">
            <w:pPr>
              <w:keepNext w:val="0"/>
              <w:keepLines w:val="0"/>
              <w:pageBreakBefore w:val="0"/>
              <w:widowControl w:val="0"/>
              <w:kinsoku/>
              <w:wordWrap/>
              <w:overflowPunct/>
              <w:topLinePunct w:val="0"/>
              <w:autoSpaceDE w:val="0"/>
              <w:autoSpaceDN w:val="0"/>
              <w:bidi w:val="0"/>
              <w:adjustRightInd w:val="0"/>
              <w:snapToGrid w:val="0"/>
              <w:spacing w:line="360" w:lineRule="auto"/>
              <w:ind w:firstLine="422" w:firstLineChars="200"/>
              <w:textAlignment w:val="auto"/>
              <w:rPr>
                <w:b/>
                <w:color w:val="auto"/>
                <w:kern w:val="0"/>
                <w:sz w:val="21"/>
                <w:szCs w:val="21"/>
                <w:highlight w:val="none"/>
              </w:rPr>
            </w:pPr>
            <w:r>
              <w:rPr>
                <w:rFonts w:hint="eastAsia"/>
                <w:b/>
                <w:color w:val="auto"/>
                <w:kern w:val="0"/>
                <w:sz w:val="21"/>
                <w:szCs w:val="21"/>
                <w:highlight w:val="none"/>
                <w:lang w:val="en-US" w:eastAsia="zh-CN"/>
              </w:rPr>
              <w:t>2、</w:t>
            </w:r>
            <w:r>
              <w:rPr>
                <w:rFonts w:hint="eastAsia"/>
                <w:b/>
                <w:color w:val="auto"/>
                <w:kern w:val="0"/>
                <w:sz w:val="21"/>
                <w:szCs w:val="21"/>
                <w:highlight w:val="none"/>
              </w:rPr>
              <w:t>规划环境影响评价相符性分析</w:t>
            </w:r>
          </w:p>
          <w:p w14:paraId="193CB234">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本项目与</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江苏省金坛华罗庚高新技术产业园开发区开发建设规划（2022~2035）环境影响报告书</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中园区环境准入</w:t>
            </w:r>
            <w:r>
              <w:rPr>
                <w:rFonts w:hint="default" w:ascii="Times New Roman" w:hAnsi="Times New Roman" w:eastAsia="宋体" w:cs="Times New Roman"/>
                <w:color w:val="auto"/>
                <w:sz w:val="21"/>
                <w:szCs w:val="21"/>
              </w:rPr>
              <w:t>清单</w:t>
            </w:r>
            <w:r>
              <w:rPr>
                <w:rFonts w:hint="eastAsia" w:ascii="Times New Roman" w:hAnsi="Times New Roman" w:eastAsia="宋体" w:cs="Times New Roman"/>
                <w:color w:val="auto"/>
                <w:sz w:val="21"/>
                <w:szCs w:val="21"/>
                <w:lang w:val="en-US" w:eastAsia="zh-CN"/>
              </w:rPr>
              <w:t>及</w:t>
            </w:r>
            <w:r>
              <w:rPr>
                <w:rFonts w:hint="default" w:ascii="Times New Roman" w:hAnsi="Times New Roman" w:eastAsia="宋体" w:cs="Times New Roman"/>
                <w:color w:val="auto"/>
                <w:sz w:val="21"/>
                <w:szCs w:val="21"/>
              </w:rPr>
              <w:t>审查意见相符性见</w:t>
            </w:r>
            <w:r>
              <w:rPr>
                <w:rFonts w:hint="eastAsia" w:ascii="Times New Roman" w:hAnsi="Times New Roman" w:eastAsia="宋体" w:cs="Times New Roman"/>
                <w:color w:val="auto"/>
                <w:sz w:val="21"/>
                <w:szCs w:val="21"/>
                <w:lang w:val="en-US" w:eastAsia="zh-CN"/>
              </w:rPr>
              <w:t>表1-2及表1-3</w:t>
            </w:r>
            <w:r>
              <w:rPr>
                <w:rFonts w:hint="default" w:ascii="Times New Roman" w:hAnsi="Times New Roman" w:eastAsia="宋体" w:cs="Times New Roman"/>
                <w:color w:val="auto"/>
                <w:sz w:val="21"/>
                <w:szCs w:val="21"/>
              </w:rPr>
              <w:t>。</w:t>
            </w:r>
          </w:p>
          <w:p w14:paraId="4BB7CDDF">
            <w:pPr>
              <w:pStyle w:val="709"/>
              <w:adjustRightInd w:val="0"/>
              <w:snapToGrid w:val="0"/>
              <w:spacing w:line="240" w:lineRule="auto"/>
              <w:ind w:left="0" w:leftChars="0" w:firstLine="0" w:firstLineChars="0"/>
              <w:jc w:val="center"/>
              <w:rPr>
                <w:rFonts w:hint="eastAsia"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rPr>
              <w:t>表1-</w:t>
            </w:r>
            <w:r>
              <w:rPr>
                <w:rFonts w:hint="eastAsia" w:cs="Times New Roman"/>
                <w:b/>
                <w:bCs/>
                <w:color w:val="auto"/>
                <w:sz w:val="21"/>
                <w:szCs w:val="21"/>
                <w:lang w:val="en-US" w:eastAsia="zh-CN"/>
              </w:rPr>
              <w:t xml:space="preserve">2   </w:t>
            </w:r>
            <w:r>
              <w:rPr>
                <w:rFonts w:hint="default" w:ascii="Times New Roman" w:hAnsi="Times New Roman" w:eastAsia="宋体" w:cs="Times New Roman"/>
                <w:b/>
                <w:color w:val="auto"/>
                <w:sz w:val="21"/>
                <w:szCs w:val="21"/>
                <w:lang w:val="en-US" w:eastAsia="zh-CN"/>
              </w:rPr>
              <w:t>本项目与</w:t>
            </w:r>
            <w:r>
              <w:rPr>
                <w:rFonts w:hint="eastAsia" w:ascii="Times New Roman" w:hAnsi="Times New Roman" w:eastAsia="宋体" w:cs="Times New Roman"/>
                <w:b/>
                <w:color w:val="auto"/>
                <w:sz w:val="21"/>
                <w:szCs w:val="21"/>
                <w:lang w:val="en-US" w:eastAsia="zh-CN"/>
              </w:rPr>
              <w:t>《</w:t>
            </w:r>
            <w:r>
              <w:rPr>
                <w:rFonts w:hint="default" w:ascii="Times New Roman" w:hAnsi="Times New Roman" w:eastAsia="宋体" w:cs="Times New Roman"/>
                <w:b/>
                <w:color w:val="auto"/>
                <w:sz w:val="21"/>
                <w:szCs w:val="21"/>
                <w:lang w:val="en-US" w:eastAsia="zh-CN"/>
              </w:rPr>
              <w:t>江苏省金坛华罗庚高新技术产业园开发区开发建设规划（2022~2035）环境影响报告书</w:t>
            </w:r>
            <w:r>
              <w:rPr>
                <w:rFonts w:hint="eastAsia" w:ascii="Times New Roman" w:hAnsi="Times New Roman" w:eastAsia="宋体" w:cs="Times New Roman"/>
                <w:b/>
                <w:color w:val="auto"/>
                <w:sz w:val="21"/>
                <w:szCs w:val="21"/>
                <w:lang w:val="en-US" w:eastAsia="zh-CN"/>
              </w:rPr>
              <w:t>》中园区环境准入</w:t>
            </w:r>
            <w:r>
              <w:rPr>
                <w:rFonts w:hint="default" w:ascii="Times New Roman" w:hAnsi="Times New Roman" w:eastAsia="宋体" w:cs="Times New Roman"/>
                <w:b/>
                <w:bCs/>
                <w:color w:val="auto"/>
                <w:sz w:val="21"/>
                <w:szCs w:val="21"/>
              </w:rPr>
              <w:t>清单对照</w:t>
            </w:r>
            <w:r>
              <w:rPr>
                <w:rFonts w:hint="eastAsia" w:ascii="Times New Roman" w:hAnsi="Times New Roman" w:eastAsia="宋体" w:cs="Times New Roman"/>
                <w:b/>
                <w:bCs/>
                <w:color w:val="auto"/>
                <w:sz w:val="21"/>
                <w:szCs w:val="21"/>
                <w:lang w:val="en-US" w:eastAsia="zh-CN"/>
              </w:rPr>
              <w:t>表</w:t>
            </w:r>
          </w:p>
          <w:tbl>
            <w:tblPr>
              <w:tblStyle w:val="60"/>
              <w:tblW w:w="4998" w:type="pct"/>
              <w:tblInd w:w="0" w:type="dxa"/>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0" w:type="dxa"/>
                <w:bottom w:w="0" w:type="dxa"/>
                <w:right w:w="0" w:type="dxa"/>
              </w:tblCellMar>
            </w:tblPr>
            <w:tblGrid>
              <w:gridCol w:w="921"/>
              <w:gridCol w:w="3948"/>
              <w:gridCol w:w="2582"/>
              <w:gridCol w:w="697"/>
            </w:tblGrid>
            <w:tr w14:paraId="573F1AB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40" w:hRule="atLeast"/>
              </w:trPr>
              <w:tc>
                <w:tcPr>
                  <w:tcW w:w="565" w:type="pct"/>
                  <w:tcBorders>
                    <w:tl2br w:val="nil"/>
                    <w:tr2bl w:val="nil"/>
                  </w:tcBorders>
                  <w:noWrap w:val="0"/>
                  <w:tcMar>
                    <w:top w:w="0" w:type="dxa"/>
                    <w:left w:w="0" w:type="dxa"/>
                    <w:bottom w:w="0" w:type="dxa"/>
                    <w:right w:w="0" w:type="dxa"/>
                  </w:tcMar>
                  <w:vAlign w:val="center"/>
                </w:tcPr>
                <w:p w14:paraId="03156C2A">
                  <w:pPr>
                    <w:pStyle w:val="635"/>
                    <w:keepNext w:val="0"/>
                    <w:keepLines w:val="0"/>
                    <w:pageBreakBefore w:val="0"/>
                    <w:widowControl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b/>
                      <w:bCs/>
                      <w:color w:val="auto"/>
                      <w:kern w:val="0"/>
                      <w:sz w:val="21"/>
                      <w:szCs w:val="21"/>
                      <w:lang w:val="en-US" w:eastAsia="zh-CN" w:bidi="ar-SA"/>
                    </w:rPr>
                  </w:pPr>
                  <w:r>
                    <w:rPr>
                      <w:rFonts w:hint="eastAsia" w:ascii="Times New Roman" w:hAnsi="Times New Roman" w:eastAsia="宋体" w:cs="Times New Roman"/>
                      <w:b/>
                      <w:bCs/>
                      <w:color w:val="auto"/>
                      <w:kern w:val="0"/>
                      <w:sz w:val="21"/>
                      <w:szCs w:val="21"/>
                      <w:lang w:val="en-US" w:eastAsia="zh-CN" w:bidi="ar-SA"/>
                    </w:rPr>
                    <w:t>清单类型</w:t>
                  </w:r>
                </w:p>
              </w:tc>
              <w:tc>
                <w:tcPr>
                  <w:tcW w:w="2422" w:type="pct"/>
                  <w:tcBorders>
                    <w:tl2br w:val="nil"/>
                    <w:tr2bl w:val="nil"/>
                  </w:tcBorders>
                  <w:noWrap w:val="0"/>
                  <w:tcMar>
                    <w:top w:w="0" w:type="dxa"/>
                    <w:left w:w="0" w:type="dxa"/>
                    <w:bottom w:w="0" w:type="dxa"/>
                    <w:right w:w="0" w:type="dxa"/>
                  </w:tcMar>
                  <w:vAlign w:val="center"/>
                </w:tcPr>
                <w:p w14:paraId="2FBC1682">
                  <w:pPr>
                    <w:pStyle w:val="635"/>
                    <w:keepNext w:val="0"/>
                    <w:keepLines w:val="0"/>
                    <w:pageBreakBefore w:val="0"/>
                    <w:widowControl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b/>
                      <w:bCs/>
                      <w:color w:val="auto"/>
                      <w:kern w:val="0"/>
                      <w:sz w:val="21"/>
                      <w:szCs w:val="21"/>
                      <w:lang w:val="en-US" w:eastAsia="zh-CN" w:bidi="ar-SA"/>
                    </w:rPr>
                  </w:pPr>
                  <w:r>
                    <w:rPr>
                      <w:rFonts w:hint="eastAsia" w:ascii="Times New Roman" w:hAnsi="Times New Roman" w:eastAsia="宋体" w:cs="Times New Roman"/>
                      <w:b/>
                      <w:bCs/>
                      <w:color w:val="auto"/>
                      <w:kern w:val="0"/>
                      <w:sz w:val="21"/>
                      <w:szCs w:val="21"/>
                      <w:lang w:val="en-US" w:eastAsia="zh-CN" w:bidi="ar-SA"/>
                    </w:rPr>
                    <w:t>准入内容</w:t>
                  </w:r>
                </w:p>
              </w:tc>
              <w:tc>
                <w:tcPr>
                  <w:tcW w:w="1584" w:type="pct"/>
                  <w:tcBorders>
                    <w:tl2br w:val="nil"/>
                    <w:tr2bl w:val="nil"/>
                  </w:tcBorders>
                  <w:noWrap w:val="0"/>
                  <w:tcMar>
                    <w:top w:w="0" w:type="dxa"/>
                    <w:left w:w="0" w:type="dxa"/>
                    <w:bottom w:w="0" w:type="dxa"/>
                    <w:right w:w="0" w:type="dxa"/>
                  </w:tcMar>
                  <w:vAlign w:val="center"/>
                </w:tcPr>
                <w:p w14:paraId="6E5BE593">
                  <w:pPr>
                    <w:pStyle w:val="635"/>
                    <w:keepNext w:val="0"/>
                    <w:keepLines w:val="0"/>
                    <w:pageBreakBefore w:val="0"/>
                    <w:widowControl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b/>
                      <w:bCs/>
                      <w:color w:val="auto"/>
                      <w:kern w:val="0"/>
                      <w:sz w:val="21"/>
                      <w:szCs w:val="21"/>
                      <w:lang w:val="en-US" w:eastAsia="zh-CN" w:bidi="ar-SA"/>
                    </w:rPr>
                  </w:pPr>
                  <w:r>
                    <w:rPr>
                      <w:rFonts w:hint="eastAsia" w:ascii="Times New Roman" w:hAnsi="Times New Roman" w:eastAsia="宋体" w:cs="Times New Roman"/>
                      <w:b/>
                      <w:bCs/>
                      <w:color w:val="auto"/>
                      <w:kern w:val="0"/>
                      <w:sz w:val="21"/>
                      <w:szCs w:val="21"/>
                      <w:lang w:val="en-US" w:eastAsia="zh-CN" w:bidi="ar-SA"/>
                    </w:rPr>
                    <w:t>本项目情况</w:t>
                  </w:r>
                </w:p>
              </w:tc>
              <w:tc>
                <w:tcPr>
                  <w:tcW w:w="427" w:type="pct"/>
                  <w:tcBorders>
                    <w:tl2br w:val="nil"/>
                    <w:tr2bl w:val="nil"/>
                  </w:tcBorders>
                  <w:noWrap w:val="0"/>
                  <w:tcMar>
                    <w:top w:w="0" w:type="dxa"/>
                    <w:left w:w="0" w:type="dxa"/>
                    <w:bottom w:w="0" w:type="dxa"/>
                    <w:right w:w="0" w:type="dxa"/>
                  </w:tcMar>
                  <w:vAlign w:val="center"/>
                </w:tcPr>
                <w:p w14:paraId="331E1F92">
                  <w:pPr>
                    <w:pStyle w:val="635"/>
                    <w:keepNext w:val="0"/>
                    <w:keepLines w:val="0"/>
                    <w:pageBreakBefore w:val="0"/>
                    <w:widowControl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相符性</w:t>
                  </w:r>
                </w:p>
              </w:tc>
            </w:tr>
            <w:tr w14:paraId="0E00ECC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40" w:hRule="atLeast"/>
              </w:trPr>
              <w:tc>
                <w:tcPr>
                  <w:tcW w:w="565" w:type="pct"/>
                  <w:tcBorders>
                    <w:tl2br w:val="nil"/>
                    <w:tr2bl w:val="nil"/>
                  </w:tcBorders>
                  <w:noWrap w:val="0"/>
                  <w:tcMar>
                    <w:top w:w="0" w:type="dxa"/>
                    <w:left w:w="0" w:type="dxa"/>
                    <w:bottom w:w="0" w:type="dxa"/>
                    <w:right w:w="0" w:type="dxa"/>
                  </w:tcMar>
                  <w:vAlign w:val="center"/>
                </w:tcPr>
                <w:p w14:paraId="02E17FA8">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禁止引入项目</w:t>
                  </w:r>
                </w:p>
              </w:tc>
              <w:tc>
                <w:tcPr>
                  <w:tcW w:w="2422" w:type="pct"/>
                  <w:tcBorders>
                    <w:tl2br w:val="nil"/>
                    <w:tr2bl w:val="nil"/>
                  </w:tcBorders>
                  <w:noWrap w:val="0"/>
                  <w:tcMar>
                    <w:top w:w="0" w:type="dxa"/>
                    <w:left w:w="0" w:type="dxa"/>
                    <w:bottom w:w="0" w:type="dxa"/>
                    <w:right w:w="0" w:type="dxa"/>
                  </w:tcMar>
                  <w:vAlign w:val="center"/>
                </w:tcPr>
                <w:p w14:paraId="1605CADD">
                  <w:pPr>
                    <w:pStyle w:val="635"/>
                    <w:keepNext w:val="0"/>
                    <w:keepLines w:val="0"/>
                    <w:pageBreakBefore w:val="0"/>
                    <w:widowControl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1）禁止新建独立燃油汽车项目；（2）禁止新建应用普通钢板等传统材料、采用冲压焊接等传统工艺制造车身的独立车身总成的项目；（3）禁止建设纯电镀加工、纯铸造加工项目；（4）不得新建钢铁、煤电、化工、印染项目；（5）不得新增化学合成制药类项目；（6）禁止引入危险化学品仓储企业；（7）禁止建设使用高VOCs含量的溶剂型涂料、油墨、胶黏剂等项目；工业涂装、包装印刷、纺织、木材加工等行业以及涂料、油墨等生产企业的新（改、扩）建项目需满足低（无）VOCs含量限值要求；（8）禁止引入排放重点重金属（铅、汞、镉、铬、砷）的重点行业项目；</w:t>
                  </w:r>
                  <w:r>
                    <w:rPr>
                      <w:rFonts w:hint="eastAsia" w:ascii="Times New Roman" w:hAnsi="Times New Roman" w:eastAsia="宋体" w:cs="Times New Roman"/>
                      <w:color w:val="auto"/>
                      <w:kern w:val="0"/>
                      <w:sz w:val="21"/>
                      <w:szCs w:val="21"/>
                      <w:lang w:val="en-US" w:eastAsia="zh-CN" w:bidi="ar-SA"/>
                    </w:rPr>
                    <w:t>（</w:t>
                  </w:r>
                  <w:r>
                    <w:rPr>
                      <w:rFonts w:hint="default" w:ascii="Times New Roman" w:hAnsi="Times New Roman" w:eastAsia="宋体" w:cs="Times New Roman"/>
                      <w:color w:val="auto"/>
                      <w:kern w:val="0"/>
                      <w:sz w:val="21"/>
                      <w:szCs w:val="21"/>
                      <w:lang w:val="en-US" w:eastAsia="zh-CN" w:bidi="ar-SA"/>
                    </w:rPr>
                    <w:t>9）其它：禁止引入《省生态环境厅关于报送高耗能、高排放项目清单的通知》（苏环便函[2021]903号）中规定的高耗能、高排放项目</w:t>
                  </w:r>
                  <w:r>
                    <w:rPr>
                      <w:rFonts w:hint="eastAsia" w:ascii="Times New Roman" w:hAnsi="Times New Roman" w:eastAsia="宋体" w:cs="Times New Roman"/>
                      <w:color w:val="auto"/>
                      <w:kern w:val="0"/>
                      <w:sz w:val="21"/>
                      <w:szCs w:val="21"/>
                      <w:lang w:val="en-US" w:eastAsia="zh-CN" w:bidi="ar-SA"/>
                    </w:rPr>
                    <w:t>。</w:t>
                  </w:r>
                </w:p>
              </w:tc>
              <w:tc>
                <w:tcPr>
                  <w:tcW w:w="1584" w:type="pct"/>
                  <w:tcBorders>
                    <w:tl2br w:val="nil"/>
                    <w:tr2bl w:val="nil"/>
                  </w:tcBorders>
                  <w:noWrap w:val="0"/>
                  <w:tcMar>
                    <w:top w:w="0" w:type="dxa"/>
                    <w:left w:w="0" w:type="dxa"/>
                    <w:bottom w:w="0" w:type="dxa"/>
                    <w:right w:w="0" w:type="dxa"/>
                  </w:tcMar>
                  <w:vAlign w:val="center"/>
                </w:tcPr>
                <w:p w14:paraId="01A85B45">
                  <w:pPr>
                    <w:pStyle w:val="635"/>
                    <w:keepNext w:val="0"/>
                    <w:keepLines w:val="0"/>
                    <w:pageBreakBefore w:val="0"/>
                    <w:widowControl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本项目</w:t>
                  </w:r>
                  <w:r>
                    <w:rPr>
                      <w:rFonts w:hint="eastAsia" w:ascii="Times New Roman" w:hAnsi="Times New Roman" w:cs="Times New Roman"/>
                      <w:color w:val="auto"/>
                      <w:kern w:val="0"/>
                      <w:sz w:val="21"/>
                      <w:szCs w:val="21"/>
                      <w:lang w:val="en-US" w:eastAsia="zh-CN" w:bidi="ar-SA"/>
                    </w:rPr>
                    <w:t>产品为风电主轴、风电轴承座、风电机架和轮毂</w:t>
                  </w:r>
                  <w:r>
                    <w:rPr>
                      <w:rFonts w:hint="eastAsia" w:ascii="Times New Roman" w:hAnsi="Times New Roman" w:eastAsia="宋体" w:cs="Times New Roman"/>
                      <w:color w:val="auto"/>
                      <w:kern w:val="0"/>
                      <w:sz w:val="21"/>
                      <w:szCs w:val="21"/>
                      <w:lang w:val="en-US" w:eastAsia="zh-CN" w:bidi="ar-SA"/>
                    </w:rPr>
                    <w:t>，不属于禁止引入项目</w:t>
                  </w:r>
                  <w:r>
                    <w:rPr>
                      <w:rFonts w:hint="eastAsia" w:ascii="Times New Roman" w:hAnsi="Times New Roman" w:cs="Times New Roman"/>
                      <w:color w:val="auto"/>
                      <w:kern w:val="0"/>
                      <w:sz w:val="21"/>
                      <w:szCs w:val="21"/>
                      <w:lang w:val="en-US" w:eastAsia="zh-CN" w:bidi="ar-SA"/>
                    </w:rPr>
                    <w:t>；</w:t>
                  </w:r>
                  <w:r>
                    <w:rPr>
                      <w:rFonts w:hint="eastAsia" w:ascii="Times New Roman" w:hAnsi="Times New Roman" w:eastAsia="宋体" w:cs="Times New Roman"/>
                      <w:color w:val="auto"/>
                      <w:kern w:val="0"/>
                      <w:sz w:val="21"/>
                      <w:szCs w:val="21"/>
                      <w:lang w:val="en-US" w:eastAsia="zh-CN" w:bidi="ar-SA"/>
                    </w:rPr>
                    <w:t>本项目</w:t>
                  </w:r>
                  <w:r>
                    <w:rPr>
                      <w:rFonts w:hint="eastAsia"/>
                      <w:color w:val="auto"/>
                      <w:kern w:val="0"/>
                      <w:sz w:val="21"/>
                      <w:szCs w:val="21"/>
                      <w:highlight w:val="none"/>
                      <w:lang w:val="en-US" w:eastAsia="zh-CN"/>
                    </w:rPr>
                    <w:t>所</w:t>
                  </w:r>
                  <w:r>
                    <w:rPr>
                      <w:rFonts w:hint="eastAsia" w:eastAsia="宋体"/>
                      <w:color w:val="auto"/>
                      <w:kern w:val="0"/>
                      <w:sz w:val="21"/>
                      <w:szCs w:val="21"/>
                      <w:highlight w:val="none"/>
                      <w:lang w:val="en-US" w:eastAsia="zh-CN"/>
                    </w:rPr>
                    <w:t>使用涂料</w:t>
                  </w:r>
                  <w:r>
                    <w:rPr>
                      <w:rFonts w:hint="eastAsia"/>
                      <w:color w:val="auto"/>
                      <w:kern w:val="0"/>
                      <w:sz w:val="21"/>
                      <w:szCs w:val="21"/>
                      <w:highlight w:val="none"/>
                      <w:lang w:val="en-US" w:eastAsia="zh-CN"/>
                    </w:rPr>
                    <w:t>满足《低挥发性有</w:t>
                  </w:r>
                  <w:r>
                    <w:rPr>
                      <w:rFonts w:hint="default" w:ascii="Times New Roman" w:hAnsi="Times New Roman" w:cs="Times New Roman"/>
                      <w:color w:val="auto"/>
                      <w:kern w:val="0"/>
                      <w:sz w:val="21"/>
                      <w:szCs w:val="21"/>
                      <w:highlight w:val="none"/>
                      <w:lang w:val="en-US" w:eastAsia="zh-CN"/>
                    </w:rPr>
                    <w:t>机化合物含量涂料产品技术要求》（GB/T 38597-2020）</w:t>
                  </w:r>
                  <w:r>
                    <w:rPr>
                      <w:rFonts w:hint="eastAsia" w:ascii="Times New Roman" w:hAnsi="Times New Roman" w:cs="Times New Roman"/>
                      <w:color w:val="auto"/>
                      <w:kern w:val="0"/>
                      <w:sz w:val="21"/>
                      <w:szCs w:val="21"/>
                      <w:highlight w:val="none"/>
                      <w:lang w:val="en-US" w:eastAsia="zh-CN"/>
                    </w:rPr>
                    <w:t>中限量值要求。</w:t>
                  </w:r>
                </w:p>
              </w:tc>
              <w:tc>
                <w:tcPr>
                  <w:tcW w:w="427" w:type="pct"/>
                  <w:tcBorders>
                    <w:tl2br w:val="nil"/>
                    <w:tr2bl w:val="nil"/>
                  </w:tcBorders>
                  <w:noWrap w:val="0"/>
                  <w:tcMar>
                    <w:top w:w="0" w:type="dxa"/>
                    <w:left w:w="0" w:type="dxa"/>
                    <w:bottom w:w="0" w:type="dxa"/>
                    <w:right w:w="0" w:type="dxa"/>
                  </w:tcMar>
                  <w:vAlign w:val="center"/>
                </w:tcPr>
                <w:p w14:paraId="32236808">
                  <w:pPr>
                    <w:pStyle w:val="635"/>
                    <w:keepNext w:val="0"/>
                    <w:keepLines w:val="0"/>
                    <w:pageBreakBefore w:val="0"/>
                    <w:widowControl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相符</w:t>
                  </w:r>
                </w:p>
              </w:tc>
            </w:tr>
            <w:tr w14:paraId="6B5F2EAF">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40" w:hRule="atLeast"/>
              </w:trPr>
              <w:tc>
                <w:tcPr>
                  <w:tcW w:w="565" w:type="pct"/>
                  <w:tcBorders>
                    <w:tl2br w:val="nil"/>
                    <w:tr2bl w:val="nil"/>
                  </w:tcBorders>
                  <w:noWrap w:val="0"/>
                  <w:tcMar>
                    <w:top w:w="0" w:type="dxa"/>
                    <w:left w:w="0" w:type="dxa"/>
                    <w:bottom w:w="0" w:type="dxa"/>
                    <w:right w:w="0" w:type="dxa"/>
                  </w:tcMar>
                  <w:vAlign w:val="center"/>
                </w:tcPr>
                <w:p w14:paraId="62992345">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限制引入项目</w:t>
                  </w:r>
                </w:p>
              </w:tc>
              <w:tc>
                <w:tcPr>
                  <w:tcW w:w="2422" w:type="pct"/>
                  <w:tcBorders>
                    <w:tl2br w:val="nil"/>
                    <w:tr2bl w:val="nil"/>
                  </w:tcBorders>
                  <w:noWrap w:val="0"/>
                  <w:tcMar>
                    <w:top w:w="0" w:type="dxa"/>
                    <w:left w:w="0" w:type="dxa"/>
                    <w:bottom w:w="0" w:type="dxa"/>
                    <w:right w:w="0" w:type="dxa"/>
                  </w:tcMar>
                  <w:vAlign w:val="center"/>
                </w:tcPr>
                <w:p w14:paraId="505CE9E3">
                  <w:pPr>
                    <w:pStyle w:val="5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jc w:val="center"/>
                    <w:rPr>
                      <w:rFonts w:hint="eastAsia"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（1）限制引入使用不符合VOCs含量限值涂料的喷涂类项目</w:t>
                  </w:r>
                  <w:r>
                    <w:rPr>
                      <w:rFonts w:hint="eastAsia" w:ascii="Times New Roman" w:hAnsi="Times New Roman" w:eastAsia="宋体" w:cs="Times New Roman"/>
                      <w:color w:val="auto"/>
                      <w:kern w:val="0"/>
                      <w:sz w:val="21"/>
                      <w:szCs w:val="21"/>
                      <w:lang w:val="en-US" w:eastAsia="zh-CN" w:bidi="ar-SA"/>
                    </w:rPr>
                    <w:t>；</w:t>
                  </w:r>
                  <w:r>
                    <w:rPr>
                      <w:rFonts w:hint="default" w:ascii="Times New Roman" w:hAnsi="Times New Roman" w:eastAsia="宋体" w:cs="Times New Roman"/>
                      <w:color w:val="auto"/>
                      <w:kern w:val="0"/>
                      <w:sz w:val="21"/>
                      <w:szCs w:val="21"/>
                      <w:lang w:val="en-US" w:eastAsia="zh-CN" w:bidi="ar-SA"/>
                    </w:rPr>
                    <w:t>（2）限制引入对生态破坏较大的工业项目</w:t>
                  </w:r>
                  <w:r>
                    <w:rPr>
                      <w:rFonts w:hint="eastAsia" w:ascii="Times New Roman" w:hAnsi="Times New Roman" w:eastAsia="宋体" w:cs="Times New Roman"/>
                      <w:color w:val="auto"/>
                      <w:kern w:val="0"/>
                      <w:sz w:val="21"/>
                      <w:szCs w:val="21"/>
                      <w:lang w:val="en-US" w:eastAsia="zh-CN" w:bidi="ar-SA"/>
                    </w:rPr>
                    <w:t>；</w:t>
                  </w:r>
                  <w:r>
                    <w:rPr>
                      <w:rFonts w:hint="default" w:ascii="Times New Roman" w:hAnsi="Times New Roman" w:eastAsia="宋体" w:cs="Times New Roman"/>
                      <w:color w:val="auto"/>
                      <w:kern w:val="0"/>
                      <w:sz w:val="21"/>
                      <w:szCs w:val="21"/>
                      <w:lang w:val="en-US" w:eastAsia="zh-CN" w:bidi="ar-SA"/>
                    </w:rPr>
                    <w:t>（3）限制在居民区、学校、居民点等主要敏感目标附近布局排放异味气体、环境风险大、污染严重的企业项目，并充分考虑产业与城市建成区、区内居民点之间的环境防护距离</w:t>
                  </w:r>
                  <w:r>
                    <w:rPr>
                      <w:rFonts w:hint="eastAsia" w:ascii="Times New Roman" w:hAnsi="Times New Roman" w:eastAsia="宋体" w:cs="Times New Roman"/>
                      <w:color w:val="auto"/>
                      <w:kern w:val="0"/>
                      <w:sz w:val="21"/>
                      <w:szCs w:val="21"/>
                      <w:lang w:val="en-US" w:eastAsia="zh-CN" w:bidi="ar-SA"/>
                    </w:rPr>
                    <w:t>。</w:t>
                  </w:r>
                </w:p>
              </w:tc>
              <w:tc>
                <w:tcPr>
                  <w:tcW w:w="1584" w:type="pct"/>
                  <w:tcBorders>
                    <w:tl2br w:val="nil"/>
                    <w:tr2bl w:val="nil"/>
                  </w:tcBorders>
                  <w:noWrap w:val="0"/>
                  <w:tcMar>
                    <w:top w:w="0" w:type="dxa"/>
                    <w:left w:w="0" w:type="dxa"/>
                    <w:bottom w:w="0" w:type="dxa"/>
                    <w:right w:w="0" w:type="dxa"/>
                  </w:tcMar>
                  <w:vAlign w:val="center"/>
                </w:tcPr>
                <w:p w14:paraId="693B8807">
                  <w:pPr>
                    <w:pStyle w:val="635"/>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（1）本项目</w:t>
                  </w:r>
                  <w:r>
                    <w:rPr>
                      <w:rFonts w:hint="eastAsia"/>
                      <w:color w:val="auto"/>
                      <w:kern w:val="0"/>
                      <w:sz w:val="21"/>
                      <w:szCs w:val="21"/>
                      <w:highlight w:val="none"/>
                      <w:lang w:val="en-US" w:eastAsia="zh-CN"/>
                    </w:rPr>
                    <w:t>所</w:t>
                  </w:r>
                  <w:r>
                    <w:rPr>
                      <w:rFonts w:hint="eastAsia" w:eastAsia="宋体"/>
                      <w:color w:val="auto"/>
                      <w:kern w:val="0"/>
                      <w:sz w:val="21"/>
                      <w:szCs w:val="21"/>
                      <w:highlight w:val="none"/>
                      <w:lang w:val="en-US" w:eastAsia="zh-CN"/>
                    </w:rPr>
                    <w:t>使用涂料</w:t>
                  </w:r>
                  <w:r>
                    <w:rPr>
                      <w:rFonts w:hint="eastAsia"/>
                      <w:color w:val="auto"/>
                      <w:kern w:val="0"/>
                      <w:sz w:val="21"/>
                      <w:szCs w:val="21"/>
                      <w:highlight w:val="none"/>
                      <w:lang w:val="en-US" w:eastAsia="zh-CN"/>
                    </w:rPr>
                    <w:t>满足《低挥发性有</w:t>
                  </w:r>
                  <w:r>
                    <w:rPr>
                      <w:rFonts w:hint="default" w:ascii="Times New Roman" w:hAnsi="Times New Roman" w:cs="Times New Roman"/>
                      <w:color w:val="auto"/>
                      <w:kern w:val="0"/>
                      <w:sz w:val="21"/>
                      <w:szCs w:val="21"/>
                      <w:highlight w:val="none"/>
                      <w:lang w:val="en-US" w:eastAsia="zh-CN"/>
                    </w:rPr>
                    <w:t>机化合物含量涂料产品技术要求》（GB/T 38597-2020）</w:t>
                  </w:r>
                  <w:r>
                    <w:rPr>
                      <w:rFonts w:hint="eastAsia" w:ascii="Times New Roman" w:hAnsi="Times New Roman" w:cs="Times New Roman"/>
                      <w:color w:val="auto"/>
                      <w:kern w:val="0"/>
                      <w:sz w:val="21"/>
                      <w:szCs w:val="21"/>
                      <w:highlight w:val="none"/>
                      <w:lang w:val="en-US" w:eastAsia="zh-CN"/>
                    </w:rPr>
                    <w:t>中限量值要求</w:t>
                  </w:r>
                  <w:r>
                    <w:rPr>
                      <w:rFonts w:hint="default" w:ascii="Times New Roman" w:hAnsi="Times New Roman" w:eastAsia="宋体" w:cs="Times New Roman"/>
                      <w:color w:val="auto"/>
                      <w:kern w:val="0"/>
                      <w:sz w:val="21"/>
                      <w:szCs w:val="21"/>
                      <w:highlight w:val="none"/>
                      <w:lang w:val="en-US" w:eastAsia="zh-CN"/>
                    </w:rPr>
                    <w:t>；</w:t>
                  </w:r>
                  <w:r>
                    <w:rPr>
                      <w:rFonts w:hint="default" w:ascii="Times New Roman" w:hAnsi="Times New Roman" w:eastAsia="宋体" w:cs="Times New Roman"/>
                      <w:color w:val="auto"/>
                      <w:kern w:val="0"/>
                      <w:sz w:val="21"/>
                      <w:szCs w:val="21"/>
                      <w:lang w:val="en-US" w:eastAsia="zh-CN" w:bidi="ar-SA"/>
                    </w:rPr>
                    <w:t>（2）项目租赁现有厂房进行生产</w:t>
                  </w:r>
                  <w:r>
                    <w:rPr>
                      <w:rFonts w:hint="eastAsia" w:ascii="Times New Roman" w:hAnsi="Times New Roman" w:eastAsia="宋体" w:cs="Times New Roman"/>
                      <w:color w:val="auto"/>
                      <w:kern w:val="0"/>
                      <w:sz w:val="21"/>
                      <w:szCs w:val="21"/>
                      <w:lang w:val="en-US" w:eastAsia="zh-CN" w:bidi="ar-SA"/>
                    </w:rPr>
                    <w:t>，无</w:t>
                  </w:r>
                  <w:r>
                    <w:rPr>
                      <w:rFonts w:hint="default" w:ascii="Times New Roman" w:hAnsi="Times New Roman" w:eastAsia="宋体" w:cs="Times New Roman"/>
                      <w:color w:val="auto"/>
                      <w:kern w:val="0"/>
                      <w:sz w:val="21"/>
                      <w:szCs w:val="21"/>
                      <w:lang w:val="en-US" w:eastAsia="zh-CN" w:bidi="ar-SA"/>
                    </w:rPr>
                    <w:t>生态破坏</w:t>
                  </w:r>
                  <w:r>
                    <w:rPr>
                      <w:rFonts w:hint="eastAsia" w:ascii="Times New Roman" w:hAnsi="Times New Roman" w:eastAsia="宋体" w:cs="Times New Roman"/>
                      <w:color w:val="auto"/>
                      <w:kern w:val="0"/>
                      <w:sz w:val="21"/>
                      <w:szCs w:val="21"/>
                      <w:lang w:val="en-US" w:eastAsia="zh-CN" w:bidi="ar-SA"/>
                    </w:rPr>
                    <w:t>；</w:t>
                  </w:r>
                  <w:r>
                    <w:rPr>
                      <w:rFonts w:hint="default" w:ascii="Times New Roman" w:hAnsi="Times New Roman" w:eastAsia="宋体" w:cs="Times New Roman"/>
                      <w:color w:val="auto"/>
                      <w:kern w:val="0"/>
                      <w:sz w:val="21"/>
                      <w:szCs w:val="21"/>
                      <w:lang w:val="en-US" w:eastAsia="zh-CN" w:bidi="ar-SA"/>
                    </w:rPr>
                    <w:t>（3）</w:t>
                  </w:r>
                  <w:r>
                    <w:rPr>
                      <w:rFonts w:hint="eastAsia" w:ascii="Times New Roman" w:hAnsi="Times New Roman" w:eastAsia="宋体" w:cs="Times New Roman"/>
                      <w:color w:val="auto"/>
                      <w:kern w:val="0"/>
                      <w:sz w:val="21"/>
                      <w:szCs w:val="21"/>
                      <w:lang w:val="en-US" w:eastAsia="zh-CN" w:bidi="ar-SA"/>
                    </w:rPr>
                    <w:t>项目从事</w:t>
                  </w:r>
                  <w:r>
                    <w:rPr>
                      <w:rFonts w:hint="eastAsia"/>
                      <w:color w:val="auto"/>
                      <w:kern w:val="0"/>
                      <w:sz w:val="21"/>
                      <w:szCs w:val="21"/>
                      <w:lang w:val="en-US" w:eastAsia="zh-CN"/>
                    </w:rPr>
                    <w:t>风电主轴、风电轴承座、风电机架和轮毂</w:t>
                  </w:r>
                  <w:r>
                    <w:rPr>
                      <w:rFonts w:hint="eastAsia" w:ascii="Times New Roman" w:hAnsi="Times New Roman" w:eastAsia="宋体" w:cs="Times New Roman"/>
                      <w:color w:val="auto"/>
                      <w:kern w:val="0"/>
                      <w:sz w:val="21"/>
                      <w:szCs w:val="21"/>
                      <w:lang w:val="en-US" w:eastAsia="zh-CN" w:bidi="ar-SA"/>
                    </w:rPr>
                    <w:t>的生产，不属于环境风险大、污染严重等项目且项目卫生防护距离100m范围内无环境敏感目标。</w:t>
                  </w:r>
                </w:p>
              </w:tc>
              <w:tc>
                <w:tcPr>
                  <w:tcW w:w="427" w:type="pct"/>
                  <w:tcBorders>
                    <w:tl2br w:val="nil"/>
                    <w:tr2bl w:val="nil"/>
                  </w:tcBorders>
                  <w:noWrap w:val="0"/>
                  <w:tcMar>
                    <w:top w:w="0" w:type="dxa"/>
                    <w:left w:w="0" w:type="dxa"/>
                    <w:bottom w:w="0" w:type="dxa"/>
                    <w:right w:w="0" w:type="dxa"/>
                  </w:tcMar>
                  <w:vAlign w:val="center"/>
                </w:tcPr>
                <w:p w14:paraId="62390B15">
                  <w:pPr>
                    <w:pStyle w:val="635"/>
                    <w:keepNext w:val="0"/>
                    <w:keepLines w:val="0"/>
                    <w:pageBreakBefore w:val="0"/>
                    <w:widowControl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相符</w:t>
                  </w:r>
                </w:p>
              </w:tc>
            </w:tr>
            <w:tr w14:paraId="0106F44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40" w:hRule="atLeast"/>
              </w:trPr>
              <w:tc>
                <w:tcPr>
                  <w:tcW w:w="565" w:type="pct"/>
                  <w:tcBorders>
                    <w:tl2br w:val="nil"/>
                    <w:tr2bl w:val="nil"/>
                  </w:tcBorders>
                  <w:noWrap w:val="0"/>
                  <w:tcMar>
                    <w:top w:w="0" w:type="dxa"/>
                    <w:left w:w="0" w:type="dxa"/>
                    <w:bottom w:w="0" w:type="dxa"/>
                    <w:right w:w="0" w:type="dxa"/>
                  </w:tcMar>
                  <w:vAlign w:val="center"/>
                </w:tcPr>
                <w:p w14:paraId="0F74E54D">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空间管控要求</w:t>
                  </w:r>
                </w:p>
              </w:tc>
              <w:tc>
                <w:tcPr>
                  <w:tcW w:w="2422" w:type="pct"/>
                  <w:tcBorders>
                    <w:tl2br w:val="nil"/>
                    <w:tr2bl w:val="nil"/>
                  </w:tcBorders>
                  <w:noWrap w:val="0"/>
                  <w:tcMar>
                    <w:top w:w="0" w:type="dxa"/>
                    <w:left w:w="0" w:type="dxa"/>
                    <w:bottom w:w="0" w:type="dxa"/>
                    <w:right w:w="0" w:type="dxa"/>
                  </w:tcMar>
                  <w:vAlign w:val="center"/>
                </w:tcPr>
                <w:p w14:paraId="3173B2F1">
                  <w:pPr>
                    <w:pStyle w:val="5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jc w:val="center"/>
                    <w:rPr>
                      <w:rFonts w:hint="eastAsia"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（1）水域及绿地，禁止一切与环境保护功能无关的建设活动</w:t>
                  </w:r>
                  <w:r>
                    <w:rPr>
                      <w:rFonts w:hint="eastAsia" w:ascii="Times New Roman" w:hAnsi="Times New Roman" w:eastAsia="宋体" w:cs="Times New Roman"/>
                      <w:color w:val="auto"/>
                      <w:kern w:val="0"/>
                      <w:sz w:val="21"/>
                      <w:szCs w:val="21"/>
                      <w:lang w:val="en-US" w:eastAsia="zh-CN" w:bidi="ar-SA"/>
                    </w:rPr>
                    <w:t>；</w:t>
                  </w:r>
                  <w:r>
                    <w:rPr>
                      <w:rFonts w:hint="default" w:ascii="Times New Roman" w:hAnsi="Times New Roman" w:eastAsia="宋体" w:cs="Times New Roman"/>
                      <w:color w:val="auto"/>
                      <w:kern w:val="0"/>
                      <w:sz w:val="21"/>
                      <w:szCs w:val="21"/>
                      <w:lang w:val="en-US" w:eastAsia="zh-CN" w:bidi="ar-SA"/>
                    </w:rPr>
                    <w:t>（2）钱资东河、尧塘河沿岸河道范围内</w:t>
                  </w:r>
                  <w:r>
                    <w:rPr>
                      <w:rFonts w:hint="eastAsia" w:ascii="Times New Roman" w:hAnsi="Times New Roman" w:eastAsia="宋体" w:cs="Times New Roman"/>
                      <w:color w:val="auto"/>
                      <w:kern w:val="0"/>
                      <w:sz w:val="21"/>
                      <w:szCs w:val="21"/>
                      <w:lang w:val="en-US" w:eastAsia="zh-CN" w:bidi="ar-SA"/>
                    </w:rPr>
                    <w:t>（</w:t>
                  </w:r>
                  <w:r>
                    <w:rPr>
                      <w:rFonts w:hint="default" w:ascii="Times New Roman" w:hAnsi="Times New Roman" w:eastAsia="宋体" w:cs="Times New Roman"/>
                      <w:color w:val="auto"/>
                      <w:kern w:val="0"/>
                      <w:sz w:val="21"/>
                      <w:szCs w:val="21"/>
                      <w:lang w:val="en-US" w:eastAsia="zh-CN" w:bidi="ar-SA"/>
                    </w:rPr>
                    <w:t>两岸堤防背水坡堤脚外10m</w:t>
                  </w:r>
                  <w:r>
                    <w:rPr>
                      <w:rFonts w:hint="eastAsia" w:ascii="Times New Roman" w:hAnsi="Times New Roman" w:eastAsia="宋体" w:cs="Times New Roman"/>
                      <w:color w:val="auto"/>
                      <w:kern w:val="0"/>
                      <w:sz w:val="21"/>
                      <w:szCs w:val="21"/>
                      <w:lang w:val="en-US" w:eastAsia="zh-CN" w:bidi="ar-SA"/>
                    </w:rPr>
                    <w:t>）</w:t>
                  </w:r>
                  <w:r>
                    <w:rPr>
                      <w:rFonts w:hint="default" w:ascii="Times New Roman" w:hAnsi="Times New Roman" w:eastAsia="宋体" w:cs="Times New Roman"/>
                      <w:color w:val="auto"/>
                      <w:kern w:val="0"/>
                      <w:sz w:val="21"/>
                      <w:szCs w:val="21"/>
                      <w:lang w:val="en-US" w:eastAsia="zh-CN" w:bidi="ar-SA"/>
                    </w:rPr>
                    <w:t>禁止建设妨碍行洪的建筑物、构筑物</w:t>
                  </w:r>
                  <w:r>
                    <w:rPr>
                      <w:rFonts w:hint="eastAsia" w:ascii="Times New Roman" w:hAnsi="Times New Roman" w:eastAsia="宋体" w:cs="Times New Roman"/>
                      <w:color w:val="auto"/>
                      <w:kern w:val="0"/>
                      <w:sz w:val="21"/>
                      <w:szCs w:val="21"/>
                      <w:lang w:val="en-US" w:eastAsia="zh-CN" w:bidi="ar-SA"/>
                    </w:rPr>
                    <w:t>；</w:t>
                  </w:r>
                  <w:r>
                    <w:rPr>
                      <w:rFonts w:hint="default" w:ascii="Times New Roman" w:hAnsi="Times New Roman" w:eastAsia="宋体" w:cs="Times New Roman"/>
                      <w:color w:val="auto"/>
                      <w:kern w:val="0"/>
                      <w:sz w:val="21"/>
                      <w:szCs w:val="21"/>
                      <w:lang w:val="en-US" w:eastAsia="zh-CN" w:bidi="ar-SA"/>
                    </w:rPr>
                    <w:t>（3）禁止引进不能满足环评测算出的环境防护距离，或环评事故风险防范和应急措施难以落实到位的项目</w:t>
                  </w:r>
                  <w:r>
                    <w:rPr>
                      <w:rFonts w:hint="eastAsia" w:ascii="Times New Roman" w:hAnsi="Times New Roman" w:eastAsia="宋体" w:cs="Times New Roman"/>
                      <w:color w:val="auto"/>
                      <w:kern w:val="0"/>
                      <w:sz w:val="21"/>
                      <w:szCs w:val="21"/>
                      <w:lang w:val="en-US" w:eastAsia="zh-CN" w:bidi="ar-SA"/>
                    </w:rPr>
                    <w:t>；</w:t>
                  </w:r>
                  <w:r>
                    <w:rPr>
                      <w:rFonts w:hint="default" w:ascii="Times New Roman" w:hAnsi="Times New Roman" w:eastAsia="宋体" w:cs="Times New Roman"/>
                      <w:color w:val="auto"/>
                      <w:kern w:val="0"/>
                      <w:sz w:val="21"/>
                      <w:szCs w:val="21"/>
                      <w:lang w:val="en-US" w:eastAsia="zh-CN" w:bidi="ar-SA"/>
                    </w:rPr>
                    <w:t>（4）严格遵照《中华人民共和国基本农田保护条例》要求，加强区内基本农田保护，在土地规划调整到位之前，禁止任何形式的基本农田开发</w:t>
                  </w:r>
                  <w:r>
                    <w:rPr>
                      <w:rFonts w:hint="eastAsia" w:ascii="Times New Roman" w:hAnsi="Times New Roman" w:eastAsia="宋体" w:cs="Times New Roman"/>
                      <w:color w:val="auto"/>
                      <w:kern w:val="0"/>
                      <w:sz w:val="21"/>
                      <w:szCs w:val="21"/>
                      <w:lang w:val="en-US" w:eastAsia="zh-CN" w:bidi="ar-SA"/>
                    </w:rPr>
                    <w:t>；</w:t>
                  </w:r>
                  <w:r>
                    <w:rPr>
                      <w:rFonts w:hint="default" w:ascii="Times New Roman" w:hAnsi="Times New Roman" w:eastAsia="宋体" w:cs="Times New Roman"/>
                      <w:color w:val="auto"/>
                      <w:kern w:val="0"/>
                      <w:sz w:val="21"/>
                      <w:szCs w:val="21"/>
                      <w:lang w:val="en-US" w:eastAsia="zh-CN" w:bidi="ar-SA"/>
                    </w:rPr>
                    <w:t>（5）限制引进投资强度小、容积率低、土地产出率低的项目</w:t>
                  </w:r>
                  <w:r>
                    <w:rPr>
                      <w:rFonts w:hint="eastAsia" w:ascii="Times New Roman" w:hAnsi="Times New Roman" w:eastAsia="宋体" w:cs="Times New Roman"/>
                      <w:color w:val="auto"/>
                      <w:kern w:val="0"/>
                      <w:sz w:val="21"/>
                      <w:szCs w:val="21"/>
                      <w:lang w:val="en-US" w:eastAsia="zh-CN" w:bidi="ar-SA"/>
                    </w:rPr>
                    <w:t>；</w:t>
                  </w:r>
                  <w:r>
                    <w:rPr>
                      <w:rFonts w:hint="default" w:ascii="Times New Roman" w:hAnsi="Times New Roman" w:eastAsia="宋体" w:cs="Times New Roman"/>
                      <w:color w:val="auto"/>
                      <w:kern w:val="0"/>
                      <w:sz w:val="21"/>
                      <w:szCs w:val="21"/>
                      <w:lang w:val="en-US" w:eastAsia="zh-CN" w:bidi="ar-SA"/>
                    </w:rPr>
                    <w:t>（6）符合金坛区</w:t>
                  </w:r>
                  <w:r>
                    <w:rPr>
                      <w:rFonts w:hint="eastAsia" w:cs="Times New Roman"/>
                      <w:color w:val="auto"/>
                      <w:kern w:val="0"/>
                      <w:sz w:val="21"/>
                      <w:szCs w:val="21"/>
                      <w:lang w:val="en-US" w:eastAsia="zh-CN" w:bidi="ar-SA"/>
                    </w:rPr>
                    <w:t>“</w:t>
                  </w:r>
                  <w:r>
                    <w:rPr>
                      <w:rFonts w:hint="default" w:ascii="Times New Roman" w:hAnsi="Times New Roman" w:eastAsia="宋体" w:cs="Times New Roman"/>
                      <w:color w:val="auto"/>
                      <w:kern w:val="0"/>
                      <w:sz w:val="21"/>
                      <w:szCs w:val="21"/>
                      <w:lang w:val="en-US" w:eastAsia="zh-CN" w:bidi="ar-SA"/>
                    </w:rPr>
                    <w:t>三区三线</w:t>
                  </w:r>
                  <w:r>
                    <w:rPr>
                      <w:rFonts w:hint="eastAsia" w:cs="Times New Roman"/>
                      <w:color w:val="auto"/>
                      <w:kern w:val="0"/>
                      <w:sz w:val="21"/>
                      <w:szCs w:val="21"/>
                      <w:lang w:val="en-US" w:eastAsia="zh-CN" w:bidi="ar-SA"/>
                    </w:rPr>
                    <w:t>”</w:t>
                  </w:r>
                  <w:r>
                    <w:rPr>
                      <w:rFonts w:hint="default" w:ascii="Times New Roman" w:hAnsi="Times New Roman" w:eastAsia="宋体" w:cs="Times New Roman"/>
                      <w:color w:val="auto"/>
                      <w:kern w:val="0"/>
                      <w:sz w:val="21"/>
                      <w:szCs w:val="21"/>
                      <w:lang w:val="en-US" w:eastAsia="zh-CN" w:bidi="ar-SA"/>
                    </w:rPr>
                    <w:t>管控要求。</w:t>
                  </w:r>
                </w:p>
              </w:tc>
              <w:tc>
                <w:tcPr>
                  <w:tcW w:w="1584" w:type="pct"/>
                  <w:tcBorders>
                    <w:tl2br w:val="nil"/>
                    <w:tr2bl w:val="nil"/>
                  </w:tcBorders>
                  <w:noWrap w:val="0"/>
                  <w:tcMar>
                    <w:top w:w="0" w:type="dxa"/>
                    <w:left w:w="0" w:type="dxa"/>
                    <w:bottom w:w="0" w:type="dxa"/>
                    <w:right w:w="0" w:type="dxa"/>
                  </w:tcMar>
                  <w:vAlign w:val="center"/>
                </w:tcPr>
                <w:p w14:paraId="66A9D128">
                  <w:pPr>
                    <w:keepNext w:val="0"/>
                    <w:keepLines w:val="0"/>
                    <w:pageBreakBefore w:val="0"/>
                    <w:kinsoku/>
                    <w:wordWrap/>
                    <w:overflowPunct/>
                    <w:topLinePunct w:val="0"/>
                    <w:autoSpaceDE/>
                    <w:autoSpaceDN/>
                    <w:bidi w:val="0"/>
                    <w:adjustRightInd w:val="0"/>
                    <w:snapToGrid w:val="0"/>
                    <w:jc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（1）本项目不在水域及绿地范围内；（2）不在钱资东河、尧塘河沿岸河道范围内；（3）项目卫生防护距离为生产车间100m范围，项目实施后，按要求</w:t>
                  </w:r>
                  <w:r>
                    <w:rPr>
                      <w:rFonts w:hint="default" w:ascii="Times New Roman" w:hAnsi="Times New Roman" w:eastAsia="宋体" w:cs="Times New Roman"/>
                      <w:color w:val="auto"/>
                      <w:kern w:val="0"/>
                      <w:sz w:val="21"/>
                      <w:szCs w:val="21"/>
                      <w:lang w:val="en-US" w:eastAsia="zh-CN" w:bidi="ar-SA"/>
                    </w:rPr>
                    <w:t>编制</w:t>
                  </w:r>
                  <w:r>
                    <w:rPr>
                      <w:rFonts w:hint="eastAsia" w:ascii="Times New Roman" w:hAnsi="Times New Roman" w:eastAsia="宋体" w:cs="Times New Roman"/>
                      <w:color w:val="auto"/>
                      <w:kern w:val="0"/>
                      <w:sz w:val="21"/>
                      <w:szCs w:val="21"/>
                      <w:lang w:val="en-US" w:eastAsia="zh-CN" w:bidi="ar-SA"/>
                    </w:rPr>
                    <w:t>突发环境事件</w:t>
                  </w:r>
                  <w:r>
                    <w:rPr>
                      <w:rFonts w:hint="default" w:ascii="Times New Roman" w:hAnsi="Times New Roman" w:eastAsia="宋体" w:cs="Times New Roman"/>
                      <w:color w:val="auto"/>
                      <w:kern w:val="0"/>
                      <w:sz w:val="21"/>
                      <w:szCs w:val="21"/>
                      <w:lang w:val="en-US" w:eastAsia="zh-CN" w:bidi="ar-SA"/>
                    </w:rPr>
                    <w:t>应急预案</w:t>
                  </w:r>
                  <w:r>
                    <w:rPr>
                      <w:rFonts w:hint="eastAsia" w:ascii="Times New Roman" w:hAnsi="Times New Roman" w:eastAsia="宋体" w:cs="Times New Roman"/>
                      <w:color w:val="auto"/>
                      <w:kern w:val="0"/>
                      <w:sz w:val="21"/>
                      <w:szCs w:val="21"/>
                      <w:lang w:val="en-US" w:eastAsia="zh-CN" w:bidi="ar-SA"/>
                    </w:rPr>
                    <w:t>、落实预案中的相关</w:t>
                  </w:r>
                  <w:r>
                    <w:rPr>
                      <w:rFonts w:hint="default" w:ascii="Times New Roman" w:hAnsi="Times New Roman" w:eastAsia="宋体" w:cs="Times New Roman"/>
                      <w:color w:val="auto"/>
                      <w:kern w:val="0"/>
                      <w:sz w:val="21"/>
                      <w:szCs w:val="21"/>
                      <w:lang w:val="en-US" w:eastAsia="zh-CN" w:bidi="ar-SA"/>
                    </w:rPr>
                    <w:t>风险防范措施</w:t>
                  </w:r>
                  <w:r>
                    <w:rPr>
                      <w:rFonts w:hint="eastAsia" w:ascii="Times New Roman" w:hAnsi="Times New Roman" w:eastAsia="宋体" w:cs="Times New Roman"/>
                      <w:color w:val="auto"/>
                      <w:kern w:val="0"/>
                      <w:sz w:val="21"/>
                      <w:szCs w:val="21"/>
                      <w:lang w:val="en-US" w:eastAsia="zh-CN" w:bidi="ar-SA"/>
                    </w:rPr>
                    <w:t>并报相关部门备案；（4）项目从事</w:t>
                  </w:r>
                  <w:r>
                    <w:rPr>
                      <w:rFonts w:hint="eastAsia"/>
                      <w:color w:val="auto"/>
                      <w:kern w:val="0"/>
                      <w:sz w:val="21"/>
                      <w:szCs w:val="21"/>
                      <w:lang w:val="en-US" w:eastAsia="zh-CN"/>
                    </w:rPr>
                    <w:t>风电主轴、风电轴承座、风电机架和轮毂</w:t>
                  </w:r>
                  <w:r>
                    <w:rPr>
                      <w:rFonts w:hint="eastAsia" w:ascii="Times New Roman" w:hAnsi="Times New Roman" w:eastAsia="宋体" w:cs="Times New Roman"/>
                      <w:color w:val="auto"/>
                      <w:kern w:val="0"/>
                      <w:sz w:val="21"/>
                      <w:szCs w:val="21"/>
                      <w:lang w:val="en-US" w:eastAsia="zh-CN" w:bidi="ar-SA"/>
                    </w:rPr>
                    <w:t>的生产，</w:t>
                  </w:r>
                  <w:r>
                    <w:rPr>
                      <w:rFonts w:hint="eastAsia" w:cs="Times New Roman"/>
                      <w:color w:val="auto"/>
                      <w:kern w:val="0"/>
                      <w:sz w:val="21"/>
                      <w:szCs w:val="21"/>
                      <w:lang w:val="en-US" w:eastAsia="zh-CN" w:bidi="ar-SA"/>
                    </w:rPr>
                    <w:t>项目所在地属于工业用地，</w:t>
                  </w:r>
                  <w:r>
                    <w:rPr>
                      <w:rFonts w:hint="eastAsia" w:ascii="Times New Roman" w:hAnsi="Times New Roman" w:eastAsia="宋体" w:cs="Times New Roman"/>
                      <w:color w:val="auto"/>
                      <w:kern w:val="0"/>
                      <w:sz w:val="21"/>
                      <w:szCs w:val="21"/>
                      <w:lang w:val="en-US" w:eastAsia="zh-CN" w:bidi="ar-SA"/>
                    </w:rPr>
                    <w:t>不</w:t>
                  </w:r>
                  <w:r>
                    <w:rPr>
                      <w:rFonts w:hint="eastAsia" w:cs="Times New Roman"/>
                      <w:color w:val="auto"/>
                      <w:kern w:val="0"/>
                      <w:sz w:val="21"/>
                      <w:szCs w:val="21"/>
                      <w:lang w:val="en-US" w:eastAsia="zh-CN" w:bidi="ar-SA"/>
                    </w:rPr>
                    <w:t>在基本农田范围开发</w:t>
                  </w:r>
                  <w:r>
                    <w:rPr>
                      <w:rFonts w:hint="eastAsia" w:ascii="Times New Roman" w:hAnsi="Times New Roman" w:eastAsia="宋体" w:cs="Times New Roman"/>
                      <w:color w:val="auto"/>
                      <w:kern w:val="0"/>
                      <w:sz w:val="21"/>
                      <w:szCs w:val="21"/>
                      <w:lang w:val="en-US" w:eastAsia="zh-CN" w:bidi="ar-SA"/>
                    </w:rPr>
                    <w:t>；（5）项目所在地属于工业用地；（6）本项目在城镇开发边界内，且不占用耕地和永久基本农田，不涉及生态保护红线，因此本项目满足国土空间规划及“三区三线”要求符合金坛区“三区三线”管控要求。</w:t>
                  </w:r>
                </w:p>
              </w:tc>
              <w:tc>
                <w:tcPr>
                  <w:tcW w:w="427" w:type="pct"/>
                  <w:tcBorders>
                    <w:tl2br w:val="nil"/>
                    <w:tr2bl w:val="nil"/>
                  </w:tcBorders>
                  <w:noWrap w:val="0"/>
                  <w:tcMar>
                    <w:top w:w="0" w:type="dxa"/>
                    <w:left w:w="0" w:type="dxa"/>
                    <w:bottom w:w="0" w:type="dxa"/>
                    <w:right w:w="0" w:type="dxa"/>
                  </w:tcMar>
                  <w:vAlign w:val="center"/>
                </w:tcPr>
                <w:p w14:paraId="19544438">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相符</w:t>
                  </w:r>
                </w:p>
              </w:tc>
            </w:tr>
            <w:tr w14:paraId="5003DBC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40" w:hRule="atLeast"/>
              </w:trPr>
              <w:tc>
                <w:tcPr>
                  <w:tcW w:w="565" w:type="pct"/>
                  <w:tcBorders>
                    <w:tl2br w:val="nil"/>
                    <w:tr2bl w:val="nil"/>
                  </w:tcBorders>
                  <w:noWrap w:val="0"/>
                  <w:tcMar>
                    <w:top w:w="0" w:type="dxa"/>
                    <w:left w:w="0" w:type="dxa"/>
                    <w:bottom w:w="0" w:type="dxa"/>
                    <w:right w:w="0" w:type="dxa"/>
                  </w:tcMar>
                  <w:vAlign w:val="center"/>
                </w:tcPr>
                <w:p w14:paraId="6B1ED277">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污染物排放管控</w:t>
                  </w:r>
                </w:p>
              </w:tc>
              <w:tc>
                <w:tcPr>
                  <w:tcW w:w="2422" w:type="pct"/>
                  <w:tcBorders>
                    <w:tl2br w:val="nil"/>
                    <w:tr2bl w:val="nil"/>
                  </w:tcBorders>
                  <w:noWrap w:val="0"/>
                  <w:tcMar>
                    <w:top w:w="0" w:type="dxa"/>
                    <w:left w:w="0" w:type="dxa"/>
                    <w:bottom w:w="0" w:type="dxa"/>
                    <w:right w:w="0" w:type="dxa"/>
                  </w:tcMar>
                  <w:vAlign w:val="center"/>
                </w:tcPr>
                <w:p w14:paraId="0F178148">
                  <w:pPr>
                    <w:pStyle w:val="5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1）颗粒物、二氧化硫、氮氧化物、VOCs作为总量控制因子，根据省、市上级要求，进行现役源2倍削减量替代或关闭类项目1.5倍削减量替代。（2）规划实施后华罗庚高新区范围内所有新、改、扩建涉重金属重点行业项目必须遵守重点重金属污染物排放“减量置换”或“等量替换”的原则，区域重金属总量控制由市环保行政主管部门核定平衡，在本市区域内明确具体的重金属污染物排放总量来源</w:t>
                  </w:r>
                  <w:r>
                    <w:rPr>
                      <w:rFonts w:hint="eastAsia" w:ascii="Times New Roman" w:hAnsi="Times New Roman" w:eastAsia="宋体" w:cs="Times New Roman"/>
                      <w:color w:val="auto"/>
                      <w:kern w:val="0"/>
                      <w:sz w:val="21"/>
                      <w:szCs w:val="21"/>
                      <w:lang w:val="en-US" w:eastAsia="zh-CN" w:bidi="ar-SA"/>
                    </w:rPr>
                    <w:t>；</w:t>
                  </w:r>
                  <w:r>
                    <w:rPr>
                      <w:rFonts w:hint="default" w:ascii="Times New Roman" w:hAnsi="Times New Roman" w:eastAsia="宋体" w:cs="Times New Roman"/>
                      <w:color w:val="auto"/>
                      <w:kern w:val="0"/>
                      <w:sz w:val="21"/>
                      <w:szCs w:val="21"/>
                      <w:lang w:val="en-US" w:eastAsia="zh-CN" w:bidi="ar-SA"/>
                    </w:rPr>
                    <w:t>（3）氮、磷</w:t>
                  </w:r>
                  <w:r>
                    <w:rPr>
                      <w:rFonts w:hint="eastAsia" w:cs="Times New Roman"/>
                      <w:color w:val="auto"/>
                      <w:kern w:val="0"/>
                      <w:sz w:val="21"/>
                      <w:szCs w:val="21"/>
                      <w:lang w:val="en-US" w:eastAsia="zh-CN" w:bidi="ar-SA"/>
                    </w:rPr>
                    <w:t>：</w:t>
                  </w:r>
                  <w:r>
                    <w:rPr>
                      <w:rFonts w:hint="default" w:ascii="Times New Roman" w:hAnsi="Times New Roman" w:eastAsia="宋体" w:cs="Times New Roman"/>
                      <w:color w:val="auto"/>
                      <w:kern w:val="0"/>
                      <w:sz w:val="21"/>
                      <w:szCs w:val="21"/>
                      <w:lang w:val="en-US" w:eastAsia="zh-CN" w:bidi="ar-SA"/>
                    </w:rPr>
                    <w:t>根据《江苏省太湖水污染防治条例</w:t>
                  </w:r>
                  <w:r>
                    <w:rPr>
                      <w:rFonts w:hint="eastAsia" w:ascii="Times New Roman" w:hAnsi="Times New Roman" w:eastAsia="宋体" w:cs="Times New Roman"/>
                      <w:color w:val="auto"/>
                      <w:kern w:val="0"/>
                      <w:sz w:val="21"/>
                      <w:szCs w:val="21"/>
                      <w:lang w:val="en-US" w:eastAsia="zh-CN" w:bidi="ar-SA"/>
                    </w:rPr>
                    <w:t>（</w:t>
                  </w:r>
                  <w:r>
                    <w:rPr>
                      <w:rFonts w:hint="default" w:ascii="Times New Roman" w:hAnsi="Times New Roman" w:eastAsia="宋体" w:cs="Times New Roman"/>
                      <w:color w:val="auto"/>
                      <w:kern w:val="0"/>
                      <w:sz w:val="21"/>
                      <w:szCs w:val="21"/>
                      <w:lang w:val="en-US" w:eastAsia="zh-CN" w:bidi="ar-SA"/>
                    </w:rPr>
                    <w:t>2018年修订</w:t>
                  </w:r>
                  <w:r>
                    <w:rPr>
                      <w:rFonts w:hint="eastAsia" w:ascii="Times New Roman" w:hAnsi="Times New Roman" w:eastAsia="宋体" w:cs="Times New Roman"/>
                      <w:color w:val="auto"/>
                      <w:kern w:val="0"/>
                      <w:sz w:val="21"/>
                      <w:szCs w:val="21"/>
                      <w:lang w:val="en-US" w:eastAsia="zh-CN" w:bidi="ar-SA"/>
                    </w:rPr>
                    <w:t>）</w:t>
                  </w:r>
                  <w:r>
                    <w:rPr>
                      <w:rFonts w:hint="default" w:ascii="Times New Roman" w:hAnsi="Times New Roman" w:eastAsia="宋体" w:cs="Times New Roman"/>
                      <w:color w:val="auto"/>
                      <w:kern w:val="0"/>
                      <w:sz w:val="21"/>
                      <w:szCs w:val="21"/>
                      <w:lang w:val="en-US" w:eastAsia="zh-CN" w:bidi="ar-SA"/>
                    </w:rPr>
                    <w:t>》，</w:t>
                  </w:r>
                  <w:r>
                    <w:rPr>
                      <w:rFonts w:hint="eastAsia" w:cs="Times New Roman"/>
                      <w:color w:val="auto"/>
                      <w:kern w:val="0"/>
                      <w:sz w:val="21"/>
                      <w:szCs w:val="21"/>
                      <w:lang w:val="en-US" w:eastAsia="zh-CN" w:bidi="ar-SA"/>
                    </w:rPr>
                    <w:t>“</w:t>
                  </w:r>
                  <w:r>
                    <w:rPr>
                      <w:rFonts w:hint="default" w:ascii="Times New Roman" w:hAnsi="Times New Roman" w:eastAsia="宋体" w:cs="Times New Roman"/>
                      <w:color w:val="auto"/>
                      <w:kern w:val="0"/>
                      <w:sz w:val="21"/>
                      <w:szCs w:val="21"/>
                      <w:lang w:val="en-US" w:eastAsia="zh-CN" w:bidi="ar-SA"/>
                    </w:rPr>
                    <w:t>太湖流域三级保护区内，在工业集聚区新建、改建、扩建排放含磷、氮等污染物的战略性新兴产业项目，以及排放含磷、氮等污染物的现有企业在不增加产能的前提下实施提升环保标准的技术改造项目，应当符合国家产业政策和水环境综合治理要求，在实现国家和省减排目标的基础上，实施区域磷、氮等重点水污染物年排放总量减量替代。</w:t>
                  </w:r>
                  <w:r>
                    <w:rPr>
                      <w:rFonts w:hint="eastAsia" w:cs="Times New Roman"/>
                      <w:color w:val="auto"/>
                      <w:kern w:val="0"/>
                      <w:sz w:val="21"/>
                      <w:szCs w:val="21"/>
                      <w:lang w:val="en-US" w:eastAsia="zh-CN" w:bidi="ar-SA"/>
                    </w:rPr>
                    <w:t>”</w:t>
                  </w:r>
                  <w:r>
                    <w:rPr>
                      <w:rFonts w:hint="default" w:ascii="Times New Roman" w:hAnsi="Times New Roman" w:eastAsia="宋体" w:cs="Times New Roman"/>
                      <w:color w:val="auto"/>
                      <w:kern w:val="0"/>
                      <w:sz w:val="21"/>
                      <w:szCs w:val="21"/>
                      <w:lang w:val="en-US" w:eastAsia="zh-CN" w:bidi="ar-SA"/>
                    </w:rPr>
                    <w:t>战略性新兴产业项目对照《江苏省太湖流域战略性新兴产业类别目录</w:t>
                  </w:r>
                  <w:r>
                    <w:rPr>
                      <w:rFonts w:hint="eastAsia" w:ascii="Times New Roman" w:hAnsi="Times New Roman" w:eastAsia="宋体" w:cs="Times New Roman"/>
                      <w:color w:val="auto"/>
                      <w:kern w:val="0"/>
                      <w:sz w:val="21"/>
                      <w:szCs w:val="21"/>
                      <w:lang w:val="en-US" w:eastAsia="zh-CN" w:bidi="ar-SA"/>
                    </w:rPr>
                    <w:t>（</w:t>
                  </w:r>
                  <w:r>
                    <w:rPr>
                      <w:rFonts w:hint="default" w:ascii="Times New Roman" w:hAnsi="Times New Roman" w:eastAsia="宋体" w:cs="Times New Roman"/>
                      <w:color w:val="auto"/>
                      <w:kern w:val="0"/>
                      <w:sz w:val="21"/>
                      <w:szCs w:val="21"/>
                      <w:lang w:val="en-US" w:eastAsia="zh-CN" w:bidi="ar-SA"/>
                    </w:rPr>
                    <w:t>2018年本</w:t>
                  </w:r>
                  <w:r>
                    <w:rPr>
                      <w:rFonts w:hint="eastAsia" w:ascii="Times New Roman" w:hAnsi="Times New Roman" w:eastAsia="宋体" w:cs="Times New Roman"/>
                      <w:color w:val="auto"/>
                      <w:kern w:val="0"/>
                      <w:sz w:val="21"/>
                      <w:szCs w:val="21"/>
                      <w:lang w:val="en-US" w:eastAsia="zh-CN" w:bidi="ar-SA"/>
                    </w:rPr>
                    <w:t>）</w:t>
                  </w:r>
                  <w:r>
                    <w:rPr>
                      <w:rFonts w:hint="default" w:ascii="Times New Roman" w:hAnsi="Times New Roman" w:eastAsia="宋体" w:cs="Times New Roman"/>
                      <w:color w:val="auto"/>
                      <w:kern w:val="0"/>
                      <w:sz w:val="21"/>
                      <w:szCs w:val="21"/>
                      <w:lang w:val="en-US" w:eastAsia="zh-CN" w:bidi="ar-SA"/>
                    </w:rPr>
                    <w:t>》确定</w:t>
                  </w:r>
                  <w:r>
                    <w:rPr>
                      <w:rFonts w:hint="eastAsia" w:ascii="Times New Roman" w:hAnsi="Times New Roman" w:eastAsia="宋体" w:cs="Times New Roman"/>
                      <w:color w:val="auto"/>
                      <w:kern w:val="0"/>
                      <w:sz w:val="21"/>
                      <w:szCs w:val="21"/>
                      <w:lang w:val="en-US" w:eastAsia="zh-CN" w:bidi="ar-SA"/>
                    </w:rPr>
                    <w:t>。</w:t>
                  </w:r>
                </w:p>
              </w:tc>
              <w:tc>
                <w:tcPr>
                  <w:tcW w:w="1584" w:type="pct"/>
                  <w:tcBorders>
                    <w:tl2br w:val="nil"/>
                    <w:tr2bl w:val="nil"/>
                  </w:tcBorders>
                  <w:noWrap w:val="0"/>
                  <w:tcMar>
                    <w:top w:w="0" w:type="dxa"/>
                    <w:left w:w="0" w:type="dxa"/>
                    <w:bottom w:w="0" w:type="dxa"/>
                    <w:right w:w="0" w:type="dxa"/>
                  </w:tcMar>
                  <w:vAlign w:val="center"/>
                </w:tcPr>
                <w:p w14:paraId="54091A0D">
                  <w:pPr>
                    <w:pStyle w:val="635"/>
                    <w:keepNext w:val="0"/>
                    <w:keepLines w:val="0"/>
                    <w:pageBreakBefore w:val="0"/>
                    <w:numPr>
                      <w:ilvl w:val="0"/>
                      <w:numId w:val="0"/>
                    </w:numPr>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（1）本项目产生废气应按省、市上级要求进行现役源2倍削减量代替</w:t>
                  </w:r>
                  <w:r>
                    <w:rPr>
                      <w:rFonts w:hint="default" w:ascii="Times New Roman" w:hAnsi="Times New Roman" w:eastAsia="宋体" w:cs="Times New Roman"/>
                      <w:color w:val="auto"/>
                      <w:kern w:val="0"/>
                      <w:sz w:val="21"/>
                      <w:szCs w:val="21"/>
                      <w:lang w:val="en-US" w:eastAsia="zh-CN" w:bidi="ar-SA"/>
                    </w:rPr>
                    <w:t>或关闭类项目1.5倍削减量替代</w:t>
                  </w:r>
                  <w:r>
                    <w:rPr>
                      <w:rFonts w:hint="eastAsia" w:ascii="Times New Roman" w:hAnsi="Times New Roman" w:eastAsia="宋体" w:cs="Times New Roman"/>
                      <w:color w:val="auto"/>
                      <w:kern w:val="0"/>
                      <w:sz w:val="21"/>
                      <w:szCs w:val="21"/>
                      <w:lang w:val="en-US" w:eastAsia="zh-CN" w:bidi="ar-SA"/>
                    </w:rPr>
                    <w:t>；</w:t>
                  </w:r>
                  <w:r>
                    <w:rPr>
                      <w:rFonts w:hint="default" w:ascii="Times New Roman" w:hAnsi="Times New Roman" w:eastAsia="宋体" w:cs="Times New Roman"/>
                      <w:color w:val="auto"/>
                      <w:kern w:val="0"/>
                      <w:sz w:val="21"/>
                      <w:szCs w:val="21"/>
                      <w:lang w:val="en-US" w:eastAsia="zh-CN" w:bidi="ar-SA"/>
                    </w:rPr>
                    <w:t>（2）</w:t>
                  </w:r>
                  <w:r>
                    <w:rPr>
                      <w:rFonts w:hint="eastAsia" w:ascii="Times New Roman" w:hAnsi="Times New Roman" w:eastAsia="宋体" w:cs="Times New Roman"/>
                      <w:color w:val="auto"/>
                      <w:kern w:val="0"/>
                      <w:sz w:val="21"/>
                      <w:szCs w:val="21"/>
                      <w:lang w:val="en-US" w:eastAsia="zh-CN" w:bidi="ar-SA"/>
                    </w:rPr>
                    <w:t>本项目不涉及重金属重点行业；</w:t>
                  </w:r>
                  <w:r>
                    <w:rPr>
                      <w:rFonts w:hint="default" w:ascii="Times New Roman" w:hAnsi="Times New Roman" w:eastAsia="宋体" w:cs="Times New Roman"/>
                      <w:color w:val="auto"/>
                      <w:kern w:val="0"/>
                      <w:sz w:val="21"/>
                      <w:szCs w:val="21"/>
                      <w:lang w:val="en-US" w:eastAsia="zh-CN" w:bidi="ar-SA"/>
                    </w:rPr>
                    <w:t>（</w:t>
                  </w:r>
                  <w:r>
                    <w:rPr>
                      <w:rFonts w:hint="eastAsia" w:ascii="Times New Roman" w:hAnsi="Times New Roman" w:eastAsia="宋体" w:cs="Times New Roman"/>
                      <w:color w:val="auto"/>
                      <w:kern w:val="0"/>
                      <w:sz w:val="21"/>
                      <w:szCs w:val="21"/>
                      <w:lang w:val="en-US" w:eastAsia="zh-CN" w:bidi="ar-SA"/>
                    </w:rPr>
                    <w:t>3</w:t>
                  </w:r>
                  <w:r>
                    <w:rPr>
                      <w:rFonts w:hint="default" w:ascii="Times New Roman" w:hAnsi="Times New Roman" w:eastAsia="宋体" w:cs="Times New Roman"/>
                      <w:color w:val="auto"/>
                      <w:kern w:val="0"/>
                      <w:sz w:val="21"/>
                      <w:szCs w:val="21"/>
                      <w:lang w:val="en-US" w:eastAsia="zh-CN" w:bidi="ar-SA"/>
                    </w:rPr>
                    <w:t>）</w:t>
                  </w:r>
                  <w:r>
                    <w:rPr>
                      <w:rFonts w:hint="eastAsia" w:ascii="Times New Roman" w:hAnsi="Times New Roman" w:eastAsia="宋体" w:cs="Times New Roman"/>
                      <w:color w:val="auto"/>
                      <w:kern w:val="0"/>
                      <w:sz w:val="21"/>
                      <w:szCs w:val="21"/>
                      <w:lang w:val="en-US" w:eastAsia="zh-CN" w:bidi="ar-SA"/>
                    </w:rPr>
                    <w:t>本项目无生产废水，产生的生活污水</w:t>
                  </w:r>
                  <w:r>
                    <w:rPr>
                      <w:rFonts w:hint="default" w:ascii="Times New Roman" w:hAnsi="Times New Roman" w:eastAsia="宋体" w:cs="Times New Roman"/>
                      <w:color w:val="auto"/>
                      <w:kern w:val="0"/>
                      <w:sz w:val="21"/>
                      <w:szCs w:val="21"/>
                      <w:lang w:val="en-US" w:eastAsia="zh-CN" w:bidi="ar-SA"/>
                    </w:rPr>
                    <w:t>满足江苏省太湖水污染防治条例要求</w:t>
                  </w:r>
                  <w:r>
                    <w:rPr>
                      <w:rFonts w:hint="eastAsia" w:ascii="Times New Roman" w:hAnsi="Times New Roman" w:eastAsia="宋体" w:cs="Times New Roman"/>
                      <w:color w:val="auto"/>
                      <w:kern w:val="0"/>
                      <w:sz w:val="21"/>
                      <w:szCs w:val="21"/>
                      <w:lang w:val="en-US" w:eastAsia="zh-CN" w:bidi="ar-SA"/>
                    </w:rPr>
                    <w:t>。</w:t>
                  </w:r>
                </w:p>
              </w:tc>
              <w:tc>
                <w:tcPr>
                  <w:tcW w:w="427" w:type="pct"/>
                  <w:tcBorders>
                    <w:tl2br w:val="nil"/>
                    <w:tr2bl w:val="nil"/>
                  </w:tcBorders>
                  <w:noWrap w:val="0"/>
                  <w:tcMar>
                    <w:top w:w="0" w:type="dxa"/>
                    <w:left w:w="0" w:type="dxa"/>
                    <w:bottom w:w="0" w:type="dxa"/>
                    <w:right w:w="0" w:type="dxa"/>
                  </w:tcMar>
                  <w:vAlign w:val="center"/>
                </w:tcPr>
                <w:p w14:paraId="593D18DC">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相符</w:t>
                  </w:r>
                </w:p>
              </w:tc>
            </w:tr>
            <w:tr w14:paraId="7DC8545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40" w:hRule="atLeast"/>
              </w:trPr>
              <w:tc>
                <w:tcPr>
                  <w:tcW w:w="565" w:type="pct"/>
                  <w:tcBorders>
                    <w:tl2br w:val="nil"/>
                    <w:tr2bl w:val="nil"/>
                  </w:tcBorders>
                  <w:noWrap w:val="0"/>
                  <w:tcMar>
                    <w:top w:w="0" w:type="dxa"/>
                    <w:left w:w="0" w:type="dxa"/>
                    <w:bottom w:w="0" w:type="dxa"/>
                    <w:right w:w="0" w:type="dxa"/>
                  </w:tcMar>
                  <w:vAlign w:val="center"/>
                </w:tcPr>
                <w:p w14:paraId="30915C5D">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环境风险防控</w:t>
                  </w:r>
                </w:p>
              </w:tc>
              <w:tc>
                <w:tcPr>
                  <w:tcW w:w="2422" w:type="pct"/>
                  <w:tcBorders>
                    <w:tl2br w:val="nil"/>
                    <w:tr2bl w:val="nil"/>
                  </w:tcBorders>
                  <w:noWrap w:val="0"/>
                  <w:tcMar>
                    <w:top w:w="0" w:type="dxa"/>
                    <w:left w:w="0" w:type="dxa"/>
                    <w:bottom w:w="0" w:type="dxa"/>
                    <w:right w:w="0" w:type="dxa"/>
                  </w:tcMar>
                  <w:vAlign w:val="center"/>
                </w:tcPr>
                <w:p w14:paraId="270FF0F3">
                  <w:pPr>
                    <w:pStyle w:val="5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jc w:val="center"/>
                    <w:rPr>
                      <w:rFonts w:hint="eastAsia"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（1）园区应建立环境风险防控体系</w:t>
                  </w:r>
                  <w:r>
                    <w:rPr>
                      <w:rFonts w:hint="eastAsia" w:ascii="Times New Roman" w:hAnsi="Times New Roman" w:eastAsia="宋体" w:cs="Times New Roman"/>
                      <w:color w:val="auto"/>
                      <w:kern w:val="0"/>
                      <w:sz w:val="21"/>
                      <w:szCs w:val="21"/>
                      <w:lang w:val="en-US" w:eastAsia="zh-CN" w:bidi="ar-SA"/>
                    </w:rPr>
                    <w:t>；</w:t>
                  </w:r>
                  <w:r>
                    <w:rPr>
                      <w:rFonts w:hint="default" w:ascii="Times New Roman" w:hAnsi="Times New Roman" w:eastAsia="宋体" w:cs="Times New Roman"/>
                      <w:color w:val="auto"/>
                      <w:kern w:val="0"/>
                      <w:sz w:val="21"/>
                      <w:szCs w:val="21"/>
                      <w:lang w:val="en-US" w:eastAsia="zh-CN" w:bidi="ar-SA"/>
                    </w:rPr>
                    <w:t>（2）按相关文件要求及时更新编制园区突发环境事件应急预案</w:t>
                  </w:r>
                  <w:r>
                    <w:rPr>
                      <w:rFonts w:hint="eastAsia" w:ascii="Times New Roman" w:hAnsi="Times New Roman" w:eastAsia="宋体" w:cs="Times New Roman"/>
                      <w:color w:val="auto"/>
                      <w:kern w:val="0"/>
                      <w:sz w:val="21"/>
                      <w:szCs w:val="21"/>
                      <w:lang w:val="en-US" w:eastAsia="zh-CN" w:bidi="ar-SA"/>
                    </w:rPr>
                    <w:t>；</w:t>
                  </w:r>
                  <w:r>
                    <w:rPr>
                      <w:rFonts w:hint="default" w:ascii="Times New Roman" w:hAnsi="Times New Roman" w:eastAsia="宋体" w:cs="Times New Roman"/>
                      <w:color w:val="auto"/>
                      <w:kern w:val="0"/>
                      <w:sz w:val="21"/>
                      <w:szCs w:val="21"/>
                      <w:lang w:val="en-US" w:eastAsia="zh-CN" w:bidi="ar-SA"/>
                    </w:rPr>
                    <w:t>（3）建立有效的安全防范体系，制定风险应急救援措施，一旦发生事故确保各项应急救援快速高效有序启动，减缓事故蔓延范围，最大限度减轻风险事故造成的损失。</w:t>
                  </w:r>
                </w:p>
              </w:tc>
              <w:tc>
                <w:tcPr>
                  <w:tcW w:w="1584" w:type="pct"/>
                  <w:tcBorders>
                    <w:tl2br w:val="nil"/>
                    <w:tr2bl w:val="nil"/>
                  </w:tcBorders>
                  <w:noWrap w:val="0"/>
                  <w:tcMar>
                    <w:top w:w="0" w:type="dxa"/>
                    <w:left w:w="0" w:type="dxa"/>
                    <w:bottom w:w="0" w:type="dxa"/>
                    <w:right w:w="0" w:type="dxa"/>
                  </w:tcMar>
                  <w:vAlign w:val="center"/>
                </w:tcPr>
                <w:p w14:paraId="6BB5C3D9">
                  <w:pPr>
                    <w:pStyle w:val="635"/>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项目实施后，按要求</w:t>
                  </w:r>
                  <w:r>
                    <w:rPr>
                      <w:rFonts w:hint="default" w:ascii="Times New Roman" w:hAnsi="Times New Roman" w:eastAsia="宋体" w:cs="Times New Roman"/>
                      <w:color w:val="auto"/>
                      <w:kern w:val="0"/>
                      <w:sz w:val="21"/>
                      <w:szCs w:val="21"/>
                      <w:lang w:val="en-US" w:eastAsia="zh-CN" w:bidi="ar-SA"/>
                    </w:rPr>
                    <w:t>编制</w:t>
                  </w:r>
                  <w:r>
                    <w:rPr>
                      <w:rFonts w:hint="eastAsia" w:ascii="Times New Roman" w:hAnsi="Times New Roman" w:eastAsia="宋体" w:cs="Times New Roman"/>
                      <w:color w:val="auto"/>
                      <w:kern w:val="0"/>
                      <w:sz w:val="21"/>
                      <w:szCs w:val="21"/>
                      <w:lang w:val="en-US" w:eastAsia="zh-CN" w:bidi="ar-SA"/>
                    </w:rPr>
                    <w:t>突发环境事件</w:t>
                  </w:r>
                  <w:r>
                    <w:rPr>
                      <w:rFonts w:hint="default" w:ascii="Times New Roman" w:hAnsi="Times New Roman" w:eastAsia="宋体" w:cs="Times New Roman"/>
                      <w:color w:val="auto"/>
                      <w:kern w:val="0"/>
                      <w:sz w:val="21"/>
                      <w:szCs w:val="21"/>
                      <w:lang w:val="en-US" w:eastAsia="zh-CN" w:bidi="ar-SA"/>
                    </w:rPr>
                    <w:t>应急预案</w:t>
                  </w:r>
                  <w:r>
                    <w:rPr>
                      <w:rFonts w:hint="eastAsia" w:ascii="Times New Roman" w:hAnsi="Times New Roman" w:eastAsia="宋体" w:cs="Times New Roman"/>
                      <w:color w:val="auto"/>
                      <w:kern w:val="0"/>
                      <w:sz w:val="21"/>
                      <w:szCs w:val="21"/>
                      <w:lang w:val="en-US" w:eastAsia="zh-CN" w:bidi="ar-SA"/>
                    </w:rPr>
                    <w:t>、落实预案中的相关</w:t>
                  </w:r>
                  <w:r>
                    <w:rPr>
                      <w:rFonts w:hint="default" w:ascii="Times New Roman" w:hAnsi="Times New Roman" w:eastAsia="宋体" w:cs="Times New Roman"/>
                      <w:color w:val="auto"/>
                      <w:kern w:val="0"/>
                      <w:sz w:val="21"/>
                      <w:szCs w:val="21"/>
                      <w:lang w:val="en-US" w:eastAsia="zh-CN" w:bidi="ar-SA"/>
                    </w:rPr>
                    <w:t>风险防范措施</w:t>
                  </w:r>
                  <w:r>
                    <w:rPr>
                      <w:rFonts w:hint="eastAsia" w:ascii="Times New Roman" w:hAnsi="Times New Roman" w:eastAsia="宋体" w:cs="Times New Roman"/>
                      <w:color w:val="auto"/>
                      <w:kern w:val="0"/>
                      <w:sz w:val="21"/>
                      <w:szCs w:val="21"/>
                      <w:lang w:val="en-US" w:eastAsia="zh-CN" w:bidi="ar-SA"/>
                    </w:rPr>
                    <w:t>并定期组织应急演练。</w:t>
                  </w:r>
                </w:p>
              </w:tc>
              <w:tc>
                <w:tcPr>
                  <w:tcW w:w="427" w:type="pct"/>
                  <w:tcBorders>
                    <w:tl2br w:val="nil"/>
                    <w:tr2bl w:val="nil"/>
                  </w:tcBorders>
                  <w:noWrap w:val="0"/>
                  <w:tcMar>
                    <w:top w:w="0" w:type="dxa"/>
                    <w:left w:w="0" w:type="dxa"/>
                    <w:bottom w:w="0" w:type="dxa"/>
                    <w:right w:w="0" w:type="dxa"/>
                  </w:tcMar>
                  <w:vAlign w:val="center"/>
                </w:tcPr>
                <w:p w14:paraId="1BB23407">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相符</w:t>
                  </w:r>
                </w:p>
              </w:tc>
            </w:tr>
            <w:tr w14:paraId="0566415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40" w:hRule="atLeast"/>
              </w:trPr>
              <w:tc>
                <w:tcPr>
                  <w:tcW w:w="565" w:type="pct"/>
                  <w:tcBorders>
                    <w:tl2br w:val="nil"/>
                    <w:tr2bl w:val="nil"/>
                  </w:tcBorders>
                  <w:noWrap w:val="0"/>
                  <w:tcMar>
                    <w:top w:w="0" w:type="dxa"/>
                    <w:left w:w="0" w:type="dxa"/>
                    <w:bottom w:w="0" w:type="dxa"/>
                    <w:right w:w="0" w:type="dxa"/>
                  </w:tcMar>
                  <w:vAlign w:val="center"/>
                </w:tcPr>
                <w:p w14:paraId="6C18CB15">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资源开发利用效率</w:t>
                  </w:r>
                </w:p>
              </w:tc>
              <w:tc>
                <w:tcPr>
                  <w:tcW w:w="2422" w:type="pct"/>
                  <w:tcBorders>
                    <w:tl2br w:val="nil"/>
                    <w:tr2bl w:val="nil"/>
                  </w:tcBorders>
                  <w:noWrap w:val="0"/>
                  <w:tcMar>
                    <w:top w:w="0" w:type="dxa"/>
                    <w:left w:w="0" w:type="dxa"/>
                    <w:bottom w:w="0" w:type="dxa"/>
                    <w:right w:w="0" w:type="dxa"/>
                  </w:tcMar>
                  <w:vAlign w:val="center"/>
                </w:tcPr>
                <w:p w14:paraId="0319F7C1">
                  <w:pPr>
                    <w:pStyle w:val="5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（1）大力倡导使用清洁能源</w:t>
                  </w:r>
                  <w:r>
                    <w:rPr>
                      <w:rFonts w:hint="eastAsia" w:ascii="Times New Roman" w:hAnsi="Times New Roman" w:eastAsia="宋体" w:cs="Times New Roman"/>
                      <w:color w:val="auto"/>
                      <w:kern w:val="0"/>
                      <w:sz w:val="21"/>
                      <w:szCs w:val="21"/>
                      <w:lang w:val="en-US" w:eastAsia="zh-CN" w:bidi="ar-SA"/>
                    </w:rPr>
                    <w:t>；</w:t>
                  </w:r>
                  <w:r>
                    <w:rPr>
                      <w:rFonts w:hint="default" w:ascii="Times New Roman" w:hAnsi="Times New Roman" w:eastAsia="宋体" w:cs="Times New Roman"/>
                      <w:color w:val="auto"/>
                      <w:kern w:val="0"/>
                      <w:sz w:val="21"/>
                      <w:szCs w:val="21"/>
                      <w:lang w:val="en-US" w:eastAsia="zh-CN" w:bidi="ar-SA"/>
                    </w:rPr>
                    <w:t>（2）提升废水资源化技术，提高水资源回用率</w:t>
                  </w:r>
                  <w:r>
                    <w:rPr>
                      <w:rFonts w:hint="eastAsia" w:ascii="Times New Roman" w:hAnsi="Times New Roman" w:eastAsia="宋体" w:cs="Times New Roman"/>
                      <w:color w:val="auto"/>
                      <w:kern w:val="0"/>
                      <w:sz w:val="21"/>
                      <w:szCs w:val="21"/>
                      <w:lang w:val="en-US" w:eastAsia="zh-CN" w:bidi="ar-SA"/>
                    </w:rPr>
                    <w:t>；</w:t>
                  </w:r>
                  <w:r>
                    <w:rPr>
                      <w:rFonts w:hint="default" w:ascii="Times New Roman" w:hAnsi="Times New Roman" w:eastAsia="宋体" w:cs="Times New Roman"/>
                      <w:color w:val="auto"/>
                      <w:kern w:val="0"/>
                      <w:sz w:val="21"/>
                      <w:szCs w:val="21"/>
                      <w:lang w:val="en-US" w:eastAsia="zh-CN" w:bidi="ar-SA"/>
                    </w:rPr>
                    <w:t>（3）禁止销售使用燃料为</w:t>
                  </w:r>
                  <w:r>
                    <w:rPr>
                      <w:rFonts w:hint="eastAsia" w:eastAsia="宋体" w:cs="Times New Roman"/>
                      <w:color w:val="auto"/>
                      <w:kern w:val="0"/>
                      <w:sz w:val="21"/>
                      <w:szCs w:val="21"/>
                      <w:lang w:val="en-US" w:eastAsia="zh-CN" w:bidi="ar-SA"/>
                    </w:rPr>
                    <w:t>“</w:t>
                  </w:r>
                  <w:r>
                    <w:rPr>
                      <w:rFonts w:hint="default" w:ascii="Times New Roman" w:hAnsi="Times New Roman" w:eastAsia="宋体" w:cs="Times New Roman"/>
                      <w:color w:val="auto"/>
                      <w:kern w:val="0"/>
                      <w:sz w:val="21"/>
                      <w:szCs w:val="21"/>
                      <w:lang w:val="en-US" w:eastAsia="zh-CN" w:bidi="ar-SA"/>
                    </w:rPr>
                    <w:t>III类</w:t>
                  </w:r>
                  <w:r>
                    <w:rPr>
                      <w:rFonts w:hint="eastAsia" w:eastAsia="宋体" w:cs="Times New Roman"/>
                      <w:color w:val="auto"/>
                      <w:kern w:val="0"/>
                      <w:sz w:val="21"/>
                      <w:szCs w:val="21"/>
                      <w:lang w:val="en-US" w:eastAsia="zh-CN" w:bidi="ar-SA"/>
                    </w:rPr>
                    <w:t>”</w:t>
                  </w:r>
                  <w:r>
                    <w:rPr>
                      <w:rFonts w:hint="eastAsia" w:ascii="Times New Roman" w:hAnsi="Times New Roman" w:eastAsia="宋体" w:cs="Times New Roman"/>
                      <w:color w:val="auto"/>
                      <w:kern w:val="0"/>
                      <w:sz w:val="21"/>
                      <w:szCs w:val="21"/>
                      <w:lang w:val="en-US" w:eastAsia="zh-CN" w:bidi="ar-SA"/>
                    </w:rPr>
                    <w:t>（</w:t>
                  </w:r>
                  <w:r>
                    <w:rPr>
                      <w:rFonts w:hint="default" w:ascii="Times New Roman" w:hAnsi="Times New Roman" w:eastAsia="宋体" w:cs="Times New Roman"/>
                      <w:color w:val="auto"/>
                      <w:kern w:val="0"/>
                      <w:sz w:val="21"/>
                      <w:szCs w:val="21"/>
                      <w:lang w:val="en-US" w:eastAsia="zh-CN" w:bidi="ar-SA"/>
                    </w:rPr>
                    <w:t>严格</w:t>
                  </w:r>
                  <w:r>
                    <w:rPr>
                      <w:rFonts w:hint="eastAsia" w:ascii="Times New Roman" w:hAnsi="Times New Roman" w:eastAsia="宋体" w:cs="Times New Roman"/>
                      <w:color w:val="auto"/>
                      <w:kern w:val="0"/>
                      <w:sz w:val="21"/>
                      <w:szCs w:val="21"/>
                      <w:lang w:val="en-US" w:eastAsia="zh-CN" w:bidi="ar-SA"/>
                    </w:rPr>
                    <w:t>）</w:t>
                  </w:r>
                  <w:r>
                    <w:rPr>
                      <w:rFonts w:hint="default" w:ascii="Times New Roman" w:hAnsi="Times New Roman" w:eastAsia="宋体" w:cs="Times New Roman"/>
                      <w:color w:val="auto"/>
                      <w:kern w:val="0"/>
                      <w:sz w:val="21"/>
                      <w:szCs w:val="21"/>
                      <w:lang w:val="en-US" w:eastAsia="zh-CN" w:bidi="ar-SA"/>
                    </w:rPr>
                    <w:t>，具体包括:①煤炭及其制品</w:t>
                  </w:r>
                  <w:r>
                    <w:rPr>
                      <w:rFonts w:hint="eastAsia" w:ascii="Times New Roman" w:hAnsi="Times New Roman" w:eastAsia="宋体" w:cs="Times New Roman"/>
                      <w:color w:val="auto"/>
                      <w:kern w:val="0"/>
                      <w:sz w:val="21"/>
                      <w:szCs w:val="21"/>
                      <w:lang w:val="en-US" w:eastAsia="zh-CN" w:bidi="ar-SA"/>
                    </w:rPr>
                    <w:t>（</w:t>
                  </w:r>
                  <w:r>
                    <w:rPr>
                      <w:rFonts w:hint="default" w:ascii="Times New Roman" w:hAnsi="Times New Roman" w:eastAsia="宋体" w:cs="Times New Roman"/>
                      <w:color w:val="auto"/>
                      <w:kern w:val="0"/>
                      <w:sz w:val="21"/>
                      <w:szCs w:val="21"/>
                      <w:lang w:val="en-US" w:eastAsia="zh-CN" w:bidi="ar-SA"/>
                    </w:rPr>
                    <w:t>包括原煤、散煤煤矸石、煤泥、煤粉、水煤浆、型煤、焦炭、兰炭等</w:t>
                  </w:r>
                  <w:r>
                    <w:rPr>
                      <w:rFonts w:hint="eastAsia" w:ascii="Times New Roman" w:hAnsi="Times New Roman" w:eastAsia="宋体" w:cs="Times New Roman"/>
                      <w:color w:val="auto"/>
                      <w:kern w:val="0"/>
                      <w:sz w:val="21"/>
                      <w:szCs w:val="21"/>
                      <w:lang w:val="en-US" w:eastAsia="zh-CN" w:bidi="ar-SA"/>
                    </w:rPr>
                    <w:t>）；</w:t>
                  </w:r>
                  <w:r>
                    <w:rPr>
                      <w:rFonts w:hint="default" w:ascii="Times New Roman" w:hAnsi="Times New Roman" w:eastAsia="宋体" w:cs="Times New Roman"/>
                      <w:color w:val="auto"/>
                      <w:kern w:val="0"/>
                      <w:sz w:val="21"/>
                      <w:szCs w:val="21"/>
                      <w:lang w:val="en-US" w:eastAsia="zh-CN" w:bidi="ar-SA"/>
                    </w:rPr>
                    <w:t>②石油焦、油页岩、原油、重油、渣油、煤焦油</w:t>
                  </w:r>
                  <w:r>
                    <w:rPr>
                      <w:rFonts w:hint="eastAsia" w:ascii="Times New Roman" w:hAnsi="Times New Roman" w:eastAsia="宋体" w:cs="Times New Roman"/>
                      <w:color w:val="auto"/>
                      <w:kern w:val="0"/>
                      <w:sz w:val="21"/>
                      <w:szCs w:val="21"/>
                      <w:lang w:val="en-US" w:eastAsia="zh-CN" w:bidi="ar-SA"/>
                    </w:rPr>
                    <w:t>；</w:t>
                  </w:r>
                  <w:r>
                    <w:rPr>
                      <w:rFonts w:hint="default" w:ascii="Times New Roman" w:hAnsi="Times New Roman" w:eastAsia="宋体" w:cs="Times New Roman"/>
                      <w:color w:val="auto"/>
                      <w:kern w:val="0"/>
                      <w:sz w:val="21"/>
                      <w:szCs w:val="21"/>
                      <w:lang w:val="en-US" w:eastAsia="zh-CN" w:bidi="ar-SA"/>
                    </w:rPr>
                    <w:t>③非专用锅炉或未配置高效除尘设施的专用锅炉燃用的生物质成型燃料</w:t>
                  </w:r>
                  <w:r>
                    <w:rPr>
                      <w:rFonts w:hint="eastAsia" w:ascii="Times New Roman" w:hAnsi="Times New Roman" w:eastAsia="宋体" w:cs="Times New Roman"/>
                      <w:color w:val="auto"/>
                      <w:kern w:val="0"/>
                      <w:sz w:val="21"/>
                      <w:szCs w:val="21"/>
                      <w:lang w:val="en-US" w:eastAsia="zh-CN" w:bidi="ar-SA"/>
                    </w:rPr>
                    <w:t>；</w:t>
                  </w:r>
                  <w:r>
                    <w:rPr>
                      <w:rFonts w:hint="default" w:ascii="Times New Roman" w:hAnsi="Times New Roman" w:eastAsia="宋体" w:cs="Times New Roman"/>
                      <w:color w:val="auto"/>
                      <w:kern w:val="0"/>
                      <w:sz w:val="21"/>
                      <w:szCs w:val="21"/>
                      <w:lang w:val="en-US" w:eastAsia="zh-CN" w:bidi="ar-SA"/>
                    </w:rPr>
                    <w:t>④国家规定的其它高污染燃料</w:t>
                  </w:r>
                  <w:r>
                    <w:rPr>
                      <w:rFonts w:hint="eastAsia" w:ascii="Times New Roman" w:hAnsi="Times New Roman" w:eastAsia="宋体" w:cs="Times New Roman"/>
                      <w:color w:val="auto"/>
                      <w:kern w:val="0"/>
                      <w:sz w:val="21"/>
                      <w:szCs w:val="21"/>
                      <w:lang w:val="en-US" w:eastAsia="zh-CN" w:bidi="ar-SA"/>
                    </w:rPr>
                    <w:t>；</w:t>
                  </w:r>
                  <w:r>
                    <w:rPr>
                      <w:rFonts w:hint="default" w:ascii="Times New Roman" w:hAnsi="Times New Roman" w:eastAsia="宋体" w:cs="Times New Roman"/>
                      <w:color w:val="auto"/>
                      <w:kern w:val="0"/>
                      <w:sz w:val="21"/>
                      <w:szCs w:val="21"/>
                      <w:lang w:val="en-US" w:eastAsia="zh-CN" w:bidi="ar-SA"/>
                    </w:rPr>
                    <w:t>（4）资源利用上线</w:t>
                  </w:r>
                  <w:r>
                    <w:rPr>
                      <w:rFonts w:hint="eastAsia" w:ascii="Times New Roman" w:hAnsi="Times New Roman" w:eastAsia="宋体" w:cs="Times New Roman"/>
                      <w:color w:val="auto"/>
                      <w:kern w:val="0"/>
                      <w:sz w:val="21"/>
                      <w:szCs w:val="21"/>
                      <w:lang w:val="en-US" w:eastAsia="zh-CN" w:bidi="ar-SA"/>
                    </w:rPr>
                    <w:t>：</w:t>
                  </w:r>
                  <w:r>
                    <w:rPr>
                      <w:rFonts w:hint="default" w:ascii="Times New Roman" w:hAnsi="Times New Roman" w:eastAsia="宋体" w:cs="Times New Roman"/>
                      <w:color w:val="auto"/>
                      <w:kern w:val="0"/>
                      <w:sz w:val="21"/>
                      <w:szCs w:val="21"/>
                      <w:lang w:val="en-US" w:eastAsia="zh-CN" w:bidi="ar-SA"/>
                    </w:rPr>
                    <w:t>单位工业增加值综合能耗≤0.1吨标煤/万元</w:t>
                  </w:r>
                  <w:r>
                    <w:rPr>
                      <w:rFonts w:hint="eastAsia" w:ascii="Times New Roman" w:hAnsi="Times New Roman" w:eastAsia="宋体" w:cs="Times New Roman"/>
                      <w:color w:val="auto"/>
                      <w:kern w:val="0"/>
                      <w:sz w:val="21"/>
                      <w:szCs w:val="21"/>
                      <w:lang w:val="en-US" w:eastAsia="zh-CN" w:bidi="ar-SA"/>
                    </w:rPr>
                    <w:t>；</w:t>
                  </w:r>
                  <w:r>
                    <w:rPr>
                      <w:rFonts w:hint="default" w:ascii="Times New Roman" w:hAnsi="Times New Roman" w:eastAsia="宋体" w:cs="Times New Roman"/>
                      <w:color w:val="auto"/>
                      <w:kern w:val="0"/>
                      <w:sz w:val="21"/>
                      <w:szCs w:val="21"/>
                      <w:lang w:val="en-US" w:eastAsia="zh-CN" w:bidi="ar-SA"/>
                    </w:rPr>
                    <w:t>单位工业增加值新鲜水耗≤3.0m</w:t>
                  </w:r>
                  <w:r>
                    <w:rPr>
                      <w:rFonts w:hint="eastAsia" w:ascii="Times New Roman" w:hAnsi="Times New Roman" w:eastAsia="宋体" w:cs="Times New Roman"/>
                      <w:color w:val="auto"/>
                      <w:kern w:val="0"/>
                      <w:sz w:val="21"/>
                      <w:szCs w:val="21"/>
                      <w:vertAlign w:val="superscript"/>
                      <w:lang w:val="en-US" w:eastAsia="zh-CN" w:bidi="ar-SA"/>
                    </w:rPr>
                    <w:t>3</w:t>
                  </w:r>
                  <w:r>
                    <w:rPr>
                      <w:rFonts w:hint="default" w:ascii="Times New Roman" w:hAnsi="Times New Roman" w:eastAsia="宋体" w:cs="Times New Roman"/>
                      <w:color w:val="auto"/>
                      <w:kern w:val="0"/>
                      <w:sz w:val="21"/>
                      <w:szCs w:val="21"/>
                      <w:lang w:val="en-US" w:eastAsia="zh-CN" w:bidi="ar-SA"/>
                    </w:rPr>
                    <w:t>/万元</w:t>
                  </w:r>
                  <w:r>
                    <w:rPr>
                      <w:rFonts w:hint="eastAsia" w:ascii="Times New Roman" w:hAnsi="Times New Roman" w:eastAsia="宋体" w:cs="Times New Roman"/>
                      <w:color w:val="auto"/>
                      <w:kern w:val="0"/>
                      <w:sz w:val="21"/>
                      <w:szCs w:val="21"/>
                      <w:lang w:val="en-US" w:eastAsia="zh-CN" w:bidi="ar-SA"/>
                    </w:rPr>
                    <w:t>。</w:t>
                  </w:r>
                </w:p>
              </w:tc>
              <w:tc>
                <w:tcPr>
                  <w:tcW w:w="1584" w:type="pct"/>
                  <w:tcBorders>
                    <w:tl2br w:val="nil"/>
                    <w:tr2bl w:val="nil"/>
                  </w:tcBorders>
                  <w:noWrap w:val="0"/>
                  <w:tcMar>
                    <w:top w:w="0" w:type="dxa"/>
                    <w:left w:w="0" w:type="dxa"/>
                    <w:bottom w:w="0" w:type="dxa"/>
                    <w:right w:w="0" w:type="dxa"/>
                  </w:tcMar>
                  <w:vAlign w:val="center"/>
                </w:tcPr>
                <w:p w14:paraId="5A2B762A">
                  <w:pPr>
                    <w:pStyle w:val="635"/>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（1）项目使用清洁能源电</w:t>
                  </w:r>
                  <w:r>
                    <w:rPr>
                      <w:rFonts w:hint="default" w:ascii="Times New Roman" w:hAnsi="Times New Roman" w:eastAsia="宋体" w:cs="Times New Roman"/>
                      <w:color w:val="auto"/>
                      <w:kern w:val="0"/>
                      <w:sz w:val="21"/>
                      <w:szCs w:val="21"/>
                      <w:lang w:val="en-US" w:eastAsia="zh-CN" w:bidi="ar-SA"/>
                    </w:rPr>
                    <w:t>；</w:t>
                  </w:r>
                  <w:r>
                    <w:rPr>
                      <w:rFonts w:hint="eastAsia" w:ascii="Times New Roman" w:hAnsi="Times New Roman" w:eastAsia="宋体" w:cs="Times New Roman"/>
                      <w:color w:val="auto"/>
                      <w:kern w:val="0"/>
                      <w:sz w:val="21"/>
                      <w:szCs w:val="21"/>
                      <w:lang w:val="en-US" w:eastAsia="zh-CN" w:bidi="ar-SA"/>
                    </w:rPr>
                    <w:t>（2）</w:t>
                  </w:r>
                  <w:r>
                    <w:rPr>
                      <w:rFonts w:hint="default" w:ascii="Times New Roman" w:hAnsi="Times New Roman" w:eastAsia="宋体" w:cs="Times New Roman"/>
                      <w:color w:val="auto"/>
                      <w:kern w:val="0"/>
                      <w:sz w:val="21"/>
                      <w:szCs w:val="21"/>
                      <w:lang w:val="en-US" w:eastAsia="zh-CN" w:bidi="ar-SA"/>
                    </w:rPr>
                    <w:t>项目无生产废水排放；</w:t>
                  </w:r>
                  <w:r>
                    <w:rPr>
                      <w:rFonts w:hint="eastAsia" w:ascii="Times New Roman" w:hAnsi="Times New Roman" w:eastAsia="宋体" w:cs="Times New Roman"/>
                      <w:color w:val="auto"/>
                      <w:kern w:val="0"/>
                      <w:sz w:val="21"/>
                      <w:szCs w:val="21"/>
                      <w:lang w:val="en-US" w:eastAsia="zh-CN" w:bidi="ar-SA"/>
                    </w:rPr>
                    <w:t>（3）本项目不销售、使用燃料；（4）</w:t>
                  </w:r>
                  <w:r>
                    <w:rPr>
                      <w:rFonts w:hint="default" w:ascii="Times New Roman" w:hAnsi="Times New Roman" w:eastAsia="宋体" w:cs="Times New Roman"/>
                      <w:color w:val="auto"/>
                      <w:kern w:val="0"/>
                      <w:sz w:val="21"/>
                      <w:szCs w:val="21"/>
                      <w:lang w:val="en-US" w:eastAsia="zh-CN" w:bidi="ar-SA"/>
                    </w:rPr>
                    <w:t>单位工业增加值综合能耗</w:t>
                  </w:r>
                  <w:r>
                    <w:rPr>
                      <w:rFonts w:hint="eastAsia" w:ascii="Times New Roman" w:hAnsi="Times New Roman" w:eastAsia="宋体" w:cs="Times New Roman"/>
                      <w:color w:val="auto"/>
                      <w:kern w:val="0"/>
                      <w:sz w:val="21"/>
                      <w:szCs w:val="21"/>
                      <w:lang w:val="en-US" w:eastAsia="zh-CN" w:bidi="ar-SA"/>
                    </w:rPr>
                    <w:t>0.094</w:t>
                  </w:r>
                  <w:r>
                    <w:rPr>
                      <w:rFonts w:hint="default" w:ascii="Times New Roman" w:hAnsi="Times New Roman" w:eastAsia="宋体" w:cs="Times New Roman"/>
                      <w:color w:val="auto"/>
                      <w:kern w:val="0"/>
                      <w:sz w:val="21"/>
                      <w:szCs w:val="21"/>
                      <w:lang w:val="en-US" w:eastAsia="zh-CN" w:bidi="ar-SA"/>
                    </w:rPr>
                    <w:t>吨标煤/万元</w:t>
                  </w:r>
                  <w:r>
                    <w:rPr>
                      <w:rFonts w:hint="eastAsia" w:ascii="Times New Roman" w:hAnsi="Times New Roman" w:eastAsia="宋体" w:cs="Times New Roman"/>
                      <w:color w:val="auto"/>
                      <w:kern w:val="0"/>
                      <w:sz w:val="21"/>
                      <w:szCs w:val="21"/>
                      <w:lang w:val="en-US" w:eastAsia="zh-CN" w:bidi="ar-SA"/>
                    </w:rPr>
                    <w:t>；</w:t>
                  </w:r>
                  <w:r>
                    <w:rPr>
                      <w:rFonts w:hint="default" w:ascii="Times New Roman" w:hAnsi="Times New Roman" w:eastAsia="宋体" w:cs="Times New Roman"/>
                      <w:color w:val="auto"/>
                      <w:kern w:val="0"/>
                      <w:sz w:val="21"/>
                      <w:szCs w:val="21"/>
                      <w:lang w:val="en-US" w:eastAsia="zh-CN" w:bidi="ar-SA"/>
                    </w:rPr>
                    <w:t>单位工业增加值新鲜水耗≤</w:t>
                  </w:r>
                  <w:r>
                    <w:rPr>
                      <w:rFonts w:hint="eastAsia" w:ascii="Times New Roman" w:hAnsi="Times New Roman" w:eastAsia="宋体" w:cs="Times New Roman"/>
                      <w:color w:val="auto"/>
                      <w:kern w:val="0"/>
                      <w:sz w:val="21"/>
                      <w:szCs w:val="21"/>
                      <w:lang w:val="en-US" w:eastAsia="zh-CN" w:bidi="ar-SA"/>
                    </w:rPr>
                    <w:t>0.53</w:t>
                  </w:r>
                  <w:r>
                    <w:rPr>
                      <w:rFonts w:hint="default" w:ascii="Times New Roman" w:hAnsi="Times New Roman" w:eastAsia="宋体" w:cs="Times New Roman"/>
                      <w:color w:val="auto"/>
                      <w:kern w:val="0"/>
                      <w:sz w:val="21"/>
                      <w:szCs w:val="21"/>
                      <w:lang w:val="en-US" w:eastAsia="zh-CN" w:bidi="ar-SA"/>
                    </w:rPr>
                    <w:t>m</w:t>
                  </w:r>
                  <w:r>
                    <w:rPr>
                      <w:rFonts w:hint="eastAsia" w:ascii="Times New Roman" w:hAnsi="Times New Roman" w:eastAsia="宋体" w:cs="Times New Roman"/>
                      <w:color w:val="auto"/>
                      <w:kern w:val="0"/>
                      <w:sz w:val="21"/>
                      <w:szCs w:val="21"/>
                      <w:vertAlign w:val="superscript"/>
                      <w:lang w:val="en-US" w:eastAsia="zh-CN" w:bidi="ar-SA"/>
                    </w:rPr>
                    <w:t>3</w:t>
                  </w:r>
                  <w:r>
                    <w:rPr>
                      <w:rFonts w:hint="default" w:ascii="Times New Roman" w:hAnsi="Times New Roman" w:eastAsia="宋体" w:cs="Times New Roman"/>
                      <w:color w:val="auto"/>
                      <w:kern w:val="0"/>
                      <w:sz w:val="21"/>
                      <w:szCs w:val="21"/>
                      <w:lang w:val="en-US" w:eastAsia="zh-CN" w:bidi="ar-SA"/>
                    </w:rPr>
                    <w:t>/万元</w:t>
                  </w:r>
                  <w:r>
                    <w:rPr>
                      <w:rFonts w:hint="eastAsia" w:ascii="Times New Roman" w:hAnsi="Times New Roman" w:eastAsia="宋体" w:cs="Times New Roman"/>
                      <w:color w:val="auto"/>
                      <w:kern w:val="0"/>
                      <w:sz w:val="21"/>
                      <w:szCs w:val="21"/>
                      <w:lang w:val="en-US" w:eastAsia="zh-CN" w:bidi="ar-SA"/>
                    </w:rPr>
                    <w:t>，满足资源利用上线要求。</w:t>
                  </w:r>
                </w:p>
              </w:tc>
              <w:tc>
                <w:tcPr>
                  <w:tcW w:w="427" w:type="pct"/>
                  <w:tcBorders>
                    <w:tl2br w:val="nil"/>
                    <w:tr2bl w:val="nil"/>
                  </w:tcBorders>
                  <w:noWrap w:val="0"/>
                  <w:tcMar>
                    <w:top w:w="0" w:type="dxa"/>
                    <w:left w:w="0" w:type="dxa"/>
                    <w:bottom w:w="0" w:type="dxa"/>
                    <w:right w:w="0" w:type="dxa"/>
                  </w:tcMar>
                  <w:vAlign w:val="center"/>
                </w:tcPr>
                <w:p w14:paraId="7C63BCCC">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相符</w:t>
                  </w:r>
                </w:p>
              </w:tc>
            </w:tr>
          </w:tbl>
          <w:p w14:paraId="4AB63230">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b/>
                <w:color w:val="auto"/>
                <w:kern w:val="0"/>
                <w:sz w:val="21"/>
                <w:szCs w:val="21"/>
                <w:highlight w:val="none"/>
              </w:rPr>
            </w:pPr>
            <w:r>
              <w:rPr>
                <w:rFonts w:hint="eastAsia"/>
                <w:b/>
                <w:color w:val="auto"/>
                <w:kern w:val="0"/>
                <w:sz w:val="21"/>
                <w:szCs w:val="21"/>
                <w:highlight w:val="none"/>
              </w:rPr>
              <w:t>表1-</w:t>
            </w:r>
            <w:r>
              <w:rPr>
                <w:rFonts w:hint="eastAsia"/>
                <w:b/>
                <w:color w:val="auto"/>
                <w:kern w:val="0"/>
                <w:sz w:val="21"/>
                <w:szCs w:val="21"/>
                <w:highlight w:val="none"/>
                <w:lang w:val="en-US" w:eastAsia="zh-CN"/>
              </w:rPr>
              <w:t>3</w:t>
            </w:r>
            <w:r>
              <w:rPr>
                <w:rFonts w:hint="eastAsia"/>
                <w:b/>
                <w:color w:val="auto"/>
                <w:kern w:val="0"/>
                <w:sz w:val="21"/>
                <w:szCs w:val="21"/>
                <w:highlight w:val="none"/>
              </w:rPr>
              <w:t xml:space="preserve"> </w:t>
            </w:r>
            <w:r>
              <w:rPr>
                <w:rFonts w:hint="eastAsia"/>
                <w:b/>
                <w:color w:val="auto"/>
                <w:kern w:val="0"/>
                <w:sz w:val="21"/>
                <w:szCs w:val="21"/>
                <w:highlight w:val="none"/>
                <w:lang w:val="en-US" w:eastAsia="zh-CN"/>
              </w:rPr>
              <w:t xml:space="preserve">  </w:t>
            </w:r>
            <w:r>
              <w:rPr>
                <w:rFonts w:hint="eastAsia"/>
                <w:b/>
                <w:color w:val="auto"/>
                <w:kern w:val="0"/>
                <w:sz w:val="21"/>
                <w:szCs w:val="21"/>
                <w:highlight w:val="none"/>
              </w:rPr>
              <w:t>本项目与江苏省金坛华罗庚高新技术产业园开发区开发建设规划（2022~2035）环境影响报告书的审查意见相符性分析</w:t>
            </w:r>
          </w:p>
          <w:tbl>
            <w:tblPr>
              <w:tblStyle w:val="59"/>
              <w:tblW w:w="5000" w:type="pct"/>
              <w:tblInd w:w="0" w:type="dxa"/>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0" w:type="dxa"/>
                <w:bottom w:w="0" w:type="dxa"/>
                <w:right w:w="0" w:type="dxa"/>
              </w:tblCellMar>
            </w:tblPr>
            <w:tblGrid>
              <w:gridCol w:w="773"/>
              <w:gridCol w:w="4979"/>
              <w:gridCol w:w="1593"/>
              <w:gridCol w:w="806"/>
            </w:tblGrid>
            <w:tr w14:paraId="10A67BCF">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40" w:hRule="atLeast"/>
              </w:trPr>
              <w:tc>
                <w:tcPr>
                  <w:tcW w:w="672" w:type="dxa"/>
                  <w:tcBorders>
                    <w:tl2br w:val="nil"/>
                    <w:tr2bl w:val="nil"/>
                  </w:tcBorders>
                  <w:noWrap w:val="0"/>
                  <w:vAlign w:val="center"/>
                </w:tcPr>
                <w:p w14:paraId="15721235">
                  <w:pPr>
                    <w:autoSpaceDE w:val="0"/>
                    <w:autoSpaceDN w:val="0"/>
                    <w:adjustRightInd w:val="0"/>
                    <w:snapToGrid w:val="0"/>
                    <w:jc w:val="center"/>
                    <w:rPr>
                      <w:rFonts w:hint="default" w:eastAsia="宋体"/>
                      <w:b/>
                      <w:color w:val="auto"/>
                      <w:kern w:val="0"/>
                      <w:sz w:val="21"/>
                      <w:szCs w:val="21"/>
                      <w:highlight w:val="none"/>
                      <w:lang w:val="en-US" w:eastAsia="zh-CN"/>
                    </w:rPr>
                  </w:pPr>
                  <w:r>
                    <w:rPr>
                      <w:rFonts w:hint="eastAsia"/>
                      <w:b/>
                      <w:color w:val="auto"/>
                      <w:kern w:val="0"/>
                      <w:sz w:val="21"/>
                      <w:szCs w:val="21"/>
                      <w:highlight w:val="none"/>
                      <w:lang w:val="en-US" w:eastAsia="zh-CN"/>
                    </w:rPr>
                    <w:t>条款类型</w:t>
                  </w:r>
                </w:p>
              </w:tc>
              <w:tc>
                <w:tcPr>
                  <w:tcW w:w="4326" w:type="dxa"/>
                  <w:tcBorders>
                    <w:tl2br w:val="nil"/>
                    <w:tr2bl w:val="nil"/>
                  </w:tcBorders>
                  <w:noWrap w:val="0"/>
                  <w:vAlign w:val="center"/>
                </w:tcPr>
                <w:p w14:paraId="68F9E9F8">
                  <w:pPr>
                    <w:autoSpaceDE w:val="0"/>
                    <w:autoSpaceDN w:val="0"/>
                    <w:adjustRightInd w:val="0"/>
                    <w:snapToGrid w:val="0"/>
                    <w:jc w:val="center"/>
                    <w:rPr>
                      <w:b/>
                      <w:color w:val="auto"/>
                      <w:kern w:val="0"/>
                      <w:sz w:val="21"/>
                      <w:szCs w:val="21"/>
                      <w:highlight w:val="none"/>
                    </w:rPr>
                  </w:pPr>
                  <w:r>
                    <w:rPr>
                      <w:rFonts w:hint="eastAsia"/>
                      <w:b/>
                      <w:color w:val="auto"/>
                      <w:kern w:val="0"/>
                      <w:sz w:val="21"/>
                      <w:szCs w:val="21"/>
                      <w:highlight w:val="none"/>
                    </w:rPr>
                    <w:t>相关要求</w:t>
                  </w:r>
                </w:p>
              </w:tc>
              <w:tc>
                <w:tcPr>
                  <w:tcW w:w="1384" w:type="dxa"/>
                  <w:tcBorders>
                    <w:tl2br w:val="nil"/>
                    <w:tr2bl w:val="nil"/>
                  </w:tcBorders>
                  <w:noWrap w:val="0"/>
                  <w:vAlign w:val="center"/>
                </w:tcPr>
                <w:p w14:paraId="50A18F92">
                  <w:pPr>
                    <w:autoSpaceDE w:val="0"/>
                    <w:autoSpaceDN w:val="0"/>
                    <w:adjustRightInd w:val="0"/>
                    <w:snapToGrid w:val="0"/>
                    <w:jc w:val="center"/>
                    <w:rPr>
                      <w:b/>
                      <w:color w:val="auto"/>
                      <w:kern w:val="0"/>
                      <w:sz w:val="21"/>
                      <w:szCs w:val="21"/>
                      <w:highlight w:val="none"/>
                    </w:rPr>
                  </w:pPr>
                  <w:r>
                    <w:rPr>
                      <w:rFonts w:hint="eastAsia"/>
                      <w:b/>
                      <w:color w:val="auto"/>
                      <w:kern w:val="0"/>
                      <w:sz w:val="21"/>
                      <w:szCs w:val="21"/>
                      <w:highlight w:val="none"/>
                    </w:rPr>
                    <w:t>本项目情况</w:t>
                  </w:r>
                </w:p>
              </w:tc>
              <w:tc>
                <w:tcPr>
                  <w:tcW w:w="700" w:type="dxa"/>
                  <w:tcBorders>
                    <w:tl2br w:val="nil"/>
                    <w:tr2bl w:val="nil"/>
                  </w:tcBorders>
                  <w:noWrap w:val="0"/>
                  <w:vAlign w:val="center"/>
                </w:tcPr>
                <w:p w14:paraId="043802FF">
                  <w:pPr>
                    <w:autoSpaceDE w:val="0"/>
                    <w:autoSpaceDN w:val="0"/>
                    <w:adjustRightInd w:val="0"/>
                    <w:snapToGrid w:val="0"/>
                    <w:jc w:val="center"/>
                    <w:rPr>
                      <w:b/>
                      <w:color w:val="auto"/>
                      <w:kern w:val="0"/>
                      <w:sz w:val="21"/>
                      <w:szCs w:val="21"/>
                      <w:highlight w:val="none"/>
                    </w:rPr>
                  </w:pPr>
                  <w:r>
                    <w:rPr>
                      <w:rFonts w:hint="eastAsia"/>
                      <w:b/>
                      <w:color w:val="auto"/>
                      <w:kern w:val="0"/>
                      <w:sz w:val="21"/>
                      <w:szCs w:val="21"/>
                      <w:highlight w:val="none"/>
                    </w:rPr>
                    <w:t>相符性</w:t>
                  </w:r>
                </w:p>
              </w:tc>
            </w:tr>
            <w:tr w14:paraId="588BF5D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40" w:hRule="atLeast"/>
              </w:trPr>
              <w:tc>
                <w:tcPr>
                  <w:tcW w:w="672" w:type="dxa"/>
                  <w:tcBorders>
                    <w:tl2br w:val="nil"/>
                    <w:tr2bl w:val="nil"/>
                  </w:tcBorders>
                  <w:noWrap w:val="0"/>
                  <w:vAlign w:val="center"/>
                </w:tcPr>
                <w:p w14:paraId="052F6D91">
                  <w:pPr>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rPr>
                    <w:t>园区规划范围</w:t>
                  </w:r>
                </w:p>
              </w:tc>
              <w:tc>
                <w:tcPr>
                  <w:tcW w:w="4326" w:type="dxa"/>
                  <w:tcBorders>
                    <w:tl2br w:val="nil"/>
                    <w:tr2bl w:val="nil"/>
                  </w:tcBorders>
                  <w:noWrap w:val="0"/>
                  <w:vAlign w:val="center"/>
                </w:tcPr>
                <w:p w14:paraId="4AD46AE6">
                  <w:pPr>
                    <w:keepNext/>
                    <w:keepLines/>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rPr>
                    <w:t>江苏省金坛华罗庚高新技术产业开发区（以下简称</w:t>
                  </w:r>
                  <w:r>
                    <w:rPr>
                      <w:rFonts w:hint="eastAsia" w:eastAsia="宋体" w:cs="Times New Roman"/>
                      <w:color w:val="auto"/>
                      <w:kern w:val="0"/>
                      <w:sz w:val="21"/>
                      <w:szCs w:val="21"/>
                      <w:lang w:eastAsia="zh-CN"/>
                    </w:rPr>
                    <w:t>“</w:t>
                  </w:r>
                  <w:r>
                    <w:rPr>
                      <w:rFonts w:hint="default" w:ascii="Times New Roman" w:hAnsi="Times New Roman" w:eastAsia="宋体" w:cs="Times New Roman"/>
                      <w:color w:val="auto"/>
                      <w:kern w:val="0"/>
                      <w:sz w:val="21"/>
                      <w:szCs w:val="21"/>
                    </w:rPr>
                    <w:t>华罗庚高新区</w:t>
                  </w:r>
                  <w:r>
                    <w:rPr>
                      <w:rFonts w:hint="eastAsia" w:eastAsia="宋体" w:cs="Times New Roman"/>
                      <w:color w:val="auto"/>
                      <w:kern w:val="0"/>
                      <w:sz w:val="21"/>
                      <w:szCs w:val="21"/>
                      <w:lang w:eastAsia="zh-CN"/>
                    </w:rPr>
                    <w:t>”</w:t>
                  </w:r>
                  <w:r>
                    <w:rPr>
                      <w:rFonts w:hint="default" w:ascii="Times New Roman" w:hAnsi="Times New Roman" w:eastAsia="宋体" w:cs="Times New Roman"/>
                      <w:color w:val="auto"/>
                      <w:kern w:val="0"/>
                      <w:sz w:val="21"/>
                      <w:szCs w:val="21"/>
                    </w:rPr>
                    <w:t>）由华罗庚科技产业园片区（北区）和金东现代产业园片区（南区）2个片区组成，规划总面积34.11km</w:t>
                  </w:r>
                  <w:r>
                    <w:rPr>
                      <w:rFonts w:hint="default" w:ascii="Times New Roman" w:hAnsi="Times New Roman" w:eastAsia="宋体" w:cs="Times New Roman"/>
                      <w:color w:val="auto"/>
                      <w:kern w:val="0"/>
                      <w:sz w:val="21"/>
                      <w:szCs w:val="21"/>
                      <w:vertAlign w:val="superscript"/>
                    </w:rPr>
                    <w:t>2</w:t>
                  </w:r>
                  <w:r>
                    <w:rPr>
                      <w:rFonts w:hint="default" w:ascii="Times New Roman" w:hAnsi="Times New Roman" w:eastAsia="宋体" w:cs="Times New Roman"/>
                      <w:color w:val="auto"/>
                      <w:kern w:val="0"/>
                      <w:sz w:val="21"/>
                      <w:szCs w:val="21"/>
                    </w:rPr>
                    <w:t>。其中，华罗庚科技产业园片区四至范围：东至银湖路、南至江东大道、西至金湖路、北至金武快速路和南二环路，片区规划面积为31.19km</w:t>
                  </w:r>
                  <w:r>
                    <w:rPr>
                      <w:rFonts w:hint="default" w:ascii="Times New Roman" w:hAnsi="Times New Roman" w:eastAsia="宋体" w:cs="Times New Roman"/>
                      <w:color w:val="auto"/>
                      <w:kern w:val="0"/>
                      <w:sz w:val="21"/>
                      <w:szCs w:val="21"/>
                      <w:vertAlign w:val="superscript"/>
                    </w:rPr>
                    <w:t>2</w:t>
                  </w:r>
                  <w:r>
                    <w:rPr>
                      <w:rFonts w:hint="default" w:ascii="Times New Roman" w:hAnsi="Times New Roman" w:eastAsia="宋体" w:cs="Times New Roman"/>
                      <w:color w:val="auto"/>
                      <w:kern w:val="0"/>
                      <w:sz w:val="21"/>
                      <w:szCs w:val="21"/>
                    </w:rPr>
                    <w:t>；金东现代产业园片区四至范围为：东至引水河、南至湟里河、西至金湖南路、北至长荡湖北路，片区规划面积为2.92km</w:t>
                  </w:r>
                  <w:r>
                    <w:rPr>
                      <w:rFonts w:hint="default" w:ascii="Times New Roman" w:hAnsi="Times New Roman" w:eastAsia="宋体" w:cs="Times New Roman"/>
                      <w:color w:val="auto"/>
                      <w:kern w:val="0"/>
                      <w:sz w:val="21"/>
                      <w:szCs w:val="21"/>
                      <w:vertAlign w:val="superscript"/>
                    </w:rPr>
                    <w:t>2</w:t>
                  </w:r>
                  <w:r>
                    <w:rPr>
                      <w:rFonts w:hint="default" w:ascii="Times New Roman" w:hAnsi="Times New Roman" w:eastAsia="宋体" w:cs="Times New Roman"/>
                      <w:color w:val="auto"/>
                      <w:kern w:val="0"/>
                      <w:sz w:val="21"/>
                      <w:szCs w:val="21"/>
                    </w:rPr>
                    <w:t>。</w:t>
                  </w:r>
                </w:p>
              </w:tc>
              <w:tc>
                <w:tcPr>
                  <w:tcW w:w="1384" w:type="dxa"/>
                  <w:tcBorders>
                    <w:tl2br w:val="nil"/>
                    <w:tr2bl w:val="nil"/>
                  </w:tcBorders>
                  <w:noWrap w:val="0"/>
                  <w:vAlign w:val="center"/>
                </w:tcPr>
                <w:p w14:paraId="29DB0D65">
                  <w:pPr>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项目建设地</w:t>
                  </w:r>
                  <w:r>
                    <w:rPr>
                      <w:rFonts w:hint="default" w:ascii="Times New Roman" w:hAnsi="Times New Roman" w:eastAsia="宋体" w:cs="Times New Roman"/>
                      <w:color w:val="auto"/>
                      <w:sz w:val="21"/>
                      <w:szCs w:val="21"/>
                    </w:rPr>
                    <w:t>位于</w:t>
                  </w:r>
                  <w:r>
                    <w:rPr>
                      <w:rFonts w:hint="eastAsia"/>
                      <w:color w:val="auto"/>
                      <w:lang w:eastAsia="zh-CN"/>
                    </w:rPr>
                    <w:t>江苏省常州市金坛区亿晶路99号</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位于</w:t>
                  </w:r>
                  <w:r>
                    <w:rPr>
                      <w:rFonts w:hint="default" w:ascii="Times New Roman" w:hAnsi="Times New Roman" w:eastAsia="宋体" w:cs="Times New Roman"/>
                      <w:color w:val="auto"/>
                      <w:kern w:val="0"/>
                      <w:sz w:val="21"/>
                      <w:szCs w:val="21"/>
                    </w:rPr>
                    <w:t>江苏省金坛华罗庚高新技术产业开发区</w:t>
                  </w:r>
                  <w:r>
                    <w:rPr>
                      <w:rFonts w:hint="eastAsia" w:ascii="Times New Roman" w:hAnsi="Times New Roman" w:eastAsia="宋体" w:cs="Times New Roman"/>
                      <w:color w:val="auto"/>
                      <w:kern w:val="0"/>
                      <w:sz w:val="21"/>
                      <w:szCs w:val="21"/>
                      <w:lang w:val="en-US" w:eastAsia="zh-CN"/>
                    </w:rPr>
                    <w:t>中</w:t>
                  </w:r>
                  <w:r>
                    <w:rPr>
                      <w:rFonts w:hint="eastAsia" w:eastAsia="宋体" w:cs="Times New Roman"/>
                      <w:color w:val="auto"/>
                      <w:kern w:val="0"/>
                      <w:sz w:val="21"/>
                      <w:szCs w:val="21"/>
                      <w:lang w:val="en-US" w:eastAsia="zh-CN"/>
                    </w:rPr>
                    <w:t>华罗庚科技产业园</w:t>
                  </w:r>
                  <w:r>
                    <w:rPr>
                      <w:rFonts w:hint="default" w:ascii="Times New Roman" w:hAnsi="Times New Roman" w:eastAsia="宋体" w:cs="Times New Roman"/>
                      <w:color w:val="auto"/>
                      <w:kern w:val="0"/>
                      <w:sz w:val="21"/>
                      <w:szCs w:val="21"/>
                    </w:rPr>
                    <w:t>（</w:t>
                  </w:r>
                  <w:r>
                    <w:rPr>
                      <w:rFonts w:hint="eastAsia" w:eastAsia="宋体" w:cs="Times New Roman"/>
                      <w:color w:val="auto"/>
                      <w:kern w:val="0"/>
                      <w:sz w:val="21"/>
                      <w:szCs w:val="21"/>
                      <w:lang w:val="en-US" w:eastAsia="zh-CN"/>
                    </w:rPr>
                    <w:t>北区</w:t>
                  </w:r>
                  <w:r>
                    <w:rPr>
                      <w:rFonts w:hint="default" w:ascii="Times New Roman" w:hAnsi="Times New Roman" w:eastAsia="宋体" w:cs="Times New Roman"/>
                      <w:color w:val="auto"/>
                      <w:kern w:val="0"/>
                      <w:sz w:val="21"/>
                      <w:szCs w:val="21"/>
                    </w:rPr>
                    <w:t>）</w:t>
                  </w:r>
                  <w:r>
                    <w:rPr>
                      <w:rFonts w:hint="default" w:ascii="Times New Roman" w:hAnsi="Times New Roman" w:eastAsia="宋体" w:cs="Times New Roman"/>
                      <w:color w:val="auto"/>
                      <w:sz w:val="21"/>
                      <w:szCs w:val="21"/>
                      <w:lang w:val="en-US" w:eastAsia="zh-CN"/>
                    </w:rPr>
                    <w:t>内，</w:t>
                  </w:r>
                  <w:r>
                    <w:rPr>
                      <w:rFonts w:hint="default" w:ascii="Times New Roman" w:hAnsi="Times New Roman" w:eastAsia="宋体" w:cs="Times New Roman"/>
                      <w:color w:val="auto"/>
                      <w:sz w:val="21"/>
                      <w:szCs w:val="21"/>
                    </w:rPr>
                    <w:t>属于规划范围内。</w:t>
                  </w:r>
                </w:p>
              </w:tc>
              <w:tc>
                <w:tcPr>
                  <w:tcW w:w="700" w:type="dxa"/>
                  <w:tcBorders>
                    <w:tl2br w:val="nil"/>
                    <w:tr2bl w:val="nil"/>
                  </w:tcBorders>
                  <w:noWrap w:val="0"/>
                  <w:vAlign w:val="center"/>
                </w:tcPr>
                <w:p w14:paraId="5CFFE2D2">
                  <w:pPr>
                    <w:autoSpaceDE w:val="0"/>
                    <w:autoSpaceDN w:val="0"/>
                    <w:adjustRightInd w:val="0"/>
                    <w:snapToGrid w:val="0"/>
                    <w:jc w:val="center"/>
                    <w:rPr>
                      <w:rFonts w:hint="default" w:eastAsia="宋体"/>
                      <w:b w:val="0"/>
                      <w:bCs/>
                      <w:color w:val="auto"/>
                      <w:kern w:val="0"/>
                      <w:sz w:val="21"/>
                      <w:szCs w:val="21"/>
                      <w:highlight w:val="none"/>
                      <w:lang w:val="en-US" w:eastAsia="zh-CN"/>
                    </w:rPr>
                  </w:pPr>
                  <w:r>
                    <w:rPr>
                      <w:rFonts w:hint="eastAsia"/>
                      <w:b w:val="0"/>
                      <w:bCs/>
                      <w:color w:val="auto"/>
                      <w:kern w:val="0"/>
                      <w:sz w:val="21"/>
                      <w:szCs w:val="21"/>
                      <w:highlight w:val="none"/>
                      <w:lang w:val="en-US" w:eastAsia="zh-CN"/>
                    </w:rPr>
                    <w:t>符合</w:t>
                  </w:r>
                </w:p>
              </w:tc>
            </w:tr>
            <w:tr w14:paraId="5F50A5A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40" w:hRule="atLeast"/>
              </w:trPr>
              <w:tc>
                <w:tcPr>
                  <w:tcW w:w="672" w:type="dxa"/>
                  <w:tcBorders>
                    <w:tl2br w:val="nil"/>
                    <w:tr2bl w:val="nil"/>
                  </w:tcBorders>
                  <w:noWrap w:val="0"/>
                  <w:vAlign w:val="center"/>
                </w:tcPr>
                <w:p w14:paraId="14D1446C">
                  <w:pPr>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rPr>
                    <w:t>规划时限</w:t>
                  </w:r>
                </w:p>
              </w:tc>
              <w:tc>
                <w:tcPr>
                  <w:tcW w:w="4326" w:type="dxa"/>
                  <w:tcBorders>
                    <w:tl2br w:val="nil"/>
                    <w:tr2bl w:val="nil"/>
                  </w:tcBorders>
                  <w:noWrap w:val="0"/>
                  <w:vAlign w:val="center"/>
                </w:tcPr>
                <w:p w14:paraId="22D0EDF3">
                  <w:pPr>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rPr>
                    <w:t>规划基准年2021年，规划期限为2022~2035年。其中，近期为2022~2025年，远期为2026~2035年。</w:t>
                  </w:r>
                </w:p>
              </w:tc>
              <w:tc>
                <w:tcPr>
                  <w:tcW w:w="1384" w:type="dxa"/>
                  <w:tcBorders>
                    <w:tl2br w:val="nil"/>
                    <w:tr2bl w:val="nil"/>
                  </w:tcBorders>
                  <w:noWrap w:val="0"/>
                  <w:vAlign w:val="center"/>
                </w:tcPr>
                <w:p w14:paraId="30CC7420">
                  <w:pPr>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rPr>
                    <w:t>本项目建设</w:t>
                  </w:r>
                  <w:r>
                    <w:rPr>
                      <w:rFonts w:hint="default" w:ascii="Times New Roman" w:hAnsi="Times New Roman" w:eastAsia="宋体" w:cs="Times New Roman"/>
                      <w:color w:val="auto"/>
                      <w:kern w:val="0"/>
                      <w:sz w:val="21"/>
                      <w:szCs w:val="21"/>
                      <w:lang w:val="en-US" w:eastAsia="zh-CN"/>
                    </w:rPr>
                    <w:t>期间</w:t>
                  </w:r>
                  <w:r>
                    <w:rPr>
                      <w:rFonts w:hint="default" w:ascii="Times New Roman" w:hAnsi="Times New Roman" w:eastAsia="宋体" w:cs="Times New Roman"/>
                      <w:color w:val="auto"/>
                      <w:kern w:val="0"/>
                      <w:sz w:val="21"/>
                      <w:szCs w:val="21"/>
                    </w:rPr>
                    <w:t>位于规划</w:t>
                  </w:r>
                  <w:r>
                    <w:rPr>
                      <w:rFonts w:hint="default" w:ascii="Times New Roman" w:hAnsi="Times New Roman" w:eastAsia="宋体" w:cs="Times New Roman"/>
                      <w:color w:val="auto"/>
                      <w:kern w:val="0"/>
                      <w:sz w:val="21"/>
                      <w:szCs w:val="21"/>
                      <w:lang w:val="en-US" w:eastAsia="zh-CN"/>
                    </w:rPr>
                    <w:t>期限</w:t>
                  </w:r>
                  <w:r>
                    <w:rPr>
                      <w:rFonts w:hint="default" w:ascii="Times New Roman" w:hAnsi="Times New Roman" w:eastAsia="宋体" w:cs="Times New Roman"/>
                      <w:color w:val="auto"/>
                      <w:kern w:val="0"/>
                      <w:sz w:val="21"/>
                      <w:szCs w:val="21"/>
                    </w:rPr>
                    <w:t>内。</w:t>
                  </w:r>
                </w:p>
              </w:tc>
              <w:tc>
                <w:tcPr>
                  <w:tcW w:w="700" w:type="dxa"/>
                  <w:tcBorders>
                    <w:tl2br w:val="nil"/>
                    <w:tr2bl w:val="nil"/>
                  </w:tcBorders>
                  <w:noWrap w:val="0"/>
                  <w:vAlign w:val="center"/>
                </w:tcPr>
                <w:p w14:paraId="03FFBCDA">
                  <w:pPr>
                    <w:autoSpaceDE w:val="0"/>
                    <w:autoSpaceDN w:val="0"/>
                    <w:adjustRightInd w:val="0"/>
                    <w:snapToGrid w:val="0"/>
                    <w:jc w:val="center"/>
                    <w:rPr>
                      <w:rFonts w:hint="eastAsia"/>
                      <w:b w:val="0"/>
                      <w:bCs/>
                      <w:color w:val="auto"/>
                      <w:kern w:val="0"/>
                      <w:sz w:val="21"/>
                      <w:szCs w:val="21"/>
                      <w:highlight w:val="none"/>
                    </w:rPr>
                  </w:pPr>
                  <w:r>
                    <w:rPr>
                      <w:rFonts w:hint="eastAsia"/>
                      <w:b w:val="0"/>
                      <w:bCs/>
                      <w:color w:val="auto"/>
                      <w:kern w:val="0"/>
                      <w:sz w:val="21"/>
                      <w:szCs w:val="21"/>
                      <w:highlight w:val="none"/>
                      <w:lang w:val="en-US" w:eastAsia="zh-CN"/>
                    </w:rPr>
                    <w:t>符合</w:t>
                  </w:r>
                </w:p>
              </w:tc>
            </w:tr>
            <w:tr w14:paraId="4EF3D46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40" w:hRule="atLeast"/>
              </w:trPr>
              <w:tc>
                <w:tcPr>
                  <w:tcW w:w="672" w:type="dxa"/>
                  <w:tcBorders>
                    <w:tl2br w:val="nil"/>
                    <w:tr2bl w:val="nil"/>
                  </w:tcBorders>
                  <w:noWrap w:val="0"/>
                  <w:vAlign w:val="center"/>
                </w:tcPr>
                <w:p w14:paraId="227CB30D">
                  <w:pPr>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rPr>
                    <w:t>产业定位</w:t>
                  </w:r>
                </w:p>
              </w:tc>
              <w:tc>
                <w:tcPr>
                  <w:tcW w:w="4326" w:type="dxa"/>
                  <w:tcBorders>
                    <w:tl2br w:val="nil"/>
                    <w:tr2bl w:val="nil"/>
                  </w:tcBorders>
                  <w:noWrap w:val="0"/>
                  <w:vAlign w:val="center"/>
                </w:tcPr>
                <w:p w14:paraId="4C30AA34">
                  <w:pPr>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rPr>
                    <w:t>华罗庚高新区将依托华罗庚科技产业园片区（北区）、金东现代产业园片区（南区）前期产业发展基础，以</w:t>
                  </w:r>
                  <w:r>
                    <w:rPr>
                      <w:rFonts w:hint="eastAsia" w:eastAsia="宋体" w:cs="Times New Roman"/>
                      <w:color w:val="auto"/>
                      <w:kern w:val="0"/>
                      <w:sz w:val="21"/>
                      <w:szCs w:val="21"/>
                      <w:lang w:eastAsia="zh-CN"/>
                    </w:rPr>
                    <w:t>“</w:t>
                  </w:r>
                  <w:r>
                    <w:rPr>
                      <w:rFonts w:hint="default" w:ascii="Times New Roman" w:hAnsi="Times New Roman" w:eastAsia="宋体" w:cs="Times New Roman"/>
                      <w:color w:val="auto"/>
                      <w:kern w:val="0"/>
                      <w:sz w:val="21"/>
                      <w:szCs w:val="21"/>
                    </w:rPr>
                    <w:t>强链、补链、融链</w:t>
                  </w:r>
                  <w:r>
                    <w:rPr>
                      <w:rFonts w:hint="eastAsia" w:eastAsia="宋体" w:cs="Times New Roman"/>
                      <w:color w:val="auto"/>
                      <w:kern w:val="0"/>
                      <w:sz w:val="21"/>
                      <w:szCs w:val="21"/>
                      <w:lang w:eastAsia="zh-CN"/>
                    </w:rPr>
                    <w:t>”</w:t>
                  </w:r>
                  <w:r>
                    <w:rPr>
                      <w:rFonts w:hint="default" w:ascii="Times New Roman" w:hAnsi="Times New Roman" w:eastAsia="宋体" w:cs="Times New Roman"/>
                      <w:color w:val="auto"/>
                      <w:kern w:val="0"/>
                      <w:sz w:val="21"/>
                      <w:szCs w:val="21"/>
                    </w:rPr>
                    <w:t>为原则，做强做大新能源汽车、新型基础设施建设两大主导产业，培育打造智能网联汽车</w:t>
                  </w:r>
                  <w:r>
                    <w:rPr>
                      <w:rFonts w:hint="eastAsia" w:eastAsia="宋体" w:cs="Times New Roman"/>
                      <w:color w:val="auto"/>
                      <w:kern w:val="0"/>
                      <w:sz w:val="21"/>
                      <w:szCs w:val="21"/>
                      <w:lang w:eastAsia="zh-CN"/>
                    </w:rPr>
                    <w:t>“</w:t>
                  </w:r>
                  <w:r>
                    <w:rPr>
                      <w:rFonts w:hint="default" w:ascii="Times New Roman" w:hAnsi="Times New Roman" w:eastAsia="宋体" w:cs="Times New Roman"/>
                      <w:color w:val="auto"/>
                      <w:kern w:val="0"/>
                      <w:sz w:val="21"/>
                      <w:szCs w:val="21"/>
                    </w:rPr>
                    <w:t>一区一战略产业</w:t>
                  </w:r>
                  <w:r>
                    <w:rPr>
                      <w:rFonts w:hint="eastAsia" w:eastAsia="宋体" w:cs="Times New Roman"/>
                      <w:color w:val="auto"/>
                      <w:kern w:val="0"/>
                      <w:sz w:val="21"/>
                      <w:szCs w:val="21"/>
                      <w:lang w:eastAsia="zh-CN"/>
                    </w:rPr>
                    <w:t>”</w:t>
                  </w:r>
                  <w:r>
                    <w:rPr>
                      <w:rFonts w:hint="default" w:ascii="Times New Roman" w:hAnsi="Times New Roman" w:eastAsia="宋体" w:cs="Times New Roman"/>
                      <w:color w:val="auto"/>
                      <w:kern w:val="0"/>
                      <w:sz w:val="21"/>
                      <w:szCs w:val="21"/>
                    </w:rPr>
                    <w:t>，构建</w:t>
                  </w:r>
                  <w:r>
                    <w:rPr>
                      <w:rFonts w:hint="eastAsia" w:eastAsia="宋体" w:cs="Times New Roman"/>
                      <w:color w:val="auto"/>
                      <w:kern w:val="0"/>
                      <w:sz w:val="21"/>
                      <w:szCs w:val="21"/>
                      <w:lang w:eastAsia="zh-CN"/>
                    </w:rPr>
                    <w:t>“</w:t>
                  </w:r>
                  <w:r>
                    <w:rPr>
                      <w:rFonts w:hint="default" w:ascii="Times New Roman" w:hAnsi="Times New Roman" w:eastAsia="宋体" w:cs="Times New Roman"/>
                      <w:color w:val="auto"/>
                      <w:kern w:val="0"/>
                      <w:sz w:val="21"/>
                      <w:szCs w:val="21"/>
                    </w:rPr>
                    <w:t>2→1</w:t>
                  </w:r>
                  <w:r>
                    <w:rPr>
                      <w:rFonts w:hint="eastAsia" w:eastAsia="宋体" w:cs="Times New Roman"/>
                      <w:color w:val="auto"/>
                      <w:kern w:val="0"/>
                      <w:sz w:val="21"/>
                      <w:szCs w:val="21"/>
                      <w:lang w:eastAsia="zh-CN"/>
                    </w:rPr>
                    <w:t>”</w:t>
                  </w:r>
                  <w:r>
                    <w:rPr>
                      <w:rFonts w:hint="default" w:ascii="Times New Roman" w:hAnsi="Times New Roman" w:eastAsia="宋体" w:cs="Times New Roman"/>
                      <w:color w:val="auto"/>
                      <w:kern w:val="0"/>
                      <w:sz w:val="21"/>
                      <w:szCs w:val="21"/>
                    </w:rPr>
                    <w:t>高新技术产业体系，进一步凸显华罗庚高新区的产业特色和优势。同时，加快园区原有产业升级与转型，以</w:t>
                  </w:r>
                  <w:r>
                    <w:rPr>
                      <w:rFonts w:hint="eastAsia" w:eastAsia="宋体" w:cs="Times New Roman"/>
                      <w:color w:val="auto"/>
                      <w:kern w:val="0"/>
                      <w:sz w:val="21"/>
                      <w:szCs w:val="21"/>
                      <w:lang w:eastAsia="zh-CN"/>
                    </w:rPr>
                    <w:t>“</w:t>
                  </w:r>
                  <w:r>
                    <w:rPr>
                      <w:rFonts w:hint="default" w:ascii="Times New Roman" w:hAnsi="Times New Roman" w:eastAsia="宋体" w:cs="Times New Roman"/>
                      <w:color w:val="auto"/>
                      <w:kern w:val="0"/>
                      <w:sz w:val="21"/>
                      <w:szCs w:val="21"/>
                    </w:rPr>
                    <w:t>绿色、智能、制造</w:t>
                  </w:r>
                  <w:r>
                    <w:rPr>
                      <w:rFonts w:hint="eastAsia" w:eastAsia="宋体" w:cs="Times New Roman"/>
                      <w:color w:val="auto"/>
                      <w:kern w:val="0"/>
                      <w:sz w:val="21"/>
                      <w:szCs w:val="21"/>
                      <w:lang w:eastAsia="zh-CN"/>
                    </w:rPr>
                    <w:t>”</w:t>
                  </w:r>
                  <w:r>
                    <w:rPr>
                      <w:rFonts w:hint="default" w:ascii="Times New Roman" w:hAnsi="Times New Roman" w:eastAsia="宋体" w:cs="Times New Roman"/>
                      <w:color w:val="auto"/>
                      <w:kern w:val="0"/>
                      <w:sz w:val="21"/>
                      <w:szCs w:val="21"/>
                    </w:rPr>
                    <w:t>为主线，从产业链和产业集群入手，发挥链主企业的引领作用，整合优质资源，提升创新研发、产业化、综合集成能力，推动产业纵向延伸、横向联合和跨界整合；以产业集群创新园区建设与发展模式，带动区内原有中小企业转型发展，全面提升园区高质量发展水平</w:t>
                  </w:r>
                  <w:r>
                    <w:rPr>
                      <w:rFonts w:hint="default" w:ascii="Times New Roman" w:hAnsi="Times New Roman" w:eastAsia="宋体" w:cs="Times New Roman"/>
                      <w:color w:val="auto"/>
                      <w:sz w:val="21"/>
                      <w:szCs w:val="21"/>
                    </w:rPr>
                    <w:t>。</w:t>
                  </w:r>
                </w:p>
              </w:tc>
              <w:tc>
                <w:tcPr>
                  <w:tcW w:w="1384" w:type="dxa"/>
                  <w:tcBorders>
                    <w:tl2br w:val="nil"/>
                    <w:tr2bl w:val="nil"/>
                  </w:tcBorders>
                  <w:noWrap w:val="0"/>
                  <w:vAlign w:val="center"/>
                </w:tcPr>
                <w:p w14:paraId="44DEB399">
                  <w:pPr>
                    <w:keepNext/>
                    <w:keepLines/>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rPr>
                    <w:t>本项目为行业类别为</w:t>
                  </w:r>
                  <w:r>
                    <w:rPr>
                      <w:rFonts w:hint="eastAsia"/>
                      <w:bCs/>
                      <w:color w:val="auto"/>
                      <w:kern w:val="0"/>
                      <w:lang w:eastAsia="zh-CN"/>
                    </w:rPr>
                    <w:t>C3811发电机及发电机组制造</w:t>
                  </w:r>
                  <w:r>
                    <w:rPr>
                      <w:rFonts w:hint="default" w:ascii="Times New Roman" w:hAnsi="Times New Roman" w:eastAsia="宋体" w:cs="Times New Roman"/>
                      <w:color w:val="auto"/>
                      <w:kern w:val="0"/>
                      <w:sz w:val="21"/>
                      <w:szCs w:val="21"/>
                    </w:rPr>
                    <w:t>，</w:t>
                  </w:r>
                  <w:r>
                    <w:rPr>
                      <w:rFonts w:hint="default" w:ascii="Times New Roman" w:hAnsi="Times New Roman" w:eastAsia="宋体" w:cs="Times New Roman"/>
                      <w:color w:val="auto"/>
                      <w:kern w:val="0"/>
                      <w:sz w:val="21"/>
                      <w:szCs w:val="21"/>
                      <w:lang w:val="en-US" w:eastAsia="zh-CN"/>
                    </w:rPr>
                    <w:t>属于</w:t>
                  </w:r>
                  <w:r>
                    <w:rPr>
                      <w:rFonts w:hint="eastAsia" w:eastAsia="宋体" w:cs="Times New Roman"/>
                      <w:color w:val="auto"/>
                      <w:kern w:val="0"/>
                      <w:sz w:val="21"/>
                      <w:szCs w:val="21"/>
                      <w:lang w:val="en-US" w:eastAsia="zh-CN"/>
                    </w:rPr>
                    <w:t>制造</w:t>
                  </w:r>
                  <w:r>
                    <w:rPr>
                      <w:rFonts w:hint="default" w:ascii="Times New Roman" w:hAnsi="Times New Roman" w:eastAsia="宋体" w:cs="Times New Roman"/>
                      <w:color w:val="auto"/>
                      <w:kern w:val="0"/>
                      <w:sz w:val="21"/>
                      <w:szCs w:val="21"/>
                      <w:lang w:val="en-US" w:eastAsia="zh-CN"/>
                    </w:rPr>
                    <w:t>产业，符合产业定位。</w:t>
                  </w:r>
                </w:p>
              </w:tc>
              <w:tc>
                <w:tcPr>
                  <w:tcW w:w="700" w:type="dxa"/>
                  <w:tcBorders>
                    <w:tl2br w:val="nil"/>
                    <w:tr2bl w:val="nil"/>
                  </w:tcBorders>
                  <w:noWrap w:val="0"/>
                  <w:vAlign w:val="center"/>
                </w:tcPr>
                <w:p w14:paraId="1C654882">
                  <w:pPr>
                    <w:autoSpaceDE w:val="0"/>
                    <w:autoSpaceDN w:val="0"/>
                    <w:adjustRightInd w:val="0"/>
                    <w:snapToGrid w:val="0"/>
                    <w:spacing w:line="240" w:lineRule="auto"/>
                    <w:jc w:val="center"/>
                    <w:rPr>
                      <w:rFonts w:hint="eastAsia"/>
                      <w:b w:val="0"/>
                      <w:bCs/>
                      <w:color w:val="auto"/>
                      <w:kern w:val="0"/>
                      <w:sz w:val="21"/>
                      <w:szCs w:val="21"/>
                      <w:highlight w:val="none"/>
                    </w:rPr>
                  </w:pPr>
                  <w:r>
                    <w:rPr>
                      <w:rFonts w:hint="eastAsia"/>
                      <w:b w:val="0"/>
                      <w:bCs/>
                      <w:color w:val="auto"/>
                      <w:kern w:val="0"/>
                      <w:sz w:val="21"/>
                      <w:szCs w:val="21"/>
                      <w:highlight w:val="none"/>
                      <w:lang w:val="en-US" w:eastAsia="zh-CN"/>
                    </w:rPr>
                    <w:t>符合</w:t>
                  </w:r>
                </w:p>
              </w:tc>
            </w:tr>
            <w:tr w14:paraId="107149C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40" w:hRule="atLeast"/>
              </w:trPr>
              <w:tc>
                <w:tcPr>
                  <w:tcW w:w="672" w:type="dxa"/>
                  <w:tcBorders>
                    <w:tl2br w:val="nil"/>
                    <w:tr2bl w:val="nil"/>
                  </w:tcBorders>
                  <w:noWrap w:val="0"/>
                  <w:vAlign w:val="center"/>
                </w:tcPr>
                <w:p w14:paraId="347CD354">
                  <w:pPr>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rPr>
                    <w:t>总体布局</w:t>
                  </w:r>
                </w:p>
              </w:tc>
              <w:tc>
                <w:tcPr>
                  <w:tcW w:w="4326" w:type="dxa"/>
                  <w:tcBorders>
                    <w:tl2br w:val="nil"/>
                    <w:tr2bl w:val="nil"/>
                  </w:tcBorders>
                  <w:noWrap w:val="0"/>
                  <w:vAlign w:val="center"/>
                </w:tcPr>
                <w:p w14:paraId="747C3055">
                  <w:pPr>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rPr>
                    <w:t>总体形成</w:t>
                  </w:r>
                  <w:r>
                    <w:rPr>
                      <w:rFonts w:hint="eastAsia" w:eastAsia="宋体" w:cs="Times New Roman"/>
                      <w:color w:val="auto"/>
                      <w:kern w:val="0"/>
                      <w:sz w:val="21"/>
                      <w:szCs w:val="21"/>
                      <w:lang w:eastAsia="zh-CN"/>
                    </w:rPr>
                    <w:t>“</w:t>
                  </w:r>
                  <w:r>
                    <w:rPr>
                      <w:rFonts w:hint="default" w:ascii="Times New Roman" w:hAnsi="Times New Roman" w:eastAsia="宋体" w:cs="Times New Roman"/>
                      <w:color w:val="auto"/>
                      <w:kern w:val="0"/>
                      <w:sz w:val="21"/>
                      <w:szCs w:val="21"/>
                    </w:rPr>
                    <w:t>三轴六区，一心多点</w:t>
                  </w:r>
                  <w:r>
                    <w:rPr>
                      <w:rFonts w:hint="eastAsia" w:eastAsia="宋体" w:cs="Times New Roman"/>
                      <w:color w:val="auto"/>
                      <w:kern w:val="0"/>
                      <w:sz w:val="21"/>
                      <w:szCs w:val="21"/>
                      <w:lang w:eastAsia="zh-CN"/>
                    </w:rPr>
                    <w:t>”</w:t>
                  </w:r>
                  <w:r>
                    <w:rPr>
                      <w:rFonts w:hint="default" w:ascii="Times New Roman" w:hAnsi="Times New Roman" w:eastAsia="宋体" w:cs="Times New Roman"/>
                      <w:color w:val="auto"/>
                      <w:kern w:val="0"/>
                      <w:sz w:val="21"/>
                      <w:szCs w:val="21"/>
                    </w:rPr>
                    <w:t>的空间结构。三轴：产业中轴（复兴路-汇福路-云湖路-月湖路）、两湖创新集聚轴（金坛大道、钱资荡大道）、常金一体化发展轴（河海大道）。六区：1个创智生态融合区、1个产城融合示范区、1个科技创新区（科创中心）、2个集镇服务区（尧塘-汤庄集镇、水北集镇）、1个产研联动发展区。一心：围绕科创中心板块形成科技创新核心。多点：围绕片区功能形成的生态景观节点、生活服务节点、科技服务节点。</w:t>
                  </w:r>
                </w:p>
              </w:tc>
              <w:tc>
                <w:tcPr>
                  <w:tcW w:w="1384" w:type="dxa"/>
                  <w:tcBorders>
                    <w:tl2br w:val="nil"/>
                    <w:tr2bl w:val="nil"/>
                  </w:tcBorders>
                  <w:noWrap w:val="0"/>
                  <w:vAlign w:val="center"/>
                </w:tcPr>
                <w:p w14:paraId="34225CDF">
                  <w:pPr>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rPr>
                    <w:t>本项目位于</w:t>
                  </w:r>
                  <w:r>
                    <w:rPr>
                      <w:rFonts w:hint="eastAsia" w:eastAsia="宋体" w:cs="Times New Roman"/>
                      <w:color w:val="auto"/>
                      <w:kern w:val="0"/>
                      <w:sz w:val="21"/>
                      <w:szCs w:val="21"/>
                      <w:lang w:val="en-US" w:eastAsia="zh-CN"/>
                    </w:rPr>
                    <w:t>产业中轴</w:t>
                  </w:r>
                  <w:r>
                    <w:rPr>
                      <w:rFonts w:hint="default" w:ascii="Times New Roman" w:hAnsi="Times New Roman" w:eastAsia="宋体" w:cs="Times New Roman"/>
                      <w:color w:val="auto"/>
                      <w:kern w:val="0"/>
                      <w:sz w:val="21"/>
                      <w:szCs w:val="21"/>
                    </w:rPr>
                    <w:t>（复兴路-汇福路-云湖路-月湖路）。</w:t>
                  </w:r>
                </w:p>
              </w:tc>
              <w:tc>
                <w:tcPr>
                  <w:tcW w:w="700" w:type="dxa"/>
                  <w:tcBorders>
                    <w:tl2br w:val="nil"/>
                    <w:tr2bl w:val="nil"/>
                  </w:tcBorders>
                  <w:noWrap w:val="0"/>
                  <w:vAlign w:val="center"/>
                </w:tcPr>
                <w:p w14:paraId="398D2DFA">
                  <w:pPr>
                    <w:autoSpaceDE w:val="0"/>
                    <w:autoSpaceDN w:val="0"/>
                    <w:adjustRightInd w:val="0"/>
                    <w:snapToGrid w:val="0"/>
                    <w:spacing w:line="240" w:lineRule="auto"/>
                    <w:jc w:val="center"/>
                    <w:rPr>
                      <w:rFonts w:hint="eastAsia"/>
                      <w:b w:val="0"/>
                      <w:bCs/>
                      <w:color w:val="auto"/>
                      <w:kern w:val="0"/>
                      <w:sz w:val="21"/>
                      <w:szCs w:val="21"/>
                      <w:highlight w:val="none"/>
                      <w:lang w:val="en-US" w:eastAsia="zh-CN"/>
                    </w:rPr>
                  </w:pPr>
                  <w:r>
                    <w:rPr>
                      <w:rFonts w:hint="eastAsia"/>
                      <w:b w:val="0"/>
                      <w:bCs/>
                      <w:color w:val="auto"/>
                      <w:kern w:val="0"/>
                      <w:sz w:val="21"/>
                      <w:szCs w:val="21"/>
                      <w:highlight w:val="none"/>
                      <w:lang w:val="en-US" w:eastAsia="zh-CN"/>
                    </w:rPr>
                    <w:t>符合</w:t>
                  </w:r>
                </w:p>
              </w:tc>
            </w:tr>
            <w:tr w14:paraId="68091FB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40" w:hRule="atLeast"/>
              </w:trPr>
              <w:tc>
                <w:tcPr>
                  <w:tcW w:w="672" w:type="dxa"/>
                  <w:tcBorders>
                    <w:tl2br w:val="nil"/>
                    <w:tr2bl w:val="nil"/>
                  </w:tcBorders>
                  <w:noWrap w:val="0"/>
                  <w:vAlign w:val="center"/>
                </w:tcPr>
                <w:p w14:paraId="13C3E915">
                  <w:pPr>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rPr>
                    <w:t>用地规划布局</w:t>
                  </w:r>
                </w:p>
              </w:tc>
              <w:tc>
                <w:tcPr>
                  <w:tcW w:w="4326" w:type="dxa"/>
                  <w:tcBorders>
                    <w:tl2br w:val="nil"/>
                    <w:tr2bl w:val="nil"/>
                  </w:tcBorders>
                  <w:noWrap w:val="0"/>
                  <w:vAlign w:val="center"/>
                </w:tcPr>
                <w:p w14:paraId="0F2589B0">
                  <w:pPr>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rPr>
                    <w:t>至规划末期（2035年），华罗庚高新区内建设用地总面积将达到32.48km</w:t>
                  </w:r>
                  <w:r>
                    <w:rPr>
                      <w:rFonts w:hint="default" w:ascii="Times New Roman" w:hAnsi="Times New Roman" w:eastAsia="宋体" w:cs="Times New Roman"/>
                      <w:color w:val="auto"/>
                      <w:kern w:val="0"/>
                      <w:sz w:val="21"/>
                      <w:szCs w:val="21"/>
                      <w:vertAlign w:val="superscript"/>
                    </w:rPr>
                    <w:t>2</w:t>
                  </w:r>
                  <w:r>
                    <w:rPr>
                      <w:rFonts w:hint="default" w:ascii="Times New Roman" w:hAnsi="Times New Roman" w:eastAsia="宋体" w:cs="Times New Roman"/>
                      <w:color w:val="auto"/>
                      <w:kern w:val="0"/>
                      <w:sz w:val="21"/>
                      <w:szCs w:val="21"/>
                    </w:rPr>
                    <w:t>，占华罗庚高新区总面积的95.2%。其中，规划工业用地、居住用地、道路与交通设施用地、绿化与广场用地面积分别达到13.28km</w:t>
                  </w:r>
                  <w:r>
                    <w:rPr>
                      <w:rFonts w:hint="default" w:ascii="Times New Roman" w:hAnsi="Times New Roman" w:eastAsia="宋体" w:cs="Times New Roman"/>
                      <w:color w:val="auto"/>
                      <w:kern w:val="0"/>
                      <w:sz w:val="21"/>
                      <w:szCs w:val="21"/>
                      <w:vertAlign w:val="superscript"/>
                    </w:rPr>
                    <w:t>2</w:t>
                  </w:r>
                  <w:r>
                    <w:rPr>
                      <w:rFonts w:hint="default" w:ascii="Times New Roman" w:hAnsi="Times New Roman" w:eastAsia="宋体" w:cs="Times New Roman"/>
                      <w:color w:val="auto"/>
                      <w:kern w:val="0"/>
                      <w:sz w:val="21"/>
                      <w:szCs w:val="21"/>
                    </w:rPr>
                    <w:t>、6.70km</w:t>
                  </w:r>
                  <w:r>
                    <w:rPr>
                      <w:rFonts w:hint="default" w:ascii="Times New Roman" w:hAnsi="Times New Roman" w:eastAsia="宋体" w:cs="Times New Roman"/>
                      <w:color w:val="auto"/>
                      <w:kern w:val="0"/>
                      <w:sz w:val="21"/>
                      <w:szCs w:val="21"/>
                      <w:vertAlign w:val="superscript"/>
                    </w:rPr>
                    <w:t>2</w:t>
                  </w:r>
                  <w:r>
                    <w:rPr>
                      <w:rFonts w:hint="default" w:ascii="Times New Roman" w:hAnsi="Times New Roman" w:eastAsia="宋体" w:cs="Times New Roman"/>
                      <w:color w:val="auto"/>
                      <w:kern w:val="0"/>
                      <w:sz w:val="21"/>
                      <w:szCs w:val="21"/>
                    </w:rPr>
                    <w:t>、5.34km</w:t>
                  </w:r>
                  <w:r>
                    <w:rPr>
                      <w:rFonts w:hint="default" w:ascii="Times New Roman" w:hAnsi="Times New Roman" w:eastAsia="宋体" w:cs="Times New Roman"/>
                      <w:color w:val="auto"/>
                      <w:kern w:val="0"/>
                      <w:sz w:val="21"/>
                      <w:szCs w:val="21"/>
                      <w:vertAlign w:val="superscript"/>
                    </w:rPr>
                    <w:t>2</w:t>
                  </w:r>
                  <w:r>
                    <w:rPr>
                      <w:rFonts w:hint="default" w:ascii="Times New Roman" w:hAnsi="Times New Roman" w:eastAsia="宋体" w:cs="Times New Roman"/>
                      <w:color w:val="auto"/>
                      <w:kern w:val="0"/>
                      <w:sz w:val="21"/>
                      <w:szCs w:val="21"/>
                    </w:rPr>
                    <w:t>、6.03km</w:t>
                  </w:r>
                  <w:r>
                    <w:rPr>
                      <w:rFonts w:hint="default" w:ascii="Times New Roman" w:hAnsi="Times New Roman" w:eastAsia="宋体" w:cs="Times New Roman"/>
                      <w:color w:val="auto"/>
                      <w:kern w:val="0"/>
                      <w:sz w:val="21"/>
                      <w:szCs w:val="21"/>
                      <w:vertAlign w:val="superscript"/>
                    </w:rPr>
                    <w:t>2</w:t>
                  </w:r>
                  <w:r>
                    <w:rPr>
                      <w:rFonts w:hint="default" w:ascii="Times New Roman" w:hAnsi="Times New Roman" w:eastAsia="宋体" w:cs="Times New Roman"/>
                      <w:color w:val="auto"/>
                      <w:sz w:val="21"/>
                      <w:szCs w:val="21"/>
                    </w:rPr>
                    <w:t>。</w:t>
                  </w:r>
                </w:p>
              </w:tc>
              <w:tc>
                <w:tcPr>
                  <w:tcW w:w="1384" w:type="dxa"/>
                  <w:tcBorders>
                    <w:tl2br w:val="nil"/>
                    <w:tr2bl w:val="nil"/>
                  </w:tcBorders>
                  <w:noWrap w:val="0"/>
                  <w:vAlign w:val="center"/>
                </w:tcPr>
                <w:p w14:paraId="2B49C338">
                  <w:pPr>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rPr>
                    <w:t>本项目所在地为工业用地</w:t>
                  </w:r>
                  <w:r>
                    <w:rPr>
                      <w:rFonts w:hint="default" w:ascii="Times New Roman" w:hAnsi="Times New Roman" w:eastAsia="宋体" w:cs="Times New Roman"/>
                      <w:color w:val="auto"/>
                      <w:sz w:val="21"/>
                      <w:szCs w:val="21"/>
                    </w:rPr>
                    <w:t>。</w:t>
                  </w:r>
                </w:p>
              </w:tc>
              <w:tc>
                <w:tcPr>
                  <w:tcW w:w="700" w:type="dxa"/>
                  <w:tcBorders>
                    <w:tl2br w:val="nil"/>
                    <w:tr2bl w:val="nil"/>
                  </w:tcBorders>
                  <w:noWrap w:val="0"/>
                  <w:vAlign w:val="center"/>
                </w:tcPr>
                <w:p w14:paraId="4E33CD87">
                  <w:pPr>
                    <w:autoSpaceDE w:val="0"/>
                    <w:autoSpaceDN w:val="0"/>
                    <w:adjustRightInd w:val="0"/>
                    <w:snapToGrid w:val="0"/>
                    <w:spacing w:line="240" w:lineRule="auto"/>
                    <w:jc w:val="center"/>
                    <w:rPr>
                      <w:rFonts w:hint="eastAsia"/>
                      <w:b w:val="0"/>
                      <w:bCs/>
                      <w:color w:val="auto"/>
                      <w:kern w:val="0"/>
                      <w:sz w:val="21"/>
                      <w:szCs w:val="21"/>
                      <w:highlight w:val="none"/>
                      <w:lang w:val="en-US" w:eastAsia="zh-CN"/>
                    </w:rPr>
                  </w:pPr>
                  <w:r>
                    <w:rPr>
                      <w:rFonts w:hint="eastAsia"/>
                      <w:b w:val="0"/>
                      <w:bCs/>
                      <w:color w:val="auto"/>
                      <w:kern w:val="0"/>
                      <w:sz w:val="21"/>
                      <w:szCs w:val="21"/>
                      <w:highlight w:val="none"/>
                      <w:lang w:val="en-US" w:eastAsia="zh-CN"/>
                    </w:rPr>
                    <w:t>符合</w:t>
                  </w:r>
                </w:p>
              </w:tc>
            </w:tr>
            <w:tr w14:paraId="2686D363">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40" w:hRule="atLeast"/>
              </w:trPr>
              <w:tc>
                <w:tcPr>
                  <w:tcW w:w="672" w:type="dxa"/>
                  <w:tcBorders>
                    <w:tl2br w:val="nil"/>
                    <w:tr2bl w:val="nil"/>
                  </w:tcBorders>
                  <w:noWrap w:val="0"/>
                  <w:vAlign w:val="center"/>
                </w:tcPr>
                <w:p w14:paraId="6B673C94">
                  <w:pPr>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rPr>
                    <w:t>环保基础设施</w:t>
                  </w:r>
                </w:p>
              </w:tc>
              <w:tc>
                <w:tcPr>
                  <w:tcW w:w="4326" w:type="dxa"/>
                  <w:tcBorders>
                    <w:tl2br w:val="nil"/>
                    <w:tr2bl w:val="nil"/>
                  </w:tcBorders>
                  <w:noWrap w:val="0"/>
                  <w:vAlign w:val="center"/>
                </w:tcPr>
                <w:p w14:paraId="4AA5FE2C">
                  <w:pPr>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（1）规划保留现有供水模式，生活和工业用水主要由长荡湖水厂供水，水源为长荡湖。长荡湖水厂现状规模为20万m</w:t>
                  </w:r>
                  <w:r>
                    <w:rPr>
                      <w:rFonts w:hint="default" w:ascii="Times New Roman" w:hAnsi="Times New Roman" w:eastAsia="宋体" w:cs="Times New Roman"/>
                      <w:color w:val="auto"/>
                      <w:kern w:val="0"/>
                      <w:sz w:val="21"/>
                      <w:szCs w:val="21"/>
                      <w:vertAlign w:val="superscript"/>
                    </w:rPr>
                    <w:t>3</w:t>
                  </w:r>
                  <w:r>
                    <w:rPr>
                      <w:rFonts w:hint="default" w:ascii="Times New Roman" w:hAnsi="Times New Roman" w:eastAsia="宋体" w:cs="Times New Roman"/>
                      <w:color w:val="auto"/>
                      <w:kern w:val="0"/>
                      <w:sz w:val="21"/>
                      <w:szCs w:val="21"/>
                    </w:rPr>
                    <w:t>/d，规划末期长荡湖水厂供水能力将达到30万m</w:t>
                  </w:r>
                  <w:r>
                    <w:rPr>
                      <w:rFonts w:hint="default" w:ascii="Times New Roman" w:hAnsi="Times New Roman" w:eastAsia="宋体" w:cs="Times New Roman"/>
                      <w:color w:val="auto"/>
                      <w:kern w:val="0"/>
                      <w:sz w:val="21"/>
                      <w:szCs w:val="21"/>
                      <w:vertAlign w:val="superscript"/>
                    </w:rPr>
                    <w:t>3</w:t>
                  </w:r>
                  <w:r>
                    <w:rPr>
                      <w:rFonts w:hint="default" w:ascii="Times New Roman" w:hAnsi="Times New Roman" w:eastAsia="宋体" w:cs="Times New Roman"/>
                      <w:color w:val="auto"/>
                      <w:kern w:val="0"/>
                      <w:sz w:val="21"/>
                      <w:szCs w:val="21"/>
                    </w:rPr>
                    <w:t>/d，以满足区域整体需求。（2）排水制度为雨污分流制。华罗庚科技产业园片区（北区）污水主要送入金坛第二污水处理厂和金坛工业污水厂（在建）处理，金东园现代产业园片区（南区）污水分流进入金坛第二污水处理厂和儒林污水处理厂处理，未来根据实际运行情况，合理调度园区污水去向。（3）规划保留220kV水北变、110kV尧塘变、华科变，新建220kV南汤变、金东变，110kV镇南变等变电所。（4）园区内现有产业项目对供热需求整体偏小，规划仍以采用现行的分散式供热为主，对有热能需求的企业推广天然气锅炉供热。远期如有大规模供热需求，将根据园区实际情况，进一步规划建设集中供热设施。（5）生活垃圾收运模式采用集中转运方式，保留尧夏路北侧已建垃圾转运站，新建汤庄垃圾转运站、金东垃圾转运站，生活垃圾集中收集后进入区外的金坛垃圾焚烧厂处理。</w:t>
                  </w:r>
                </w:p>
              </w:tc>
              <w:tc>
                <w:tcPr>
                  <w:tcW w:w="1384" w:type="dxa"/>
                  <w:tcBorders>
                    <w:tl2br w:val="nil"/>
                    <w:tr2bl w:val="nil"/>
                  </w:tcBorders>
                  <w:noWrap w:val="0"/>
                  <w:vAlign w:val="center"/>
                </w:tcPr>
                <w:p w14:paraId="3CFA7BA1">
                  <w:pPr>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本项目采用雨污分流排水体制，</w:t>
                  </w:r>
                  <w:r>
                    <w:rPr>
                      <w:rFonts w:hint="default" w:ascii="Times New Roman" w:hAnsi="Times New Roman" w:eastAsia="宋体" w:cs="Times New Roman"/>
                      <w:color w:val="auto"/>
                      <w:kern w:val="0"/>
                      <w:sz w:val="21"/>
                      <w:szCs w:val="21"/>
                      <w:lang w:val="en-US" w:eastAsia="zh-CN"/>
                    </w:rPr>
                    <w:t>项目位于</w:t>
                  </w:r>
                  <w:r>
                    <w:rPr>
                      <w:rFonts w:hint="default" w:ascii="Times New Roman" w:hAnsi="Times New Roman" w:eastAsia="宋体" w:cs="Times New Roman"/>
                      <w:color w:val="auto"/>
                      <w:kern w:val="0"/>
                      <w:sz w:val="21"/>
                      <w:szCs w:val="21"/>
                    </w:rPr>
                    <w:t>江苏省金坛华罗庚高新技术产业开发区</w:t>
                  </w:r>
                  <w:r>
                    <w:rPr>
                      <w:rFonts w:hint="eastAsia" w:ascii="Times New Roman" w:hAnsi="Times New Roman" w:eastAsia="宋体" w:cs="Times New Roman"/>
                      <w:color w:val="auto"/>
                      <w:kern w:val="0"/>
                      <w:sz w:val="21"/>
                      <w:szCs w:val="21"/>
                      <w:lang w:val="en-US" w:eastAsia="zh-CN"/>
                    </w:rPr>
                    <w:t>中</w:t>
                  </w:r>
                  <w:r>
                    <w:rPr>
                      <w:rFonts w:hint="eastAsia" w:eastAsia="宋体" w:cs="Times New Roman"/>
                      <w:color w:val="auto"/>
                      <w:kern w:val="0"/>
                      <w:sz w:val="21"/>
                      <w:szCs w:val="21"/>
                      <w:lang w:val="en-US" w:eastAsia="zh-CN"/>
                    </w:rPr>
                    <w:t>华罗庚科技产业园</w:t>
                  </w:r>
                  <w:r>
                    <w:rPr>
                      <w:rFonts w:hint="default" w:ascii="Times New Roman" w:hAnsi="Times New Roman" w:eastAsia="宋体" w:cs="Times New Roman"/>
                      <w:color w:val="auto"/>
                      <w:kern w:val="0"/>
                      <w:sz w:val="21"/>
                      <w:szCs w:val="21"/>
                    </w:rPr>
                    <w:t>（</w:t>
                  </w:r>
                  <w:r>
                    <w:rPr>
                      <w:rFonts w:hint="eastAsia" w:eastAsia="宋体" w:cs="Times New Roman"/>
                      <w:color w:val="auto"/>
                      <w:kern w:val="0"/>
                      <w:sz w:val="21"/>
                      <w:szCs w:val="21"/>
                      <w:lang w:val="en-US" w:eastAsia="zh-CN"/>
                    </w:rPr>
                    <w:t>北区</w:t>
                  </w:r>
                  <w:r>
                    <w:rPr>
                      <w:rFonts w:hint="default" w:ascii="Times New Roman" w:hAnsi="Times New Roman" w:eastAsia="宋体" w:cs="Times New Roman"/>
                      <w:color w:val="auto"/>
                      <w:kern w:val="0"/>
                      <w:sz w:val="21"/>
                      <w:szCs w:val="21"/>
                    </w:rPr>
                    <w:t>）</w:t>
                  </w:r>
                  <w:r>
                    <w:rPr>
                      <w:rFonts w:hint="default" w:ascii="Times New Roman" w:hAnsi="Times New Roman" w:eastAsia="宋体" w:cs="Times New Roman"/>
                      <w:color w:val="auto"/>
                      <w:kern w:val="0"/>
                      <w:sz w:val="21"/>
                      <w:szCs w:val="21"/>
                      <w:lang w:val="en-US" w:eastAsia="zh-CN"/>
                    </w:rPr>
                    <w:t>，</w:t>
                  </w:r>
                  <w:r>
                    <w:rPr>
                      <w:rFonts w:hint="default" w:ascii="Times New Roman" w:hAnsi="Times New Roman" w:eastAsia="宋体" w:cs="Times New Roman"/>
                      <w:color w:val="auto"/>
                      <w:kern w:val="0"/>
                      <w:sz w:val="21"/>
                      <w:szCs w:val="21"/>
                    </w:rPr>
                    <w:t>污水经收集后排入常州金坛区第二污水处理有限公司集中处理</w:t>
                  </w:r>
                  <w:r>
                    <w:rPr>
                      <w:rFonts w:hint="default" w:ascii="Times New Roman" w:hAnsi="Times New Roman" w:eastAsia="宋体" w:cs="Times New Roman"/>
                      <w:color w:val="auto"/>
                      <w:kern w:val="0"/>
                      <w:sz w:val="21"/>
                      <w:szCs w:val="21"/>
                      <w:lang w:eastAsia="zh-CN"/>
                    </w:rPr>
                    <w:t>；</w:t>
                  </w:r>
                  <w:r>
                    <w:rPr>
                      <w:rFonts w:hint="default" w:ascii="Times New Roman" w:hAnsi="Times New Roman" w:eastAsia="宋体" w:cs="Times New Roman"/>
                      <w:color w:val="auto"/>
                      <w:kern w:val="0"/>
                      <w:sz w:val="21"/>
                      <w:szCs w:val="21"/>
                      <w:lang w:val="en-US" w:eastAsia="zh-CN"/>
                    </w:rPr>
                    <w:t>项目无需供热；一般固废经暂存后外售综合利用，</w:t>
                  </w:r>
                  <w:r>
                    <w:rPr>
                      <w:rFonts w:hint="default" w:ascii="Times New Roman" w:hAnsi="Times New Roman" w:eastAsia="宋体" w:cs="Times New Roman"/>
                      <w:color w:val="auto"/>
                      <w:kern w:val="0"/>
                      <w:sz w:val="21"/>
                      <w:szCs w:val="21"/>
                      <w:vertAlign w:val="baseline"/>
                      <w:lang w:val="en-US" w:eastAsia="zh-CN"/>
                    </w:rPr>
                    <w:t>危险固废经安全暂存后委托有资质单位处置</w:t>
                  </w:r>
                  <w:r>
                    <w:rPr>
                      <w:rFonts w:hint="default" w:ascii="Times New Roman" w:hAnsi="Times New Roman" w:eastAsia="宋体" w:cs="Times New Roman"/>
                      <w:color w:val="auto"/>
                      <w:kern w:val="0"/>
                      <w:sz w:val="21"/>
                      <w:szCs w:val="21"/>
                      <w:lang w:eastAsia="zh-CN"/>
                    </w:rPr>
                    <w:t>，</w:t>
                  </w:r>
                  <w:r>
                    <w:rPr>
                      <w:rFonts w:hint="default" w:ascii="Times New Roman" w:hAnsi="Times New Roman" w:eastAsia="宋体" w:cs="Times New Roman"/>
                      <w:color w:val="auto"/>
                      <w:kern w:val="0"/>
                      <w:sz w:val="21"/>
                      <w:szCs w:val="21"/>
                      <w:lang w:val="en-US" w:eastAsia="zh-CN"/>
                    </w:rPr>
                    <w:t>生活垃圾委托环卫部门统一收集，固废达到零排放。</w:t>
                  </w:r>
                </w:p>
              </w:tc>
              <w:tc>
                <w:tcPr>
                  <w:tcW w:w="700" w:type="dxa"/>
                  <w:tcBorders>
                    <w:tl2br w:val="nil"/>
                    <w:tr2bl w:val="nil"/>
                  </w:tcBorders>
                  <w:noWrap w:val="0"/>
                  <w:vAlign w:val="center"/>
                </w:tcPr>
                <w:p w14:paraId="1AAB6E25">
                  <w:pPr>
                    <w:autoSpaceDE w:val="0"/>
                    <w:autoSpaceDN w:val="0"/>
                    <w:adjustRightInd w:val="0"/>
                    <w:snapToGrid w:val="0"/>
                    <w:spacing w:line="240" w:lineRule="auto"/>
                    <w:jc w:val="center"/>
                    <w:rPr>
                      <w:rFonts w:hint="eastAsia"/>
                      <w:b w:val="0"/>
                      <w:bCs/>
                      <w:color w:val="auto"/>
                      <w:kern w:val="0"/>
                      <w:sz w:val="21"/>
                      <w:szCs w:val="21"/>
                      <w:highlight w:val="none"/>
                      <w:lang w:val="en-US" w:eastAsia="zh-CN"/>
                    </w:rPr>
                  </w:pPr>
                  <w:r>
                    <w:rPr>
                      <w:rFonts w:hint="eastAsia"/>
                      <w:b w:val="0"/>
                      <w:bCs/>
                      <w:color w:val="auto"/>
                      <w:kern w:val="0"/>
                      <w:sz w:val="21"/>
                      <w:szCs w:val="21"/>
                      <w:highlight w:val="none"/>
                      <w:lang w:val="en-US" w:eastAsia="zh-CN"/>
                    </w:rPr>
                    <w:t>符合</w:t>
                  </w:r>
                </w:p>
              </w:tc>
            </w:tr>
          </w:tbl>
          <w:p w14:paraId="33A8B686">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textAlignment w:val="auto"/>
              <w:rPr>
                <w:rFonts w:hint="eastAsia"/>
                <w:color w:val="auto"/>
                <w:sz w:val="21"/>
                <w:szCs w:val="21"/>
                <w:highlight w:val="none"/>
                <w:lang w:val="en-US" w:eastAsia="zh-CN"/>
              </w:rPr>
            </w:pPr>
            <w:r>
              <w:rPr>
                <w:rFonts w:hint="eastAsia"/>
                <w:color w:val="auto"/>
                <w:sz w:val="21"/>
                <w:szCs w:val="21"/>
                <w:highlight w:val="none"/>
                <w:lang w:val="en-US" w:eastAsia="zh-CN"/>
              </w:rPr>
              <w:t>综上，本</w:t>
            </w:r>
            <w:r>
              <w:rPr>
                <w:rFonts w:hint="eastAsia"/>
                <w:color w:val="auto"/>
                <w:sz w:val="21"/>
                <w:szCs w:val="21"/>
                <w:highlight w:val="none"/>
              </w:rPr>
              <w:t>项目建设符合江苏省金坛华罗庚高新技术产业园开发区开发建设规划（2022~2035）环境影响报告书中园区环境准入清单及审查意见</w:t>
            </w:r>
            <w:r>
              <w:rPr>
                <w:rFonts w:hint="eastAsia"/>
                <w:color w:val="auto"/>
                <w:sz w:val="21"/>
                <w:szCs w:val="21"/>
                <w:highlight w:val="none"/>
                <w:lang w:val="en-US" w:eastAsia="zh-CN"/>
              </w:rPr>
              <w:t>相关要求。</w:t>
            </w:r>
          </w:p>
          <w:p w14:paraId="1E9AC512">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textAlignment w:val="auto"/>
              <w:rPr>
                <w:b/>
                <w:color w:val="auto"/>
                <w:kern w:val="0"/>
                <w:sz w:val="21"/>
                <w:szCs w:val="21"/>
                <w:highlight w:val="none"/>
              </w:rPr>
            </w:pPr>
            <w:r>
              <w:rPr>
                <w:rFonts w:hint="eastAsia"/>
                <w:b/>
                <w:color w:val="auto"/>
                <w:kern w:val="0"/>
                <w:sz w:val="21"/>
                <w:szCs w:val="21"/>
                <w:highlight w:val="none"/>
                <w:lang w:val="en-US" w:eastAsia="zh-CN"/>
              </w:rPr>
              <w:t>3、国土空间规划及“三区三线”</w:t>
            </w:r>
            <w:r>
              <w:rPr>
                <w:rFonts w:hint="eastAsia"/>
                <w:b/>
                <w:color w:val="auto"/>
                <w:kern w:val="0"/>
                <w:sz w:val="21"/>
                <w:szCs w:val="21"/>
                <w:highlight w:val="none"/>
              </w:rPr>
              <w:t>相符性分析</w:t>
            </w:r>
          </w:p>
          <w:p w14:paraId="7DEFA9A8">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b w:val="0"/>
                <w:bCs/>
                <w:color w:val="auto"/>
                <w:kern w:val="0"/>
                <w:sz w:val="21"/>
                <w:szCs w:val="21"/>
                <w:highlight w:val="none"/>
                <w:lang w:val="en-US" w:eastAsia="zh-CN"/>
              </w:rPr>
            </w:pPr>
            <w:r>
              <w:rPr>
                <w:rFonts w:hint="eastAsia"/>
                <w:b w:val="0"/>
                <w:bCs/>
                <w:color w:val="auto"/>
                <w:kern w:val="0"/>
                <w:sz w:val="21"/>
                <w:szCs w:val="21"/>
                <w:highlight w:val="none"/>
                <w:lang w:val="en-US" w:eastAsia="zh-CN"/>
              </w:rPr>
              <w:t>根据《自然资源部关于在全国开展“三区三线”划定工作的函》（自然资函[2022]47号）以及《江苏省国土空间规划（2021-2035年）》，文件提出创建全国生态文明试验区，以底线约束和安全韧性为前提，优先保障生态、农业、安全等保护性空间。按照耕地和永久基本农田、生态保护红线、城镇开发边界的优先序，统筹划定“三区三线”：到2035年，江苏省耕地保有量不低于5977万亩，其中永久基本农田保护面积不低于5344万亩；生态保护红线不低于1.82万平方千米，其中海洋生态保护红线不低于0.95万平方千米；城镇开发边界扩展倍数控制在基于2020年城镇建设用地规模的1.3倍以内。加强自然资源整体保护与高效利用，统筹安排防灾减灾救灾和重大突发公共事件的应急空间，为保障粮食安全、生态安全、能源安全提供了基础保障。</w:t>
            </w:r>
          </w:p>
          <w:p w14:paraId="68F46B4B">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color w:val="auto"/>
              </w:rPr>
            </w:pPr>
            <w:r>
              <w:rPr>
                <w:rFonts w:hint="eastAsia"/>
                <w:b w:val="0"/>
                <w:bCs/>
                <w:color w:val="auto"/>
                <w:kern w:val="0"/>
                <w:sz w:val="21"/>
                <w:szCs w:val="21"/>
                <w:highlight w:val="none"/>
                <w:lang w:val="en-US" w:eastAsia="zh-CN"/>
              </w:rPr>
              <w:t>根据《常州市国土空间总体规划（2021-2035年）》中“市域国土空间控制线规划图”和“市辖区国土空间规划分区图”可知，本项目位于工业发展区，在城镇开发边界内，且不占用耕地和永久基本农田，不涉及生态保护红线，因此本项目满足国土空间规划及“三区三线”要求。</w:t>
            </w:r>
          </w:p>
        </w:tc>
      </w:tr>
      <w:tr w14:paraId="1E6CA4F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761" w:hRule="atLeast"/>
          <w:jc w:val="center"/>
        </w:trPr>
        <w:tc>
          <w:tcPr>
            <w:tcW w:w="388" w:type="pct"/>
            <w:vAlign w:val="center"/>
          </w:tcPr>
          <w:p w14:paraId="1135EBCA">
            <w:pPr>
              <w:overflowPunct w:val="0"/>
              <w:adjustRightInd w:val="0"/>
              <w:snapToGrid w:val="0"/>
              <w:jc w:val="center"/>
              <w:rPr>
                <w:b/>
                <w:bCs/>
                <w:color w:val="auto"/>
                <w:kern w:val="0"/>
              </w:rPr>
            </w:pPr>
            <w:r>
              <w:rPr>
                <w:b/>
                <w:bCs/>
                <w:color w:val="auto"/>
                <w:kern w:val="0"/>
              </w:rPr>
              <w:t>其他符合性分析</w:t>
            </w:r>
          </w:p>
        </w:tc>
        <w:tc>
          <w:tcPr>
            <w:tcW w:w="4611" w:type="pct"/>
            <w:gridSpan w:val="4"/>
            <w:vAlign w:val="center"/>
          </w:tcPr>
          <w:p w14:paraId="2F9906E5">
            <w:pPr>
              <w:overflowPunct w:val="0"/>
              <w:adjustRightInd w:val="0"/>
              <w:snapToGrid w:val="0"/>
              <w:spacing w:line="360" w:lineRule="auto"/>
              <w:ind w:firstLine="422" w:firstLineChars="200"/>
              <w:rPr>
                <w:b/>
                <w:color w:val="auto"/>
              </w:rPr>
            </w:pPr>
            <w:r>
              <w:rPr>
                <w:b/>
                <w:color w:val="auto"/>
              </w:rPr>
              <w:t>1、产业政策相符性</w:t>
            </w:r>
            <w:r>
              <w:rPr>
                <w:rFonts w:hint="eastAsia"/>
                <w:b/>
                <w:color w:val="auto"/>
              </w:rPr>
              <w:t>分析</w:t>
            </w:r>
          </w:p>
          <w:p w14:paraId="6C4E4216">
            <w:pPr>
              <w:adjustRightInd w:val="0"/>
              <w:snapToGrid w:val="0"/>
              <w:spacing w:line="360" w:lineRule="auto"/>
              <w:ind w:firstLine="420" w:firstLineChars="200"/>
              <w:rPr>
                <w:color w:val="auto"/>
              </w:rPr>
            </w:pPr>
            <w:r>
              <w:rPr>
                <w:color w:val="auto"/>
              </w:rPr>
              <w:t>本项目属于《国民经济行业分类》（GB/T4754-2017）（国家标准第1号修改单，2019年3月29日起实施）中</w:t>
            </w:r>
            <w:r>
              <w:rPr>
                <w:rFonts w:hint="eastAsia"/>
                <w:color w:val="auto"/>
              </w:rPr>
              <w:t>“</w:t>
            </w:r>
            <w:r>
              <w:rPr>
                <w:rFonts w:hint="eastAsia"/>
                <w:color w:val="auto"/>
                <w:lang w:eastAsia="zh-CN"/>
              </w:rPr>
              <w:t>C3811发电机及发电机组制造</w:t>
            </w:r>
            <w:r>
              <w:rPr>
                <w:rFonts w:hint="eastAsia"/>
                <w:color w:val="auto"/>
              </w:rPr>
              <w:t>”</w:t>
            </w:r>
            <w:r>
              <w:rPr>
                <w:color w:val="auto"/>
              </w:rPr>
              <w:t>，对照《产业结构调整指导目录（</w:t>
            </w:r>
            <w:r>
              <w:rPr>
                <w:rFonts w:hint="eastAsia"/>
                <w:color w:val="auto"/>
              </w:rPr>
              <w:t>2024年本</w:t>
            </w:r>
            <w:r>
              <w:rPr>
                <w:color w:val="auto"/>
              </w:rPr>
              <w:t>）》，项目不属于其限制类或淘汰类项目，属于允许建设项目；</w:t>
            </w:r>
            <w:r>
              <w:rPr>
                <w:rFonts w:hint="eastAsia"/>
                <w:color w:val="auto"/>
              </w:rPr>
              <w:t>不属于《中共江苏省委办公厅江苏省人民政府办公厅关于加快全省化工钢铁煤电行业转型升级高质量发展的实施意见》（苏办发[2018]32号）附件3中“江苏省产业结构调整限制、淘汰和禁止目录”；不属于《江苏省“两高”项目管理名录（2024年版）》中“两高”项目；不属于《江苏省太湖流域禁止和限制的产业产品目录（2024年本）》中限制类、淘汰类或禁止类项目；</w:t>
            </w:r>
            <w:r>
              <w:rPr>
                <w:color w:val="auto"/>
              </w:rPr>
              <w:t>也不属于其他相关法律法规要求淘汰和限制的项目，符合国家和地方产业政策。</w:t>
            </w:r>
          </w:p>
          <w:p w14:paraId="33C927C2">
            <w:pPr>
              <w:widowControl/>
              <w:adjustRightInd w:val="0"/>
              <w:snapToGrid w:val="0"/>
              <w:spacing w:line="360" w:lineRule="auto"/>
              <w:ind w:firstLine="420" w:firstLineChars="200"/>
              <w:jc w:val="left"/>
              <w:rPr>
                <w:color w:val="auto"/>
              </w:rPr>
            </w:pPr>
            <w:r>
              <w:rPr>
                <w:color w:val="auto"/>
              </w:rPr>
              <w:t>与</w:t>
            </w:r>
            <w:r>
              <w:rPr>
                <w:rFonts w:hint="eastAsia"/>
                <w:color w:val="auto"/>
              </w:rPr>
              <w:t>《江苏省“两高”项目管理名录（2024年版）》符合性分析如下：</w:t>
            </w:r>
          </w:p>
          <w:p w14:paraId="580686D5">
            <w:pPr>
              <w:widowControl/>
              <w:adjustRightInd w:val="0"/>
              <w:snapToGrid w:val="0"/>
              <w:jc w:val="center"/>
              <w:rPr>
                <w:b/>
                <w:bCs/>
                <w:color w:val="auto"/>
                <w:kern w:val="0"/>
                <w:lang w:bidi="ar"/>
              </w:rPr>
            </w:pPr>
            <w:r>
              <w:rPr>
                <w:b/>
                <w:bCs/>
                <w:color w:val="auto"/>
                <w:kern w:val="0"/>
                <w:lang w:bidi="ar"/>
              </w:rPr>
              <w:t>表</w:t>
            </w:r>
            <w:r>
              <w:rPr>
                <w:rFonts w:hint="eastAsia"/>
                <w:b/>
                <w:bCs/>
                <w:color w:val="auto"/>
                <w:kern w:val="0"/>
                <w:lang w:bidi="ar"/>
              </w:rPr>
              <w:t>1-</w:t>
            </w:r>
            <w:r>
              <w:rPr>
                <w:rFonts w:hint="eastAsia"/>
                <w:b/>
                <w:bCs/>
                <w:color w:val="auto"/>
                <w:kern w:val="0"/>
                <w:lang w:val="en-US" w:eastAsia="zh-CN" w:bidi="ar"/>
              </w:rPr>
              <w:t>4</w:t>
            </w:r>
            <w:r>
              <w:rPr>
                <w:rFonts w:hint="eastAsia"/>
                <w:b/>
                <w:bCs/>
                <w:color w:val="auto"/>
                <w:kern w:val="0"/>
                <w:lang w:bidi="ar"/>
              </w:rPr>
              <w:t xml:space="preserve">   </w:t>
            </w:r>
            <w:r>
              <w:rPr>
                <w:b/>
                <w:bCs/>
                <w:color w:val="auto"/>
                <w:kern w:val="0"/>
                <w:lang w:bidi="ar"/>
              </w:rPr>
              <w:t>与</w:t>
            </w:r>
            <w:r>
              <w:rPr>
                <w:rFonts w:hint="eastAsia"/>
                <w:b/>
                <w:bCs/>
                <w:color w:val="auto"/>
                <w:kern w:val="0"/>
                <w:lang w:bidi="ar"/>
              </w:rPr>
              <w:t>《江苏省“两高”项目管理名录（2024年版）》</w:t>
            </w:r>
            <w:r>
              <w:rPr>
                <w:b/>
                <w:bCs/>
                <w:color w:val="auto"/>
                <w:kern w:val="0"/>
                <w:lang w:bidi="ar"/>
              </w:rPr>
              <w:t>对照分析</w:t>
            </w:r>
          </w:p>
          <w:tbl>
            <w:tblPr>
              <w:tblStyle w:val="60"/>
              <w:tblW w:w="0" w:type="auto"/>
              <w:tblInd w:w="5" w:type="dxa"/>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1096"/>
              <w:gridCol w:w="2927"/>
              <w:gridCol w:w="2863"/>
              <w:gridCol w:w="1161"/>
            </w:tblGrid>
            <w:tr w14:paraId="18B7EE4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1096" w:type="dxa"/>
                  <w:tcBorders>
                    <w:tl2br w:val="nil"/>
                    <w:tr2bl w:val="nil"/>
                  </w:tcBorders>
                  <w:vAlign w:val="center"/>
                </w:tcPr>
                <w:p w14:paraId="4CEC26DC">
                  <w:pPr>
                    <w:widowControl/>
                    <w:adjustRightInd w:val="0"/>
                    <w:snapToGrid w:val="0"/>
                    <w:jc w:val="center"/>
                    <w:rPr>
                      <w:rFonts w:hint="eastAsia" w:eastAsia="宋体"/>
                      <w:b/>
                      <w:bCs/>
                      <w:color w:val="auto"/>
                      <w:kern w:val="0"/>
                      <w:vertAlign w:val="baseline"/>
                      <w:lang w:val="en-US" w:eastAsia="zh-CN" w:bidi="ar"/>
                    </w:rPr>
                  </w:pPr>
                  <w:r>
                    <w:rPr>
                      <w:rFonts w:hint="eastAsia"/>
                      <w:b/>
                      <w:bCs/>
                      <w:color w:val="auto"/>
                      <w:kern w:val="0"/>
                      <w:vertAlign w:val="baseline"/>
                      <w:lang w:val="en-US" w:eastAsia="zh-CN" w:bidi="ar"/>
                    </w:rPr>
                    <w:t>行业</w:t>
                  </w:r>
                </w:p>
              </w:tc>
              <w:tc>
                <w:tcPr>
                  <w:tcW w:w="2927" w:type="dxa"/>
                  <w:tcBorders>
                    <w:tl2br w:val="nil"/>
                    <w:tr2bl w:val="nil"/>
                  </w:tcBorders>
                  <w:vAlign w:val="center"/>
                </w:tcPr>
                <w:p w14:paraId="75A4DAF8">
                  <w:pPr>
                    <w:widowControl/>
                    <w:adjustRightInd w:val="0"/>
                    <w:snapToGrid w:val="0"/>
                    <w:jc w:val="center"/>
                    <w:rPr>
                      <w:rFonts w:hint="default" w:eastAsia="宋体"/>
                      <w:b/>
                      <w:bCs/>
                      <w:color w:val="auto"/>
                      <w:kern w:val="0"/>
                      <w:vertAlign w:val="baseline"/>
                      <w:lang w:val="en-US" w:eastAsia="zh-CN" w:bidi="ar"/>
                    </w:rPr>
                  </w:pPr>
                  <w:r>
                    <w:rPr>
                      <w:rFonts w:hint="eastAsia"/>
                      <w:b/>
                      <w:bCs/>
                      <w:color w:val="auto"/>
                      <w:kern w:val="0"/>
                      <w:vertAlign w:val="baseline"/>
                      <w:lang w:val="en-US" w:eastAsia="zh-CN" w:bidi="ar"/>
                    </w:rPr>
                    <w:t>国民经济行业分类及代码</w:t>
                  </w:r>
                </w:p>
              </w:tc>
              <w:tc>
                <w:tcPr>
                  <w:tcW w:w="2863" w:type="dxa"/>
                  <w:tcBorders>
                    <w:tl2br w:val="nil"/>
                    <w:tr2bl w:val="nil"/>
                  </w:tcBorders>
                  <w:vAlign w:val="center"/>
                </w:tcPr>
                <w:p w14:paraId="78A6D4CE">
                  <w:pPr>
                    <w:widowControl/>
                    <w:adjustRightInd w:val="0"/>
                    <w:snapToGrid w:val="0"/>
                    <w:jc w:val="center"/>
                    <w:rPr>
                      <w:rFonts w:hint="eastAsia" w:eastAsia="宋体"/>
                      <w:b/>
                      <w:bCs/>
                      <w:color w:val="auto"/>
                      <w:kern w:val="0"/>
                      <w:vertAlign w:val="baseline"/>
                      <w:lang w:val="en-US" w:eastAsia="zh-CN" w:bidi="ar"/>
                    </w:rPr>
                  </w:pPr>
                  <w:r>
                    <w:rPr>
                      <w:rFonts w:hint="eastAsia"/>
                      <w:b/>
                      <w:bCs/>
                      <w:color w:val="auto"/>
                      <w:kern w:val="0"/>
                      <w:vertAlign w:val="baseline"/>
                      <w:lang w:val="en-US" w:eastAsia="zh-CN" w:bidi="ar"/>
                    </w:rPr>
                    <w:t>内容</w:t>
                  </w:r>
                </w:p>
              </w:tc>
              <w:tc>
                <w:tcPr>
                  <w:tcW w:w="1161" w:type="dxa"/>
                  <w:tcBorders>
                    <w:tl2br w:val="nil"/>
                    <w:tr2bl w:val="nil"/>
                  </w:tcBorders>
                  <w:vAlign w:val="center"/>
                </w:tcPr>
                <w:p w14:paraId="12DF9CB3">
                  <w:pPr>
                    <w:widowControl/>
                    <w:adjustRightInd w:val="0"/>
                    <w:snapToGrid w:val="0"/>
                    <w:jc w:val="center"/>
                    <w:rPr>
                      <w:rFonts w:hint="eastAsia" w:eastAsia="宋体"/>
                      <w:b/>
                      <w:bCs/>
                      <w:color w:val="auto"/>
                      <w:kern w:val="0"/>
                      <w:vertAlign w:val="baseline"/>
                      <w:lang w:val="en-US" w:eastAsia="zh-CN" w:bidi="ar"/>
                    </w:rPr>
                  </w:pPr>
                  <w:r>
                    <w:rPr>
                      <w:rFonts w:hint="eastAsia"/>
                      <w:b/>
                      <w:bCs/>
                      <w:color w:val="auto"/>
                      <w:kern w:val="0"/>
                      <w:vertAlign w:val="baseline"/>
                      <w:lang w:val="en-US" w:eastAsia="zh-CN" w:bidi="ar"/>
                    </w:rPr>
                    <w:t>对照分析</w:t>
                  </w:r>
                </w:p>
              </w:tc>
            </w:tr>
            <w:tr w14:paraId="623A489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1096" w:type="dxa"/>
                  <w:vMerge w:val="restart"/>
                  <w:tcBorders>
                    <w:tl2br w:val="nil"/>
                    <w:tr2bl w:val="nil"/>
                  </w:tcBorders>
                  <w:vAlign w:val="center"/>
                </w:tcPr>
                <w:p w14:paraId="583AFF6B">
                  <w:pPr>
                    <w:widowControl/>
                    <w:adjustRightInd w:val="0"/>
                    <w:snapToGrid w:val="0"/>
                    <w:jc w:val="center"/>
                    <w:rPr>
                      <w:rFonts w:hint="default" w:eastAsia="宋体"/>
                      <w:b w:val="0"/>
                      <w:bCs w:val="0"/>
                      <w:color w:val="auto"/>
                      <w:kern w:val="0"/>
                      <w:vertAlign w:val="baseline"/>
                      <w:lang w:val="en-US" w:eastAsia="zh-CN" w:bidi="ar"/>
                    </w:rPr>
                  </w:pPr>
                  <w:r>
                    <w:rPr>
                      <w:rFonts w:hint="eastAsia"/>
                      <w:b w:val="0"/>
                      <w:bCs w:val="0"/>
                      <w:color w:val="auto"/>
                      <w:kern w:val="0"/>
                      <w:vertAlign w:val="baseline"/>
                      <w:lang w:val="en-US" w:eastAsia="zh-CN" w:bidi="ar"/>
                    </w:rPr>
                    <w:t>石油、煤炭及其他燃料加工业</w:t>
                  </w:r>
                </w:p>
              </w:tc>
              <w:tc>
                <w:tcPr>
                  <w:tcW w:w="2927" w:type="dxa"/>
                  <w:tcBorders>
                    <w:tl2br w:val="nil"/>
                    <w:tr2bl w:val="nil"/>
                  </w:tcBorders>
                  <w:vAlign w:val="center"/>
                </w:tcPr>
                <w:p w14:paraId="2DE63BCF">
                  <w:pPr>
                    <w:widowControl/>
                    <w:adjustRightInd w:val="0"/>
                    <w:snapToGrid w:val="0"/>
                    <w:jc w:val="center"/>
                    <w:rPr>
                      <w:rFonts w:hint="default" w:eastAsia="宋体"/>
                      <w:b w:val="0"/>
                      <w:bCs w:val="0"/>
                      <w:color w:val="auto"/>
                      <w:kern w:val="0"/>
                      <w:vertAlign w:val="baseline"/>
                      <w:lang w:val="en-US" w:eastAsia="zh-CN" w:bidi="ar"/>
                    </w:rPr>
                  </w:pPr>
                  <w:r>
                    <w:rPr>
                      <w:rFonts w:hint="eastAsia"/>
                      <w:b w:val="0"/>
                      <w:bCs w:val="0"/>
                      <w:color w:val="auto"/>
                      <w:kern w:val="0"/>
                      <w:vertAlign w:val="baseline"/>
                      <w:lang w:val="en-US" w:eastAsia="zh-CN" w:bidi="ar"/>
                    </w:rPr>
                    <w:t>原油加工及石油制品制造（2511）</w:t>
                  </w:r>
                </w:p>
              </w:tc>
              <w:tc>
                <w:tcPr>
                  <w:tcW w:w="2863" w:type="dxa"/>
                  <w:tcBorders>
                    <w:tl2br w:val="nil"/>
                    <w:tr2bl w:val="nil"/>
                  </w:tcBorders>
                  <w:vAlign w:val="center"/>
                </w:tcPr>
                <w:p w14:paraId="39B5691D">
                  <w:pPr>
                    <w:widowControl/>
                    <w:adjustRightInd w:val="0"/>
                    <w:snapToGrid w:val="0"/>
                    <w:jc w:val="center"/>
                    <w:rPr>
                      <w:rFonts w:hint="default" w:eastAsia="宋体"/>
                      <w:b w:val="0"/>
                      <w:bCs w:val="0"/>
                      <w:color w:val="auto"/>
                      <w:kern w:val="0"/>
                      <w:vertAlign w:val="baseline"/>
                      <w:lang w:val="en-US" w:eastAsia="zh-CN" w:bidi="ar"/>
                    </w:rPr>
                  </w:pPr>
                  <w:r>
                    <w:rPr>
                      <w:rFonts w:hint="eastAsia"/>
                      <w:b w:val="0"/>
                      <w:bCs w:val="0"/>
                      <w:color w:val="auto"/>
                      <w:kern w:val="0"/>
                      <w:vertAlign w:val="baseline"/>
                      <w:lang w:val="en-US" w:eastAsia="zh-CN" w:bidi="ar"/>
                    </w:rPr>
                    <w:t>--</w:t>
                  </w:r>
                </w:p>
              </w:tc>
              <w:tc>
                <w:tcPr>
                  <w:tcW w:w="1161" w:type="dxa"/>
                  <w:vMerge w:val="restart"/>
                  <w:tcBorders>
                    <w:tl2br w:val="nil"/>
                    <w:tr2bl w:val="nil"/>
                  </w:tcBorders>
                  <w:vAlign w:val="center"/>
                </w:tcPr>
                <w:p w14:paraId="12099960">
                  <w:pPr>
                    <w:widowControl/>
                    <w:adjustRightInd w:val="0"/>
                    <w:snapToGrid w:val="0"/>
                    <w:jc w:val="center"/>
                    <w:rPr>
                      <w:b w:val="0"/>
                      <w:bCs w:val="0"/>
                      <w:color w:val="auto"/>
                      <w:kern w:val="0"/>
                      <w:vertAlign w:val="baseline"/>
                      <w:lang w:bidi="ar"/>
                    </w:rPr>
                  </w:pPr>
                  <w:r>
                    <w:rPr>
                      <w:rFonts w:hint="eastAsia"/>
                      <w:b w:val="0"/>
                      <w:bCs w:val="0"/>
                      <w:color w:val="auto"/>
                      <w:kern w:val="0"/>
                      <w:vertAlign w:val="baseline"/>
                      <w:lang w:bidi="ar"/>
                    </w:rPr>
                    <w:t>本项目国民经济行业类别属于</w:t>
                  </w:r>
                  <w:r>
                    <w:rPr>
                      <w:rFonts w:hint="eastAsia"/>
                      <w:bCs/>
                      <w:color w:val="auto"/>
                      <w:kern w:val="0"/>
                      <w:lang w:eastAsia="zh-CN"/>
                    </w:rPr>
                    <w:t>C3811发电机及发电机组制造</w:t>
                  </w:r>
                  <w:r>
                    <w:rPr>
                      <w:rFonts w:hint="eastAsia"/>
                      <w:b w:val="0"/>
                      <w:bCs w:val="0"/>
                      <w:color w:val="auto"/>
                      <w:kern w:val="0"/>
                      <w:vertAlign w:val="baseline"/>
                      <w:lang w:bidi="ar"/>
                    </w:rPr>
                    <w:t>，不属于江苏省“两高”项目。</w:t>
                  </w:r>
                </w:p>
              </w:tc>
            </w:tr>
            <w:tr w14:paraId="76904657">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1096" w:type="dxa"/>
                  <w:vMerge w:val="continue"/>
                  <w:tcBorders>
                    <w:tl2br w:val="nil"/>
                    <w:tr2bl w:val="nil"/>
                  </w:tcBorders>
                  <w:vAlign w:val="center"/>
                </w:tcPr>
                <w:p w14:paraId="14851F05">
                  <w:pPr>
                    <w:widowControl/>
                    <w:adjustRightInd w:val="0"/>
                    <w:snapToGrid w:val="0"/>
                    <w:jc w:val="center"/>
                    <w:rPr>
                      <w:b w:val="0"/>
                      <w:bCs w:val="0"/>
                      <w:color w:val="auto"/>
                      <w:kern w:val="0"/>
                      <w:vertAlign w:val="baseline"/>
                      <w:lang w:bidi="ar"/>
                    </w:rPr>
                  </w:pPr>
                </w:p>
              </w:tc>
              <w:tc>
                <w:tcPr>
                  <w:tcW w:w="2927" w:type="dxa"/>
                  <w:tcBorders>
                    <w:tl2br w:val="nil"/>
                    <w:tr2bl w:val="nil"/>
                  </w:tcBorders>
                  <w:vAlign w:val="center"/>
                </w:tcPr>
                <w:p w14:paraId="6895B82B">
                  <w:pPr>
                    <w:widowControl/>
                    <w:adjustRightInd w:val="0"/>
                    <w:snapToGrid w:val="0"/>
                    <w:jc w:val="center"/>
                    <w:rPr>
                      <w:rFonts w:hint="eastAsia" w:eastAsia="宋体"/>
                      <w:b w:val="0"/>
                      <w:bCs w:val="0"/>
                      <w:color w:val="auto"/>
                      <w:kern w:val="0"/>
                      <w:vertAlign w:val="baseline"/>
                      <w:lang w:val="en-US" w:eastAsia="zh-CN" w:bidi="ar"/>
                    </w:rPr>
                  </w:pPr>
                  <w:r>
                    <w:rPr>
                      <w:rFonts w:hint="eastAsia"/>
                      <w:b w:val="0"/>
                      <w:bCs w:val="0"/>
                      <w:color w:val="auto"/>
                      <w:kern w:val="0"/>
                      <w:vertAlign w:val="baseline"/>
                      <w:lang w:val="en-US" w:eastAsia="zh-CN" w:bidi="ar"/>
                    </w:rPr>
                    <w:t>炼焦（2521）</w:t>
                  </w:r>
                </w:p>
              </w:tc>
              <w:tc>
                <w:tcPr>
                  <w:tcW w:w="2863" w:type="dxa"/>
                  <w:tcBorders>
                    <w:tl2br w:val="nil"/>
                    <w:tr2bl w:val="nil"/>
                  </w:tcBorders>
                  <w:vAlign w:val="center"/>
                </w:tcPr>
                <w:p w14:paraId="1C6598A5">
                  <w:pPr>
                    <w:widowControl/>
                    <w:adjustRightInd w:val="0"/>
                    <w:snapToGrid w:val="0"/>
                    <w:jc w:val="center"/>
                    <w:rPr>
                      <w:rFonts w:hint="default" w:eastAsia="宋体"/>
                      <w:b w:val="0"/>
                      <w:bCs w:val="0"/>
                      <w:color w:val="auto"/>
                      <w:kern w:val="0"/>
                      <w:vertAlign w:val="baseline"/>
                      <w:lang w:val="en-US" w:eastAsia="zh-CN" w:bidi="ar"/>
                    </w:rPr>
                  </w:pPr>
                  <w:r>
                    <w:rPr>
                      <w:rFonts w:hint="eastAsia"/>
                      <w:b w:val="0"/>
                      <w:bCs w:val="0"/>
                      <w:color w:val="auto"/>
                      <w:kern w:val="0"/>
                      <w:vertAlign w:val="baseline"/>
                      <w:lang w:val="en-US" w:eastAsia="zh-CN" w:bidi="ar"/>
                    </w:rPr>
                    <w:t>焦化企业废气综合利用除外。</w:t>
                  </w:r>
                </w:p>
              </w:tc>
              <w:tc>
                <w:tcPr>
                  <w:tcW w:w="1161" w:type="dxa"/>
                  <w:vMerge w:val="continue"/>
                  <w:tcBorders>
                    <w:tl2br w:val="nil"/>
                    <w:tr2bl w:val="nil"/>
                  </w:tcBorders>
                  <w:vAlign w:val="center"/>
                </w:tcPr>
                <w:p w14:paraId="45941E78">
                  <w:pPr>
                    <w:widowControl/>
                    <w:adjustRightInd w:val="0"/>
                    <w:snapToGrid w:val="0"/>
                    <w:jc w:val="center"/>
                    <w:rPr>
                      <w:b w:val="0"/>
                      <w:bCs w:val="0"/>
                      <w:color w:val="auto"/>
                      <w:kern w:val="0"/>
                      <w:vertAlign w:val="baseline"/>
                      <w:lang w:bidi="ar"/>
                    </w:rPr>
                  </w:pPr>
                </w:p>
              </w:tc>
            </w:tr>
            <w:tr w14:paraId="3F18862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1096" w:type="dxa"/>
                  <w:vMerge w:val="continue"/>
                  <w:tcBorders>
                    <w:tl2br w:val="nil"/>
                    <w:tr2bl w:val="nil"/>
                  </w:tcBorders>
                  <w:vAlign w:val="center"/>
                </w:tcPr>
                <w:p w14:paraId="1560CA6D">
                  <w:pPr>
                    <w:widowControl/>
                    <w:adjustRightInd w:val="0"/>
                    <w:snapToGrid w:val="0"/>
                    <w:jc w:val="center"/>
                    <w:rPr>
                      <w:b w:val="0"/>
                      <w:bCs w:val="0"/>
                      <w:color w:val="auto"/>
                      <w:kern w:val="0"/>
                      <w:vertAlign w:val="baseline"/>
                      <w:lang w:bidi="ar"/>
                    </w:rPr>
                  </w:pPr>
                </w:p>
              </w:tc>
              <w:tc>
                <w:tcPr>
                  <w:tcW w:w="2927" w:type="dxa"/>
                  <w:tcBorders>
                    <w:tl2br w:val="nil"/>
                    <w:tr2bl w:val="nil"/>
                  </w:tcBorders>
                  <w:vAlign w:val="center"/>
                </w:tcPr>
                <w:p w14:paraId="08DE9CD4">
                  <w:pPr>
                    <w:widowControl/>
                    <w:adjustRightInd w:val="0"/>
                    <w:snapToGrid w:val="0"/>
                    <w:jc w:val="center"/>
                    <w:rPr>
                      <w:rFonts w:hint="eastAsia" w:eastAsia="宋体"/>
                      <w:b w:val="0"/>
                      <w:bCs w:val="0"/>
                      <w:color w:val="auto"/>
                      <w:kern w:val="0"/>
                      <w:vertAlign w:val="baseline"/>
                      <w:lang w:val="en-US" w:eastAsia="zh-CN" w:bidi="ar"/>
                    </w:rPr>
                  </w:pPr>
                  <w:r>
                    <w:rPr>
                      <w:rFonts w:hint="eastAsia"/>
                      <w:b w:val="0"/>
                      <w:bCs w:val="0"/>
                      <w:color w:val="auto"/>
                      <w:kern w:val="0"/>
                      <w:vertAlign w:val="baseline"/>
                      <w:lang w:val="en-US" w:eastAsia="zh-CN" w:bidi="ar"/>
                    </w:rPr>
                    <w:t>煤制合成气生产（2522）</w:t>
                  </w:r>
                </w:p>
              </w:tc>
              <w:tc>
                <w:tcPr>
                  <w:tcW w:w="2863" w:type="dxa"/>
                  <w:tcBorders>
                    <w:tl2br w:val="nil"/>
                    <w:tr2bl w:val="nil"/>
                  </w:tcBorders>
                  <w:vAlign w:val="center"/>
                </w:tcPr>
                <w:p w14:paraId="64950E68">
                  <w:pPr>
                    <w:widowControl/>
                    <w:adjustRightInd w:val="0"/>
                    <w:snapToGrid w:val="0"/>
                    <w:jc w:val="center"/>
                    <w:rPr>
                      <w:rFonts w:hint="default" w:eastAsia="宋体"/>
                      <w:b w:val="0"/>
                      <w:bCs w:val="0"/>
                      <w:color w:val="auto"/>
                      <w:kern w:val="0"/>
                      <w:vertAlign w:val="baseline"/>
                      <w:lang w:val="en-US" w:eastAsia="zh-CN" w:bidi="ar"/>
                    </w:rPr>
                  </w:pPr>
                  <w:r>
                    <w:rPr>
                      <w:rFonts w:hint="eastAsia"/>
                      <w:b w:val="0"/>
                      <w:bCs w:val="0"/>
                      <w:color w:val="auto"/>
                      <w:kern w:val="0"/>
                      <w:vertAlign w:val="baseline"/>
                      <w:lang w:val="en-US" w:eastAsia="zh-CN" w:bidi="ar"/>
                    </w:rPr>
                    <w:t>--</w:t>
                  </w:r>
                </w:p>
              </w:tc>
              <w:tc>
                <w:tcPr>
                  <w:tcW w:w="1161" w:type="dxa"/>
                  <w:vMerge w:val="continue"/>
                  <w:tcBorders>
                    <w:tl2br w:val="nil"/>
                    <w:tr2bl w:val="nil"/>
                  </w:tcBorders>
                  <w:vAlign w:val="center"/>
                </w:tcPr>
                <w:p w14:paraId="4587E5F8">
                  <w:pPr>
                    <w:widowControl/>
                    <w:adjustRightInd w:val="0"/>
                    <w:snapToGrid w:val="0"/>
                    <w:jc w:val="center"/>
                    <w:rPr>
                      <w:b w:val="0"/>
                      <w:bCs w:val="0"/>
                      <w:color w:val="auto"/>
                      <w:kern w:val="0"/>
                      <w:vertAlign w:val="baseline"/>
                      <w:lang w:bidi="ar"/>
                    </w:rPr>
                  </w:pPr>
                </w:p>
              </w:tc>
            </w:tr>
            <w:tr w14:paraId="1DC1E4F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1096" w:type="dxa"/>
                  <w:vMerge w:val="continue"/>
                  <w:tcBorders>
                    <w:tl2br w:val="nil"/>
                    <w:tr2bl w:val="nil"/>
                  </w:tcBorders>
                  <w:vAlign w:val="center"/>
                </w:tcPr>
                <w:p w14:paraId="5AD44F4F">
                  <w:pPr>
                    <w:widowControl/>
                    <w:adjustRightInd w:val="0"/>
                    <w:snapToGrid w:val="0"/>
                    <w:jc w:val="center"/>
                    <w:rPr>
                      <w:b w:val="0"/>
                      <w:bCs w:val="0"/>
                      <w:color w:val="auto"/>
                      <w:kern w:val="0"/>
                      <w:vertAlign w:val="baseline"/>
                      <w:lang w:bidi="ar"/>
                    </w:rPr>
                  </w:pPr>
                </w:p>
              </w:tc>
              <w:tc>
                <w:tcPr>
                  <w:tcW w:w="2927" w:type="dxa"/>
                  <w:tcBorders>
                    <w:tl2br w:val="nil"/>
                    <w:tr2bl w:val="nil"/>
                  </w:tcBorders>
                  <w:vAlign w:val="center"/>
                </w:tcPr>
                <w:p w14:paraId="49E77BF7">
                  <w:pPr>
                    <w:widowControl/>
                    <w:adjustRightInd w:val="0"/>
                    <w:snapToGrid w:val="0"/>
                    <w:jc w:val="center"/>
                    <w:rPr>
                      <w:rFonts w:hint="eastAsia" w:eastAsia="宋体"/>
                      <w:b w:val="0"/>
                      <w:bCs w:val="0"/>
                      <w:color w:val="auto"/>
                      <w:kern w:val="0"/>
                      <w:vertAlign w:val="baseline"/>
                      <w:lang w:val="en-US" w:eastAsia="zh-CN" w:bidi="ar"/>
                    </w:rPr>
                  </w:pPr>
                  <w:r>
                    <w:rPr>
                      <w:rFonts w:hint="eastAsia"/>
                      <w:b w:val="0"/>
                      <w:bCs w:val="0"/>
                      <w:color w:val="auto"/>
                      <w:kern w:val="0"/>
                      <w:vertAlign w:val="baseline"/>
                      <w:lang w:val="en-US" w:eastAsia="zh-CN" w:bidi="ar"/>
                    </w:rPr>
                    <w:t>煤制液体燃料生产（2523）</w:t>
                  </w:r>
                </w:p>
              </w:tc>
              <w:tc>
                <w:tcPr>
                  <w:tcW w:w="2863" w:type="dxa"/>
                  <w:tcBorders>
                    <w:tl2br w:val="nil"/>
                    <w:tr2bl w:val="nil"/>
                  </w:tcBorders>
                  <w:vAlign w:val="center"/>
                </w:tcPr>
                <w:p w14:paraId="1C44AB63">
                  <w:pPr>
                    <w:widowControl/>
                    <w:adjustRightInd w:val="0"/>
                    <w:snapToGrid w:val="0"/>
                    <w:jc w:val="center"/>
                    <w:rPr>
                      <w:rFonts w:hint="default" w:eastAsia="宋体"/>
                      <w:b w:val="0"/>
                      <w:bCs w:val="0"/>
                      <w:color w:val="auto"/>
                      <w:kern w:val="0"/>
                      <w:vertAlign w:val="baseline"/>
                      <w:lang w:val="en-US" w:eastAsia="zh-CN" w:bidi="ar"/>
                    </w:rPr>
                  </w:pPr>
                  <w:r>
                    <w:rPr>
                      <w:rFonts w:hint="eastAsia"/>
                      <w:b w:val="0"/>
                      <w:bCs w:val="0"/>
                      <w:color w:val="auto"/>
                      <w:kern w:val="0"/>
                      <w:vertAlign w:val="baseline"/>
                      <w:lang w:val="en-US" w:eastAsia="zh-CN" w:bidi="ar"/>
                    </w:rPr>
                    <w:t>--</w:t>
                  </w:r>
                </w:p>
              </w:tc>
              <w:tc>
                <w:tcPr>
                  <w:tcW w:w="1161" w:type="dxa"/>
                  <w:vMerge w:val="continue"/>
                  <w:tcBorders>
                    <w:tl2br w:val="nil"/>
                    <w:tr2bl w:val="nil"/>
                  </w:tcBorders>
                  <w:vAlign w:val="center"/>
                </w:tcPr>
                <w:p w14:paraId="3B0DB664">
                  <w:pPr>
                    <w:widowControl/>
                    <w:adjustRightInd w:val="0"/>
                    <w:snapToGrid w:val="0"/>
                    <w:jc w:val="center"/>
                    <w:rPr>
                      <w:b w:val="0"/>
                      <w:bCs w:val="0"/>
                      <w:color w:val="auto"/>
                      <w:kern w:val="0"/>
                      <w:vertAlign w:val="baseline"/>
                      <w:lang w:bidi="ar"/>
                    </w:rPr>
                  </w:pPr>
                </w:p>
              </w:tc>
            </w:tr>
            <w:tr w14:paraId="5EB56EA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1096" w:type="dxa"/>
                  <w:vMerge w:val="continue"/>
                  <w:tcBorders>
                    <w:tl2br w:val="nil"/>
                    <w:tr2bl w:val="nil"/>
                  </w:tcBorders>
                  <w:vAlign w:val="center"/>
                </w:tcPr>
                <w:p w14:paraId="458E4F4B">
                  <w:pPr>
                    <w:widowControl/>
                    <w:adjustRightInd w:val="0"/>
                    <w:snapToGrid w:val="0"/>
                    <w:jc w:val="center"/>
                    <w:rPr>
                      <w:b w:val="0"/>
                      <w:bCs w:val="0"/>
                      <w:color w:val="auto"/>
                      <w:kern w:val="0"/>
                      <w:vertAlign w:val="baseline"/>
                      <w:lang w:bidi="ar"/>
                    </w:rPr>
                  </w:pPr>
                </w:p>
              </w:tc>
              <w:tc>
                <w:tcPr>
                  <w:tcW w:w="2927" w:type="dxa"/>
                  <w:tcBorders>
                    <w:tl2br w:val="nil"/>
                    <w:tr2bl w:val="nil"/>
                  </w:tcBorders>
                  <w:vAlign w:val="center"/>
                </w:tcPr>
                <w:p w14:paraId="185B1043">
                  <w:pPr>
                    <w:widowControl/>
                    <w:adjustRightInd w:val="0"/>
                    <w:snapToGrid w:val="0"/>
                    <w:jc w:val="center"/>
                    <w:rPr>
                      <w:rFonts w:hint="eastAsia" w:eastAsia="宋体"/>
                      <w:b w:val="0"/>
                      <w:bCs w:val="0"/>
                      <w:color w:val="auto"/>
                      <w:kern w:val="0"/>
                      <w:vertAlign w:val="baseline"/>
                      <w:lang w:val="en-US" w:eastAsia="zh-CN" w:bidi="ar"/>
                    </w:rPr>
                  </w:pPr>
                  <w:r>
                    <w:rPr>
                      <w:rFonts w:hint="eastAsia"/>
                      <w:b w:val="0"/>
                      <w:bCs w:val="0"/>
                      <w:color w:val="auto"/>
                      <w:kern w:val="0"/>
                      <w:vertAlign w:val="baseline"/>
                      <w:lang w:val="en-US" w:eastAsia="zh-CN" w:bidi="ar"/>
                    </w:rPr>
                    <w:t>其他煤炭加工（2529）</w:t>
                  </w:r>
                </w:p>
              </w:tc>
              <w:tc>
                <w:tcPr>
                  <w:tcW w:w="2863" w:type="dxa"/>
                  <w:tcBorders>
                    <w:tl2br w:val="nil"/>
                    <w:tr2bl w:val="nil"/>
                  </w:tcBorders>
                  <w:vAlign w:val="center"/>
                </w:tcPr>
                <w:p w14:paraId="40B3DCF3">
                  <w:pPr>
                    <w:widowControl/>
                    <w:adjustRightInd w:val="0"/>
                    <w:snapToGrid w:val="0"/>
                    <w:jc w:val="center"/>
                    <w:rPr>
                      <w:rFonts w:hint="eastAsia" w:eastAsia="宋体"/>
                      <w:b w:val="0"/>
                      <w:bCs w:val="0"/>
                      <w:color w:val="auto"/>
                      <w:kern w:val="0"/>
                      <w:vertAlign w:val="baseline"/>
                      <w:lang w:val="en-US" w:eastAsia="zh-CN" w:bidi="ar"/>
                    </w:rPr>
                  </w:pPr>
                  <w:r>
                    <w:rPr>
                      <w:rFonts w:hint="eastAsia"/>
                      <w:b w:val="0"/>
                      <w:bCs w:val="0"/>
                      <w:color w:val="auto"/>
                      <w:kern w:val="0"/>
                      <w:vertAlign w:val="baseline"/>
                      <w:lang w:val="en-US" w:eastAsia="zh-CN" w:bidi="ar"/>
                    </w:rPr>
                    <w:t>活性炭制造。</w:t>
                  </w:r>
                </w:p>
              </w:tc>
              <w:tc>
                <w:tcPr>
                  <w:tcW w:w="1161" w:type="dxa"/>
                  <w:vMerge w:val="continue"/>
                  <w:tcBorders>
                    <w:tl2br w:val="nil"/>
                    <w:tr2bl w:val="nil"/>
                  </w:tcBorders>
                  <w:vAlign w:val="center"/>
                </w:tcPr>
                <w:p w14:paraId="21C44669">
                  <w:pPr>
                    <w:widowControl/>
                    <w:adjustRightInd w:val="0"/>
                    <w:snapToGrid w:val="0"/>
                    <w:jc w:val="center"/>
                    <w:rPr>
                      <w:b w:val="0"/>
                      <w:bCs w:val="0"/>
                      <w:color w:val="auto"/>
                      <w:kern w:val="0"/>
                      <w:vertAlign w:val="baseline"/>
                      <w:lang w:bidi="ar"/>
                    </w:rPr>
                  </w:pPr>
                </w:p>
              </w:tc>
            </w:tr>
            <w:tr w14:paraId="4399BEC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1096" w:type="dxa"/>
                  <w:vMerge w:val="restart"/>
                  <w:tcBorders>
                    <w:tl2br w:val="nil"/>
                    <w:tr2bl w:val="nil"/>
                  </w:tcBorders>
                  <w:vAlign w:val="center"/>
                </w:tcPr>
                <w:p w14:paraId="1ED1A940">
                  <w:pPr>
                    <w:widowControl/>
                    <w:adjustRightInd w:val="0"/>
                    <w:snapToGrid w:val="0"/>
                    <w:jc w:val="center"/>
                    <w:rPr>
                      <w:rFonts w:hint="default" w:eastAsia="宋体"/>
                      <w:b w:val="0"/>
                      <w:bCs w:val="0"/>
                      <w:color w:val="auto"/>
                      <w:kern w:val="0"/>
                      <w:vertAlign w:val="baseline"/>
                      <w:lang w:val="en-US" w:eastAsia="zh-CN" w:bidi="ar"/>
                    </w:rPr>
                  </w:pPr>
                  <w:r>
                    <w:rPr>
                      <w:rFonts w:hint="eastAsia"/>
                      <w:b w:val="0"/>
                      <w:bCs w:val="0"/>
                      <w:color w:val="auto"/>
                      <w:kern w:val="0"/>
                      <w:vertAlign w:val="baseline"/>
                      <w:lang w:val="en-US" w:eastAsia="zh-CN" w:bidi="ar"/>
                    </w:rPr>
                    <w:t>化学原料和化学制品制造业</w:t>
                  </w:r>
                </w:p>
              </w:tc>
              <w:tc>
                <w:tcPr>
                  <w:tcW w:w="2927" w:type="dxa"/>
                  <w:tcBorders>
                    <w:tl2br w:val="nil"/>
                    <w:tr2bl w:val="nil"/>
                  </w:tcBorders>
                  <w:vAlign w:val="center"/>
                </w:tcPr>
                <w:p w14:paraId="65943926">
                  <w:pPr>
                    <w:widowControl/>
                    <w:adjustRightInd w:val="0"/>
                    <w:snapToGrid w:val="0"/>
                    <w:jc w:val="center"/>
                    <w:rPr>
                      <w:rFonts w:hint="eastAsia" w:eastAsia="宋体"/>
                      <w:b w:val="0"/>
                      <w:bCs w:val="0"/>
                      <w:color w:val="auto"/>
                      <w:kern w:val="0"/>
                      <w:vertAlign w:val="baseline"/>
                      <w:lang w:val="en-US" w:eastAsia="zh-CN" w:bidi="ar"/>
                    </w:rPr>
                  </w:pPr>
                  <w:r>
                    <w:rPr>
                      <w:rFonts w:hint="eastAsia"/>
                      <w:b w:val="0"/>
                      <w:bCs w:val="0"/>
                      <w:color w:val="auto"/>
                      <w:kern w:val="0"/>
                      <w:vertAlign w:val="baseline"/>
                      <w:lang w:val="en-US" w:eastAsia="zh-CN" w:bidi="ar"/>
                    </w:rPr>
                    <w:t>无机酸制造（2611）</w:t>
                  </w:r>
                </w:p>
              </w:tc>
              <w:tc>
                <w:tcPr>
                  <w:tcW w:w="2863" w:type="dxa"/>
                  <w:tcBorders>
                    <w:tl2br w:val="nil"/>
                    <w:tr2bl w:val="nil"/>
                  </w:tcBorders>
                  <w:vAlign w:val="center"/>
                </w:tcPr>
                <w:p w14:paraId="29DF6943">
                  <w:pPr>
                    <w:widowControl/>
                    <w:adjustRightInd w:val="0"/>
                    <w:snapToGrid w:val="0"/>
                    <w:jc w:val="center"/>
                    <w:rPr>
                      <w:rFonts w:hint="default" w:eastAsia="宋体"/>
                      <w:b w:val="0"/>
                      <w:bCs w:val="0"/>
                      <w:color w:val="auto"/>
                      <w:kern w:val="0"/>
                      <w:vertAlign w:val="baseline"/>
                      <w:lang w:val="en-US" w:eastAsia="zh-CN" w:bidi="ar"/>
                    </w:rPr>
                  </w:pPr>
                  <w:r>
                    <w:rPr>
                      <w:rFonts w:hint="eastAsia"/>
                      <w:b w:val="0"/>
                      <w:bCs w:val="0"/>
                      <w:color w:val="auto"/>
                      <w:kern w:val="0"/>
                      <w:vertAlign w:val="baseline"/>
                      <w:lang w:val="en-US" w:eastAsia="zh-CN" w:bidi="ar"/>
                    </w:rPr>
                    <w:t>硫酸、硝酸、盐酸、萤石法氟化氢制造。</w:t>
                  </w:r>
                </w:p>
              </w:tc>
              <w:tc>
                <w:tcPr>
                  <w:tcW w:w="1161" w:type="dxa"/>
                  <w:vMerge w:val="continue"/>
                  <w:tcBorders>
                    <w:tl2br w:val="nil"/>
                    <w:tr2bl w:val="nil"/>
                  </w:tcBorders>
                  <w:vAlign w:val="center"/>
                </w:tcPr>
                <w:p w14:paraId="0D25E254">
                  <w:pPr>
                    <w:widowControl/>
                    <w:adjustRightInd w:val="0"/>
                    <w:snapToGrid w:val="0"/>
                    <w:jc w:val="center"/>
                    <w:rPr>
                      <w:b w:val="0"/>
                      <w:bCs w:val="0"/>
                      <w:color w:val="auto"/>
                      <w:kern w:val="0"/>
                      <w:vertAlign w:val="baseline"/>
                      <w:lang w:bidi="ar"/>
                    </w:rPr>
                  </w:pPr>
                </w:p>
              </w:tc>
            </w:tr>
            <w:tr w14:paraId="532B0FE7">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1096" w:type="dxa"/>
                  <w:vMerge w:val="continue"/>
                  <w:tcBorders>
                    <w:tl2br w:val="nil"/>
                    <w:tr2bl w:val="nil"/>
                  </w:tcBorders>
                  <w:vAlign w:val="center"/>
                </w:tcPr>
                <w:p w14:paraId="2921CF97">
                  <w:pPr>
                    <w:widowControl/>
                    <w:adjustRightInd w:val="0"/>
                    <w:snapToGrid w:val="0"/>
                    <w:jc w:val="center"/>
                    <w:rPr>
                      <w:b w:val="0"/>
                      <w:bCs w:val="0"/>
                      <w:color w:val="auto"/>
                      <w:kern w:val="0"/>
                      <w:vertAlign w:val="baseline"/>
                      <w:lang w:bidi="ar"/>
                    </w:rPr>
                  </w:pPr>
                </w:p>
              </w:tc>
              <w:tc>
                <w:tcPr>
                  <w:tcW w:w="2927" w:type="dxa"/>
                  <w:tcBorders>
                    <w:tl2br w:val="nil"/>
                    <w:tr2bl w:val="nil"/>
                  </w:tcBorders>
                  <w:vAlign w:val="center"/>
                </w:tcPr>
                <w:p w14:paraId="0E01FC45">
                  <w:pPr>
                    <w:widowControl/>
                    <w:adjustRightInd w:val="0"/>
                    <w:snapToGrid w:val="0"/>
                    <w:jc w:val="center"/>
                    <w:rPr>
                      <w:rFonts w:hint="eastAsia" w:eastAsia="宋体"/>
                      <w:b w:val="0"/>
                      <w:bCs w:val="0"/>
                      <w:color w:val="auto"/>
                      <w:kern w:val="0"/>
                      <w:vertAlign w:val="baseline"/>
                      <w:lang w:val="en-US" w:eastAsia="zh-CN" w:bidi="ar"/>
                    </w:rPr>
                  </w:pPr>
                  <w:r>
                    <w:rPr>
                      <w:rFonts w:hint="eastAsia"/>
                      <w:b w:val="0"/>
                      <w:bCs w:val="0"/>
                      <w:color w:val="auto"/>
                      <w:kern w:val="0"/>
                      <w:vertAlign w:val="baseline"/>
                      <w:lang w:val="en-US" w:eastAsia="zh-CN" w:bidi="ar"/>
                    </w:rPr>
                    <w:t>无机碱制造（2612）</w:t>
                  </w:r>
                </w:p>
              </w:tc>
              <w:tc>
                <w:tcPr>
                  <w:tcW w:w="2863" w:type="dxa"/>
                  <w:tcBorders>
                    <w:tl2br w:val="nil"/>
                    <w:tr2bl w:val="nil"/>
                  </w:tcBorders>
                  <w:vAlign w:val="center"/>
                </w:tcPr>
                <w:p w14:paraId="15355F6D">
                  <w:pPr>
                    <w:widowControl/>
                    <w:adjustRightInd w:val="0"/>
                    <w:snapToGrid w:val="0"/>
                    <w:jc w:val="center"/>
                    <w:rPr>
                      <w:rFonts w:hint="default" w:eastAsia="宋体"/>
                      <w:b w:val="0"/>
                      <w:bCs w:val="0"/>
                      <w:color w:val="auto"/>
                      <w:kern w:val="0"/>
                      <w:vertAlign w:val="baseline"/>
                      <w:lang w:val="en-US" w:eastAsia="zh-CN" w:bidi="ar"/>
                    </w:rPr>
                  </w:pPr>
                  <w:r>
                    <w:rPr>
                      <w:rFonts w:hint="eastAsia"/>
                      <w:b w:val="0"/>
                      <w:bCs w:val="0"/>
                      <w:color w:val="auto"/>
                      <w:kern w:val="0"/>
                      <w:vertAlign w:val="baseline"/>
                      <w:lang w:val="en-US" w:eastAsia="zh-CN" w:bidi="ar"/>
                    </w:rPr>
                    <w:t>烧碱、纯碱制造（采用井下循环制碱工艺的除外）。</w:t>
                  </w:r>
                </w:p>
              </w:tc>
              <w:tc>
                <w:tcPr>
                  <w:tcW w:w="1161" w:type="dxa"/>
                  <w:vMerge w:val="continue"/>
                  <w:tcBorders>
                    <w:tl2br w:val="nil"/>
                    <w:tr2bl w:val="nil"/>
                  </w:tcBorders>
                  <w:vAlign w:val="center"/>
                </w:tcPr>
                <w:p w14:paraId="2CDBA813">
                  <w:pPr>
                    <w:widowControl/>
                    <w:adjustRightInd w:val="0"/>
                    <w:snapToGrid w:val="0"/>
                    <w:jc w:val="center"/>
                    <w:rPr>
                      <w:b w:val="0"/>
                      <w:bCs w:val="0"/>
                      <w:color w:val="auto"/>
                      <w:kern w:val="0"/>
                      <w:vertAlign w:val="baseline"/>
                      <w:lang w:bidi="ar"/>
                    </w:rPr>
                  </w:pPr>
                </w:p>
              </w:tc>
            </w:tr>
            <w:tr w14:paraId="70ECE23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1096" w:type="dxa"/>
                  <w:vMerge w:val="continue"/>
                  <w:tcBorders>
                    <w:tl2br w:val="nil"/>
                    <w:tr2bl w:val="nil"/>
                  </w:tcBorders>
                  <w:vAlign w:val="center"/>
                </w:tcPr>
                <w:p w14:paraId="124C643D">
                  <w:pPr>
                    <w:widowControl/>
                    <w:adjustRightInd w:val="0"/>
                    <w:snapToGrid w:val="0"/>
                    <w:jc w:val="center"/>
                    <w:rPr>
                      <w:b w:val="0"/>
                      <w:bCs w:val="0"/>
                      <w:color w:val="auto"/>
                      <w:kern w:val="0"/>
                      <w:vertAlign w:val="baseline"/>
                      <w:lang w:bidi="ar"/>
                    </w:rPr>
                  </w:pPr>
                </w:p>
              </w:tc>
              <w:tc>
                <w:tcPr>
                  <w:tcW w:w="2927" w:type="dxa"/>
                  <w:tcBorders>
                    <w:tl2br w:val="nil"/>
                    <w:tr2bl w:val="nil"/>
                  </w:tcBorders>
                  <w:vAlign w:val="center"/>
                </w:tcPr>
                <w:p w14:paraId="564B8635">
                  <w:pPr>
                    <w:widowControl/>
                    <w:adjustRightInd w:val="0"/>
                    <w:snapToGrid w:val="0"/>
                    <w:jc w:val="center"/>
                    <w:rPr>
                      <w:rFonts w:hint="eastAsia" w:eastAsia="宋体"/>
                      <w:b w:val="0"/>
                      <w:bCs w:val="0"/>
                      <w:color w:val="auto"/>
                      <w:kern w:val="0"/>
                      <w:vertAlign w:val="baseline"/>
                      <w:lang w:val="en-US" w:eastAsia="zh-CN" w:bidi="ar"/>
                    </w:rPr>
                  </w:pPr>
                  <w:r>
                    <w:rPr>
                      <w:rFonts w:hint="eastAsia"/>
                      <w:b w:val="0"/>
                      <w:bCs w:val="0"/>
                      <w:color w:val="auto"/>
                      <w:kern w:val="0"/>
                      <w:vertAlign w:val="baseline"/>
                      <w:lang w:val="en-US" w:eastAsia="zh-CN" w:bidi="ar"/>
                    </w:rPr>
                    <w:t>无机盐制造（2613）</w:t>
                  </w:r>
                </w:p>
              </w:tc>
              <w:tc>
                <w:tcPr>
                  <w:tcW w:w="2863" w:type="dxa"/>
                  <w:tcBorders>
                    <w:tl2br w:val="nil"/>
                    <w:tr2bl w:val="nil"/>
                  </w:tcBorders>
                  <w:vAlign w:val="center"/>
                </w:tcPr>
                <w:p w14:paraId="7C58B952">
                  <w:pPr>
                    <w:widowControl/>
                    <w:adjustRightInd w:val="0"/>
                    <w:snapToGrid w:val="0"/>
                    <w:jc w:val="center"/>
                    <w:rPr>
                      <w:rFonts w:hint="eastAsia" w:eastAsia="宋体"/>
                      <w:b w:val="0"/>
                      <w:bCs w:val="0"/>
                      <w:color w:val="auto"/>
                      <w:kern w:val="0"/>
                      <w:vertAlign w:val="baseline"/>
                      <w:lang w:val="en-US" w:eastAsia="zh-CN" w:bidi="ar"/>
                    </w:rPr>
                  </w:pPr>
                  <w:r>
                    <w:rPr>
                      <w:rFonts w:hint="eastAsia"/>
                      <w:b w:val="0"/>
                      <w:bCs w:val="0"/>
                      <w:color w:val="auto"/>
                      <w:kern w:val="0"/>
                      <w:vertAlign w:val="baseline"/>
                      <w:lang w:val="en-US" w:eastAsia="zh-CN" w:bidi="ar"/>
                    </w:rPr>
                    <w:t>电石制造。</w:t>
                  </w:r>
                </w:p>
              </w:tc>
              <w:tc>
                <w:tcPr>
                  <w:tcW w:w="1161" w:type="dxa"/>
                  <w:vMerge w:val="continue"/>
                  <w:tcBorders>
                    <w:tl2br w:val="nil"/>
                    <w:tr2bl w:val="nil"/>
                  </w:tcBorders>
                  <w:vAlign w:val="center"/>
                </w:tcPr>
                <w:p w14:paraId="5666CFBB">
                  <w:pPr>
                    <w:widowControl/>
                    <w:adjustRightInd w:val="0"/>
                    <w:snapToGrid w:val="0"/>
                    <w:jc w:val="center"/>
                    <w:rPr>
                      <w:b w:val="0"/>
                      <w:bCs w:val="0"/>
                      <w:color w:val="auto"/>
                      <w:kern w:val="0"/>
                      <w:vertAlign w:val="baseline"/>
                      <w:lang w:bidi="ar"/>
                    </w:rPr>
                  </w:pPr>
                </w:p>
              </w:tc>
            </w:tr>
            <w:tr w14:paraId="606B224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1096" w:type="dxa"/>
                  <w:vMerge w:val="continue"/>
                  <w:tcBorders>
                    <w:tl2br w:val="nil"/>
                    <w:tr2bl w:val="nil"/>
                  </w:tcBorders>
                  <w:vAlign w:val="center"/>
                </w:tcPr>
                <w:p w14:paraId="75773C28">
                  <w:pPr>
                    <w:widowControl/>
                    <w:adjustRightInd w:val="0"/>
                    <w:snapToGrid w:val="0"/>
                    <w:jc w:val="center"/>
                    <w:rPr>
                      <w:b w:val="0"/>
                      <w:bCs w:val="0"/>
                      <w:color w:val="auto"/>
                      <w:kern w:val="0"/>
                      <w:vertAlign w:val="baseline"/>
                      <w:lang w:bidi="ar"/>
                    </w:rPr>
                  </w:pPr>
                </w:p>
              </w:tc>
              <w:tc>
                <w:tcPr>
                  <w:tcW w:w="2927" w:type="dxa"/>
                  <w:tcBorders>
                    <w:tl2br w:val="nil"/>
                    <w:tr2bl w:val="nil"/>
                  </w:tcBorders>
                  <w:vAlign w:val="center"/>
                </w:tcPr>
                <w:p w14:paraId="72D71BF3">
                  <w:pPr>
                    <w:widowControl/>
                    <w:adjustRightInd w:val="0"/>
                    <w:snapToGrid w:val="0"/>
                    <w:jc w:val="center"/>
                    <w:rPr>
                      <w:rFonts w:hint="eastAsia" w:eastAsia="宋体"/>
                      <w:b w:val="0"/>
                      <w:bCs w:val="0"/>
                      <w:color w:val="auto"/>
                      <w:kern w:val="0"/>
                      <w:vertAlign w:val="baseline"/>
                      <w:lang w:val="en-US" w:eastAsia="zh-CN" w:bidi="ar"/>
                    </w:rPr>
                  </w:pPr>
                  <w:r>
                    <w:rPr>
                      <w:rFonts w:hint="eastAsia"/>
                      <w:b w:val="0"/>
                      <w:bCs w:val="0"/>
                      <w:color w:val="auto"/>
                      <w:kern w:val="0"/>
                      <w:vertAlign w:val="baseline"/>
                      <w:lang w:val="en-US" w:eastAsia="zh-CN" w:bidi="ar"/>
                    </w:rPr>
                    <w:t>有机化学原料制造（2614）</w:t>
                  </w:r>
                </w:p>
              </w:tc>
              <w:tc>
                <w:tcPr>
                  <w:tcW w:w="2863" w:type="dxa"/>
                  <w:tcBorders>
                    <w:tl2br w:val="nil"/>
                    <w:tr2bl w:val="nil"/>
                  </w:tcBorders>
                  <w:vAlign w:val="center"/>
                </w:tcPr>
                <w:p w14:paraId="193D195B">
                  <w:pPr>
                    <w:widowControl/>
                    <w:adjustRightInd w:val="0"/>
                    <w:snapToGrid w:val="0"/>
                    <w:jc w:val="center"/>
                    <w:rPr>
                      <w:b w:val="0"/>
                      <w:bCs w:val="0"/>
                      <w:color w:val="auto"/>
                      <w:kern w:val="0"/>
                      <w:vertAlign w:val="baseline"/>
                      <w:lang w:bidi="ar"/>
                    </w:rPr>
                  </w:pPr>
                  <w:r>
                    <w:rPr>
                      <w:rFonts w:hint="eastAsia"/>
                      <w:b w:val="0"/>
                      <w:bCs w:val="0"/>
                      <w:color w:val="auto"/>
                      <w:kern w:val="0"/>
                      <w:vertAlign w:val="baseline"/>
                      <w:lang w:bidi="ar"/>
                    </w:rPr>
                    <w:t>乙烯、丙烯、苯乙烯、电石法氯乙烯、对二甲苯</w:t>
                  </w:r>
                  <w:r>
                    <w:rPr>
                      <w:rFonts w:hint="eastAsia"/>
                      <w:b w:val="0"/>
                      <w:bCs w:val="0"/>
                      <w:color w:val="auto"/>
                      <w:kern w:val="0"/>
                      <w:vertAlign w:val="baseline"/>
                      <w:lang w:eastAsia="zh-CN" w:bidi="ar"/>
                    </w:rPr>
                    <w:t>（</w:t>
                  </w:r>
                  <w:r>
                    <w:rPr>
                      <w:rFonts w:hint="eastAsia"/>
                      <w:b w:val="0"/>
                      <w:bCs w:val="0"/>
                      <w:color w:val="auto"/>
                      <w:kern w:val="0"/>
                      <w:vertAlign w:val="baseline"/>
                      <w:lang w:bidi="ar"/>
                    </w:rPr>
                    <w:t>PX</w:t>
                  </w:r>
                  <w:r>
                    <w:rPr>
                      <w:rFonts w:hint="eastAsia"/>
                      <w:b w:val="0"/>
                      <w:bCs w:val="0"/>
                      <w:color w:val="auto"/>
                      <w:kern w:val="0"/>
                      <w:vertAlign w:val="baseline"/>
                      <w:lang w:eastAsia="zh-CN" w:bidi="ar"/>
                    </w:rPr>
                    <w:t>）</w:t>
                  </w:r>
                  <w:r>
                    <w:rPr>
                      <w:rFonts w:hint="eastAsia"/>
                      <w:b w:val="0"/>
                      <w:bCs w:val="0"/>
                      <w:color w:val="auto"/>
                      <w:kern w:val="0"/>
                      <w:vertAlign w:val="baseline"/>
                      <w:lang w:bidi="ar"/>
                    </w:rPr>
                    <w:t>、醋酸、甲醇</w:t>
                  </w:r>
                  <w:r>
                    <w:rPr>
                      <w:rFonts w:hint="eastAsia"/>
                      <w:b w:val="0"/>
                      <w:bCs w:val="0"/>
                      <w:color w:val="auto"/>
                      <w:kern w:val="0"/>
                      <w:vertAlign w:val="baseline"/>
                      <w:lang w:eastAsia="zh-CN" w:bidi="ar"/>
                    </w:rPr>
                    <w:t>、</w:t>
                  </w:r>
                  <w:r>
                    <w:rPr>
                      <w:rFonts w:hint="eastAsia"/>
                      <w:b w:val="0"/>
                      <w:bCs w:val="0"/>
                      <w:color w:val="auto"/>
                      <w:kern w:val="0"/>
                      <w:vertAlign w:val="baseline"/>
                      <w:lang w:bidi="ar"/>
                    </w:rPr>
                    <w:t>粮食法丁醇、丁二醇、粮食法丙酮</w:t>
                  </w:r>
                  <w:r>
                    <w:rPr>
                      <w:rFonts w:hint="eastAsia"/>
                      <w:b w:val="0"/>
                      <w:bCs w:val="0"/>
                      <w:color w:val="auto"/>
                      <w:kern w:val="0"/>
                      <w:vertAlign w:val="baseline"/>
                      <w:lang w:eastAsia="zh-CN" w:bidi="ar"/>
                    </w:rPr>
                    <w:t>、</w:t>
                  </w:r>
                  <w:r>
                    <w:rPr>
                      <w:rFonts w:hint="eastAsia"/>
                      <w:b w:val="0"/>
                      <w:bCs w:val="0"/>
                      <w:color w:val="auto"/>
                      <w:kern w:val="0"/>
                      <w:vertAlign w:val="baseline"/>
                      <w:lang w:bidi="ar"/>
                    </w:rPr>
                    <w:t>氯醇法环氧丙烷、氯醇法环氧氯丙烷、甲苯二异氰酸酯</w:t>
                  </w:r>
                  <w:r>
                    <w:rPr>
                      <w:rFonts w:hint="eastAsia"/>
                      <w:b w:val="0"/>
                      <w:bCs w:val="0"/>
                      <w:color w:val="auto"/>
                      <w:kern w:val="0"/>
                      <w:vertAlign w:val="baseline"/>
                      <w:lang w:eastAsia="zh-CN" w:bidi="ar"/>
                    </w:rPr>
                    <w:t>（</w:t>
                  </w:r>
                  <w:r>
                    <w:rPr>
                      <w:rFonts w:hint="eastAsia"/>
                      <w:b w:val="0"/>
                      <w:bCs w:val="0"/>
                      <w:color w:val="auto"/>
                      <w:kern w:val="0"/>
                      <w:vertAlign w:val="baseline"/>
                      <w:lang w:bidi="ar"/>
                    </w:rPr>
                    <w:t>TDI</w:t>
                  </w:r>
                  <w:r>
                    <w:rPr>
                      <w:rFonts w:hint="eastAsia"/>
                      <w:b w:val="0"/>
                      <w:bCs w:val="0"/>
                      <w:color w:val="auto"/>
                      <w:kern w:val="0"/>
                      <w:vertAlign w:val="baseline"/>
                      <w:lang w:eastAsia="zh-CN" w:bidi="ar"/>
                    </w:rPr>
                    <w:t>）</w:t>
                  </w:r>
                  <w:r>
                    <w:rPr>
                      <w:rFonts w:hint="eastAsia"/>
                      <w:b w:val="0"/>
                      <w:bCs w:val="0"/>
                      <w:color w:val="auto"/>
                      <w:kern w:val="0"/>
                      <w:vertAlign w:val="baseline"/>
                      <w:lang w:bidi="ar"/>
                    </w:rPr>
                    <w:t>、二苯基甲烷二异氰酸酯</w:t>
                  </w:r>
                  <w:r>
                    <w:rPr>
                      <w:rFonts w:hint="eastAsia"/>
                      <w:b w:val="0"/>
                      <w:bCs w:val="0"/>
                      <w:color w:val="auto"/>
                      <w:kern w:val="0"/>
                      <w:vertAlign w:val="baseline"/>
                      <w:lang w:eastAsia="zh-CN" w:bidi="ar"/>
                    </w:rPr>
                    <w:t>（</w:t>
                  </w:r>
                  <w:r>
                    <w:rPr>
                      <w:rFonts w:hint="eastAsia"/>
                      <w:b w:val="0"/>
                      <w:bCs w:val="0"/>
                      <w:color w:val="auto"/>
                      <w:kern w:val="0"/>
                      <w:vertAlign w:val="baseline"/>
                      <w:lang w:bidi="ar"/>
                    </w:rPr>
                    <w:t>MDI</w:t>
                  </w:r>
                  <w:r>
                    <w:rPr>
                      <w:rFonts w:hint="eastAsia"/>
                      <w:b w:val="0"/>
                      <w:bCs w:val="0"/>
                      <w:color w:val="auto"/>
                      <w:kern w:val="0"/>
                      <w:vertAlign w:val="baseline"/>
                      <w:lang w:eastAsia="zh-CN" w:bidi="ar"/>
                    </w:rPr>
                    <w:t>）</w:t>
                  </w:r>
                  <w:r>
                    <w:rPr>
                      <w:rFonts w:hint="eastAsia"/>
                      <w:b w:val="0"/>
                      <w:bCs w:val="0"/>
                      <w:color w:val="auto"/>
                      <w:kern w:val="0"/>
                      <w:vertAlign w:val="baseline"/>
                      <w:lang w:bidi="ar"/>
                    </w:rPr>
                    <w:t>、丙酮氰醇法甲基丙烯酸甲酯制造。</w:t>
                  </w:r>
                </w:p>
              </w:tc>
              <w:tc>
                <w:tcPr>
                  <w:tcW w:w="1161" w:type="dxa"/>
                  <w:vMerge w:val="continue"/>
                  <w:tcBorders>
                    <w:tl2br w:val="nil"/>
                    <w:tr2bl w:val="nil"/>
                  </w:tcBorders>
                  <w:vAlign w:val="center"/>
                </w:tcPr>
                <w:p w14:paraId="7CB9B2F8">
                  <w:pPr>
                    <w:widowControl/>
                    <w:adjustRightInd w:val="0"/>
                    <w:snapToGrid w:val="0"/>
                    <w:jc w:val="center"/>
                    <w:rPr>
                      <w:b w:val="0"/>
                      <w:bCs w:val="0"/>
                      <w:color w:val="auto"/>
                      <w:kern w:val="0"/>
                      <w:vertAlign w:val="baseline"/>
                      <w:lang w:bidi="ar"/>
                    </w:rPr>
                  </w:pPr>
                </w:p>
              </w:tc>
            </w:tr>
            <w:tr w14:paraId="5CF51EF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1096" w:type="dxa"/>
                  <w:vMerge w:val="continue"/>
                  <w:tcBorders>
                    <w:tl2br w:val="nil"/>
                    <w:tr2bl w:val="nil"/>
                  </w:tcBorders>
                  <w:vAlign w:val="center"/>
                </w:tcPr>
                <w:p w14:paraId="16CB3CC2">
                  <w:pPr>
                    <w:widowControl/>
                    <w:adjustRightInd w:val="0"/>
                    <w:snapToGrid w:val="0"/>
                    <w:jc w:val="center"/>
                    <w:rPr>
                      <w:b w:val="0"/>
                      <w:bCs w:val="0"/>
                      <w:color w:val="auto"/>
                      <w:kern w:val="0"/>
                      <w:vertAlign w:val="baseline"/>
                      <w:lang w:bidi="ar"/>
                    </w:rPr>
                  </w:pPr>
                </w:p>
              </w:tc>
              <w:tc>
                <w:tcPr>
                  <w:tcW w:w="2927" w:type="dxa"/>
                  <w:tcBorders>
                    <w:tl2br w:val="nil"/>
                    <w:tr2bl w:val="nil"/>
                  </w:tcBorders>
                  <w:vAlign w:val="center"/>
                </w:tcPr>
                <w:p w14:paraId="51F395FB">
                  <w:pPr>
                    <w:widowControl/>
                    <w:adjustRightInd w:val="0"/>
                    <w:snapToGrid w:val="0"/>
                    <w:jc w:val="center"/>
                    <w:rPr>
                      <w:rFonts w:hint="eastAsia" w:eastAsia="宋体"/>
                      <w:b w:val="0"/>
                      <w:bCs w:val="0"/>
                      <w:color w:val="auto"/>
                      <w:kern w:val="0"/>
                      <w:vertAlign w:val="baseline"/>
                      <w:lang w:val="en-US" w:eastAsia="zh-CN" w:bidi="ar"/>
                    </w:rPr>
                  </w:pPr>
                  <w:r>
                    <w:rPr>
                      <w:rFonts w:hint="eastAsia"/>
                      <w:b w:val="0"/>
                      <w:bCs w:val="0"/>
                      <w:color w:val="auto"/>
                      <w:kern w:val="0"/>
                      <w:vertAlign w:val="baseline"/>
                      <w:lang w:val="en-US" w:eastAsia="zh-CN" w:bidi="ar"/>
                    </w:rPr>
                    <w:t>其他基础化学原料制造（2619）</w:t>
                  </w:r>
                </w:p>
              </w:tc>
              <w:tc>
                <w:tcPr>
                  <w:tcW w:w="2863" w:type="dxa"/>
                  <w:tcBorders>
                    <w:tl2br w:val="nil"/>
                    <w:tr2bl w:val="nil"/>
                  </w:tcBorders>
                  <w:vAlign w:val="center"/>
                </w:tcPr>
                <w:p w14:paraId="65C898D6">
                  <w:pPr>
                    <w:widowControl/>
                    <w:adjustRightInd w:val="0"/>
                    <w:snapToGrid w:val="0"/>
                    <w:jc w:val="center"/>
                    <w:rPr>
                      <w:rFonts w:hint="eastAsia" w:eastAsia="宋体"/>
                      <w:b w:val="0"/>
                      <w:bCs w:val="0"/>
                      <w:color w:val="auto"/>
                      <w:kern w:val="0"/>
                      <w:vertAlign w:val="baseline"/>
                      <w:lang w:val="en-US" w:eastAsia="zh-CN" w:bidi="ar"/>
                    </w:rPr>
                  </w:pPr>
                  <w:r>
                    <w:rPr>
                      <w:rFonts w:hint="eastAsia"/>
                      <w:b w:val="0"/>
                      <w:bCs w:val="0"/>
                      <w:color w:val="auto"/>
                      <w:kern w:val="0"/>
                      <w:vertAlign w:val="baseline"/>
                      <w:lang w:val="en-US" w:eastAsia="zh-CN" w:bidi="ar"/>
                    </w:rPr>
                    <w:t>黄磷制造。</w:t>
                  </w:r>
                </w:p>
              </w:tc>
              <w:tc>
                <w:tcPr>
                  <w:tcW w:w="1161" w:type="dxa"/>
                  <w:vMerge w:val="continue"/>
                  <w:tcBorders>
                    <w:tl2br w:val="nil"/>
                    <w:tr2bl w:val="nil"/>
                  </w:tcBorders>
                  <w:vAlign w:val="center"/>
                </w:tcPr>
                <w:p w14:paraId="0EAA44B9">
                  <w:pPr>
                    <w:widowControl/>
                    <w:adjustRightInd w:val="0"/>
                    <w:snapToGrid w:val="0"/>
                    <w:jc w:val="center"/>
                    <w:rPr>
                      <w:b w:val="0"/>
                      <w:bCs w:val="0"/>
                      <w:color w:val="auto"/>
                      <w:kern w:val="0"/>
                      <w:vertAlign w:val="baseline"/>
                      <w:lang w:bidi="ar"/>
                    </w:rPr>
                  </w:pPr>
                </w:p>
              </w:tc>
            </w:tr>
            <w:tr w14:paraId="4560A64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1096" w:type="dxa"/>
                  <w:vMerge w:val="continue"/>
                  <w:tcBorders>
                    <w:tl2br w:val="nil"/>
                    <w:tr2bl w:val="nil"/>
                  </w:tcBorders>
                  <w:vAlign w:val="center"/>
                </w:tcPr>
                <w:p w14:paraId="02850E77">
                  <w:pPr>
                    <w:widowControl/>
                    <w:adjustRightInd w:val="0"/>
                    <w:snapToGrid w:val="0"/>
                    <w:jc w:val="center"/>
                    <w:rPr>
                      <w:b w:val="0"/>
                      <w:bCs w:val="0"/>
                      <w:color w:val="auto"/>
                      <w:kern w:val="0"/>
                      <w:vertAlign w:val="baseline"/>
                      <w:lang w:bidi="ar"/>
                    </w:rPr>
                  </w:pPr>
                </w:p>
              </w:tc>
              <w:tc>
                <w:tcPr>
                  <w:tcW w:w="2927" w:type="dxa"/>
                  <w:tcBorders>
                    <w:tl2br w:val="nil"/>
                    <w:tr2bl w:val="nil"/>
                  </w:tcBorders>
                  <w:vAlign w:val="center"/>
                </w:tcPr>
                <w:p w14:paraId="27C37F98">
                  <w:pPr>
                    <w:widowControl/>
                    <w:adjustRightInd w:val="0"/>
                    <w:snapToGrid w:val="0"/>
                    <w:jc w:val="center"/>
                    <w:rPr>
                      <w:rFonts w:hint="eastAsia" w:eastAsia="宋体"/>
                      <w:b w:val="0"/>
                      <w:bCs w:val="0"/>
                      <w:color w:val="auto"/>
                      <w:kern w:val="0"/>
                      <w:vertAlign w:val="baseline"/>
                      <w:lang w:val="en-US" w:eastAsia="zh-CN" w:bidi="ar"/>
                    </w:rPr>
                  </w:pPr>
                  <w:r>
                    <w:rPr>
                      <w:rFonts w:hint="eastAsia"/>
                      <w:b w:val="0"/>
                      <w:bCs w:val="0"/>
                      <w:color w:val="auto"/>
                      <w:kern w:val="0"/>
                      <w:vertAlign w:val="baseline"/>
                      <w:lang w:val="en-US" w:eastAsia="zh-CN" w:bidi="ar"/>
                    </w:rPr>
                    <w:t>氮肥制造（2621）</w:t>
                  </w:r>
                </w:p>
              </w:tc>
              <w:tc>
                <w:tcPr>
                  <w:tcW w:w="2863" w:type="dxa"/>
                  <w:tcBorders>
                    <w:tl2br w:val="nil"/>
                    <w:tr2bl w:val="nil"/>
                  </w:tcBorders>
                  <w:vAlign w:val="center"/>
                </w:tcPr>
                <w:p w14:paraId="6835B2DA">
                  <w:pPr>
                    <w:widowControl/>
                    <w:adjustRightInd w:val="0"/>
                    <w:snapToGrid w:val="0"/>
                    <w:jc w:val="center"/>
                    <w:rPr>
                      <w:rFonts w:hint="default" w:eastAsia="宋体"/>
                      <w:b w:val="0"/>
                      <w:bCs w:val="0"/>
                      <w:color w:val="auto"/>
                      <w:kern w:val="0"/>
                      <w:vertAlign w:val="baseline"/>
                      <w:lang w:val="en-US" w:eastAsia="zh-CN" w:bidi="ar"/>
                    </w:rPr>
                  </w:pPr>
                  <w:r>
                    <w:rPr>
                      <w:rFonts w:hint="eastAsia"/>
                      <w:b w:val="0"/>
                      <w:bCs w:val="0"/>
                      <w:color w:val="auto"/>
                      <w:kern w:val="0"/>
                      <w:vertAlign w:val="baseline"/>
                      <w:lang w:val="en-US" w:eastAsia="zh-CN" w:bidi="ar"/>
                    </w:rPr>
                    <w:t>--</w:t>
                  </w:r>
                </w:p>
              </w:tc>
              <w:tc>
                <w:tcPr>
                  <w:tcW w:w="1161" w:type="dxa"/>
                  <w:vMerge w:val="continue"/>
                  <w:tcBorders>
                    <w:tl2br w:val="nil"/>
                    <w:tr2bl w:val="nil"/>
                  </w:tcBorders>
                  <w:vAlign w:val="center"/>
                </w:tcPr>
                <w:p w14:paraId="66E8FC80">
                  <w:pPr>
                    <w:widowControl/>
                    <w:adjustRightInd w:val="0"/>
                    <w:snapToGrid w:val="0"/>
                    <w:jc w:val="center"/>
                    <w:rPr>
                      <w:b w:val="0"/>
                      <w:bCs w:val="0"/>
                      <w:color w:val="auto"/>
                      <w:kern w:val="0"/>
                      <w:vertAlign w:val="baseline"/>
                      <w:lang w:bidi="ar"/>
                    </w:rPr>
                  </w:pPr>
                </w:p>
              </w:tc>
            </w:tr>
            <w:tr w14:paraId="738DF88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1096" w:type="dxa"/>
                  <w:vMerge w:val="continue"/>
                  <w:tcBorders>
                    <w:tl2br w:val="nil"/>
                    <w:tr2bl w:val="nil"/>
                  </w:tcBorders>
                  <w:vAlign w:val="center"/>
                </w:tcPr>
                <w:p w14:paraId="74F9DDBD">
                  <w:pPr>
                    <w:widowControl/>
                    <w:adjustRightInd w:val="0"/>
                    <w:snapToGrid w:val="0"/>
                    <w:jc w:val="center"/>
                    <w:rPr>
                      <w:b w:val="0"/>
                      <w:bCs w:val="0"/>
                      <w:color w:val="auto"/>
                      <w:kern w:val="0"/>
                      <w:vertAlign w:val="baseline"/>
                      <w:lang w:bidi="ar"/>
                    </w:rPr>
                  </w:pPr>
                </w:p>
              </w:tc>
              <w:tc>
                <w:tcPr>
                  <w:tcW w:w="2927" w:type="dxa"/>
                  <w:tcBorders>
                    <w:tl2br w:val="nil"/>
                    <w:tr2bl w:val="nil"/>
                  </w:tcBorders>
                  <w:vAlign w:val="center"/>
                </w:tcPr>
                <w:p w14:paraId="73414C07">
                  <w:pPr>
                    <w:widowControl/>
                    <w:adjustRightInd w:val="0"/>
                    <w:snapToGrid w:val="0"/>
                    <w:jc w:val="center"/>
                    <w:rPr>
                      <w:rFonts w:hint="eastAsia" w:eastAsia="宋体"/>
                      <w:b w:val="0"/>
                      <w:bCs w:val="0"/>
                      <w:color w:val="auto"/>
                      <w:kern w:val="0"/>
                      <w:vertAlign w:val="baseline"/>
                      <w:lang w:val="en-US" w:eastAsia="zh-CN" w:bidi="ar"/>
                    </w:rPr>
                  </w:pPr>
                  <w:r>
                    <w:rPr>
                      <w:rFonts w:hint="eastAsia"/>
                      <w:b w:val="0"/>
                      <w:bCs w:val="0"/>
                      <w:color w:val="auto"/>
                      <w:kern w:val="0"/>
                      <w:vertAlign w:val="baseline"/>
                      <w:lang w:val="en-US" w:eastAsia="zh-CN" w:bidi="ar"/>
                    </w:rPr>
                    <w:t>磷肥制造（2622）</w:t>
                  </w:r>
                </w:p>
              </w:tc>
              <w:tc>
                <w:tcPr>
                  <w:tcW w:w="2863" w:type="dxa"/>
                  <w:tcBorders>
                    <w:tl2br w:val="nil"/>
                    <w:tr2bl w:val="nil"/>
                  </w:tcBorders>
                  <w:vAlign w:val="center"/>
                </w:tcPr>
                <w:p w14:paraId="03E8A5C6">
                  <w:pPr>
                    <w:widowControl/>
                    <w:adjustRightInd w:val="0"/>
                    <w:snapToGrid w:val="0"/>
                    <w:jc w:val="center"/>
                    <w:rPr>
                      <w:rFonts w:hint="default" w:eastAsia="宋体"/>
                      <w:b w:val="0"/>
                      <w:bCs w:val="0"/>
                      <w:color w:val="auto"/>
                      <w:kern w:val="0"/>
                      <w:vertAlign w:val="baseline"/>
                      <w:lang w:val="en-US" w:eastAsia="zh-CN" w:bidi="ar"/>
                    </w:rPr>
                  </w:pPr>
                  <w:r>
                    <w:rPr>
                      <w:rFonts w:hint="eastAsia"/>
                      <w:b w:val="0"/>
                      <w:bCs w:val="0"/>
                      <w:color w:val="auto"/>
                      <w:kern w:val="0"/>
                      <w:vertAlign w:val="baseline"/>
                      <w:lang w:val="en-US" w:eastAsia="zh-CN" w:bidi="ar"/>
                    </w:rPr>
                    <w:t>--</w:t>
                  </w:r>
                </w:p>
              </w:tc>
              <w:tc>
                <w:tcPr>
                  <w:tcW w:w="1161" w:type="dxa"/>
                  <w:vMerge w:val="continue"/>
                  <w:tcBorders>
                    <w:tl2br w:val="nil"/>
                    <w:tr2bl w:val="nil"/>
                  </w:tcBorders>
                  <w:vAlign w:val="center"/>
                </w:tcPr>
                <w:p w14:paraId="014D959E">
                  <w:pPr>
                    <w:widowControl/>
                    <w:adjustRightInd w:val="0"/>
                    <w:snapToGrid w:val="0"/>
                    <w:jc w:val="center"/>
                    <w:rPr>
                      <w:b w:val="0"/>
                      <w:bCs w:val="0"/>
                      <w:color w:val="auto"/>
                      <w:kern w:val="0"/>
                      <w:vertAlign w:val="baseline"/>
                      <w:lang w:bidi="ar"/>
                    </w:rPr>
                  </w:pPr>
                </w:p>
              </w:tc>
            </w:tr>
            <w:tr w14:paraId="698A408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1096" w:type="dxa"/>
                  <w:vMerge w:val="continue"/>
                  <w:tcBorders>
                    <w:tl2br w:val="nil"/>
                    <w:tr2bl w:val="nil"/>
                  </w:tcBorders>
                  <w:vAlign w:val="center"/>
                </w:tcPr>
                <w:p w14:paraId="2F6E1E09">
                  <w:pPr>
                    <w:widowControl/>
                    <w:adjustRightInd w:val="0"/>
                    <w:snapToGrid w:val="0"/>
                    <w:jc w:val="center"/>
                    <w:rPr>
                      <w:b w:val="0"/>
                      <w:bCs w:val="0"/>
                      <w:color w:val="auto"/>
                      <w:kern w:val="0"/>
                      <w:vertAlign w:val="baseline"/>
                      <w:lang w:bidi="ar"/>
                    </w:rPr>
                  </w:pPr>
                </w:p>
              </w:tc>
              <w:tc>
                <w:tcPr>
                  <w:tcW w:w="2927" w:type="dxa"/>
                  <w:tcBorders>
                    <w:tl2br w:val="nil"/>
                    <w:tr2bl w:val="nil"/>
                  </w:tcBorders>
                  <w:vAlign w:val="center"/>
                </w:tcPr>
                <w:p w14:paraId="5B6745A8">
                  <w:pPr>
                    <w:widowControl/>
                    <w:adjustRightInd w:val="0"/>
                    <w:snapToGrid w:val="0"/>
                    <w:jc w:val="center"/>
                    <w:rPr>
                      <w:rFonts w:hint="eastAsia" w:eastAsia="宋体"/>
                      <w:b w:val="0"/>
                      <w:bCs w:val="0"/>
                      <w:color w:val="auto"/>
                      <w:kern w:val="0"/>
                      <w:vertAlign w:val="baseline"/>
                      <w:lang w:val="en-US" w:eastAsia="zh-CN" w:bidi="ar"/>
                    </w:rPr>
                  </w:pPr>
                  <w:r>
                    <w:rPr>
                      <w:rFonts w:hint="eastAsia"/>
                      <w:b w:val="0"/>
                      <w:bCs w:val="0"/>
                      <w:color w:val="auto"/>
                      <w:kern w:val="0"/>
                      <w:vertAlign w:val="baseline"/>
                      <w:lang w:val="en-US" w:eastAsia="zh-CN" w:bidi="ar"/>
                    </w:rPr>
                    <w:t>钾肥制造（2623）</w:t>
                  </w:r>
                </w:p>
              </w:tc>
              <w:tc>
                <w:tcPr>
                  <w:tcW w:w="2863" w:type="dxa"/>
                  <w:tcBorders>
                    <w:tl2br w:val="nil"/>
                    <w:tr2bl w:val="nil"/>
                  </w:tcBorders>
                  <w:vAlign w:val="center"/>
                </w:tcPr>
                <w:p w14:paraId="316CE7A9">
                  <w:pPr>
                    <w:widowControl/>
                    <w:adjustRightInd w:val="0"/>
                    <w:snapToGrid w:val="0"/>
                    <w:jc w:val="center"/>
                    <w:rPr>
                      <w:rFonts w:hint="default" w:eastAsia="宋体"/>
                      <w:b w:val="0"/>
                      <w:bCs w:val="0"/>
                      <w:color w:val="auto"/>
                      <w:kern w:val="0"/>
                      <w:vertAlign w:val="baseline"/>
                      <w:lang w:val="en-US" w:eastAsia="zh-CN" w:bidi="ar"/>
                    </w:rPr>
                  </w:pPr>
                  <w:r>
                    <w:rPr>
                      <w:rFonts w:hint="eastAsia"/>
                      <w:b w:val="0"/>
                      <w:bCs w:val="0"/>
                      <w:color w:val="auto"/>
                      <w:kern w:val="0"/>
                      <w:vertAlign w:val="baseline"/>
                      <w:lang w:val="en-US" w:eastAsia="zh-CN" w:bidi="ar"/>
                    </w:rPr>
                    <w:t>--</w:t>
                  </w:r>
                </w:p>
              </w:tc>
              <w:tc>
                <w:tcPr>
                  <w:tcW w:w="1161" w:type="dxa"/>
                  <w:vMerge w:val="continue"/>
                  <w:tcBorders>
                    <w:tl2br w:val="nil"/>
                    <w:tr2bl w:val="nil"/>
                  </w:tcBorders>
                  <w:vAlign w:val="center"/>
                </w:tcPr>
                <w:p w14:paraId="52E48B32">
                  <w:pPr>
                    <w:widowControl/>
                    <w:adjustRightInd w:val="0"/>
                    <w:snapToGrid w:val="0"/>
                    <w:jc w:val="center"/>
                    <w:rPr>
                      <w:b w:val="0"/>
                      <w:bCs w:val="0"/>
                      <w:color w:val="auto"/>
                      <w:kern w:val="0"/>
                      <w:vertAlign w:val="baseline"/>
                      <w:lang w:bidi="ar"/>
                    </w:rPr>
                  </w:pPr>
                </w:p>
              </w:tc>
            </w:tr>
            <w:tr w14:paraId="432CB08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1096" w:type="dxa"/>
                  <w:vMerge w:val="continue"/>
                  <w:tcBorders>
                    <w:tl2br w:val="nil"/>
                    <w:tr2bl w:val="nil"/>
                  </w:tcBorders>
                  <w:vAlign w:val="center"/>
                </w:tcPr>
                <w:p w14:paraId="3F6DF51E">
                  <w:pPr>
                    <w:widowControl/>
                    <w:adjustRightInd w:val="0"/>
                    <w:snapToGrid w:val="0"/>
                    <w:jc w:val="center"/>
                    <w:rPr>
                      <w:b w:val="0"/>
                      <w:bCs w:val="0"/>
                      <w:color w:val="auto"/>
                      <w:kern w:val="0"/>
                      <w:vertAlign w:val="baseline"/>
                      <w:lang w:bidi="ar"/>
                    </w:rPr>
                  </w:pPr>
                </w:p>
              </w:tc>
              <w:tc>
                <w:tcPr>
                  <w:tcW w:w="2927" w:type="dxa"/>
                  <w:tcBorders>
                    <w:tl2br w:val="nil"/>
                    <w:tr2bl w:val="nil"/>
                  </w:tcBorders>
                  <w:vAlign w:val="center"/>
                </w:tcPr>
                <w:p w14:paraId="4A449BC2">
                  <w:pPr>
                    <w:widowControl/>
                    <w:adjustRightInd w:val="0"/>
                    <w:snapToGrid w:val="0"/>
                    <w:jc w:val="center"/>
                    <w:rPr>
                      <w:rFonts w:hint="eastAsia" w:eastAsia="宋体"/>
                      <w:b w:val="0"/>
                      <w:bCs w:val="0"/>
                      <w:color w:val="auto"/>
                      <w:kern w:val="0"/>
                      <w:vertAlign w:val="baseline"/>
                      <w:lang w:val="en-US" w:eastAsia="zh-CN" w:bidi="ar"/>
                    </w:rPr>
                  </w:pPr>
                  <w:r>
                    <w:rPr>
                      <w:rFonts w:hint="eastAsia"/>
                      <w:b w:val="0"/>
                      <w:bCs w:val="0"/>
                      <w:color w:val="auto"/>
                      <w:kern w:val="0"/>
                      <w:vertAlign w:val="baseline"/>
                      <w:lang w:val="en-US" w:eastAsia="zh-CN" w:bidi="ar"/>
                    </w:rPr>
                    <w:t>工业颜料制造（2643）</w:t>
                  </w:r>
                </w:p>
              </w:tc>
              <w:tc>
                <w:tcPr>
                  <w:tcW w:w="2863" w:type="dxa"/>
                  <w:tcBorders>
                    <w:tl2br w:val="nil"/>
                    <w:tr2bl w:val="nil"/>
                  </w:tcBorders>
                  <w:vAlign w:val="center"/>
                </w:tcPr>
                <w:p w14:paraId="35F4F206">
                  <w:pPr>
                    <w:widowControl/>
                    <w:adjustRightInd w:val="0"/>
                    <w:snapToGrid w:val="0"/>
                    <w:jc w:val="center"/>
                    <w:rPr>
                      <w:b w:val="0"/>
                      <w:bCs w:val="0"/>
                      <w:color w:val="auto"/>
                      <w:kern w:val="0"/>
                      <w:vertAlign w:val="baseline"/>
                      <w:lang w:bidi="ar"/>
                    </w:rPr>
                  </w:pPr>
                  <w:r>
                    <w:rPr>
                      <w:rFonts w:hint="eastAsia"/>
                      <w:b w:val="0"/>
                      <w:bCs w:val="0"/>
                      <w:color w:val="auto"/>
                      <w:kern w:val="0"/>
                      <w:vertAlign w:val="baseline"/>
                      <w:lang w:bidi="ar"/>
                    </w:rPr>
                    <w:t>立德粉、钛白粉、铅铬黄、氧化铁系颜料制造。</w:t>
                  </w:r>
                </w:p>
              </w:tc>
              <w:tc>
                <w:tcPr>
                  <w:tcW w:w="1161" w:type="dxa"/>
                  <w:vMerge w:val="continue"/>
                  <w:tcBorders>
                    <w:tl2br w:val="nil"/>
                    <w:tr2bl w:val="nil"/>
                  </w:tcBorders>
                  <w:vAlign w:val="center"/>
                </w:tcPr>
                <w:p w14:paraId="6FC00070">
                  <w:pPr>
                    <w:widowControl/>
                    <w:adjustRightInd w:val="0"/>
                    <w:snapToGrid w:val="0"/>
                    <w:jc w:val="center"/>
                    <w:rPr>
                      <w:b w:val="0"/>
                      <w:bCs w:val="0"/>
                      <w:color w:val="auto"/>
                      <w:kern w:val="0"/>
                      <w:vertAlign w:val="baseline"/>
                      <w:lang w:bidi="ar"/>
                    </w:rPr>
                  </w:pPr>
                </w:p>
              </w:tc>
            </w:tr>
            <w:tr w14:paraId="64D81E7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1096" w:type="dxa"/>
                  <w:vMerge w:val="continue"/>
                  <w:tcBorders>
                    <w:tl2br w:val="nil"/>
                    <w:tr2bl w:val="nil"/>
                  </w:tcBorders>
                  <w:vAlign w:val="center"/>
                </w:tcPr>
                <w:p w14:paraId="0E18A221">
                  <w:pPr>
                    <w:widowControl/>
                    <w:adjustRightInd w:val="0"/>
                    <w:snapToGrid w:val="0"/>
                    <w:jc w:val="center"/>
                    <w:rPr>
                      <w:b w:val="0"/>
                      <w:bCs w:val="0"/>
                      <w:color w:val="auto"/>
                      <w:kern w:val="0"/>
                      <w:vertAlign w:val="baseline"/>
                      <w:lang w:bidi="ar"/>
                    </w:rPr>
                  </w:pPr>
                </w:p>
              </w:tc>
              <w:tc>
                <w:tcPr>
                  <w:tcW w:w="2927" w:type="dxa"/>
                  <w:tcBorders>
                    <w:tl2br w:val="nil"/>
                    <w:tr2bl w:val="nil"/>
                  </w:tcBorders>
                  <w:vAlign w:val="center"/>
                </w:tcPr>
                <w:p w14:paraId="116C90D8">
                  <w:pPr>
                    <w:widowControl/>
                    <w:adjustRightInd w:val="0"/>
                    <w:snapToGrid w:val="0"/>
                    <w:jc w:val="center"/>
                    <w:rPr>
                      <w:rFonts w:hint="default" w:eastAsia="宋体"/>
                      <w:b w:val="0"/>
                      <w:bCs w:val="0"/>
                      <w:color w:val="auto"/>
                      <w:kern w:val="0"/>
                      <w:vertAlign w:val="baseline"/>
                      <w:lang w:val="en-US" w:eastAsia="zh-CN" w:bidi="ar"/>
                    </w:rPr>
                  </w:pPr>
                  <w:r>
                    <w:rPr>
                      <w:rFonts w:hint="eastAsia"/>
                      <w:b w:val="0"/>
                      <w:bCs w:val="0"/>
                      <w:color w:val="auto"/>
                      <w:kern w:val="0"/>
                      <w:vertAlign w:val="baseline"/>
                      <w:lang w:val="en-US" w:eastAsia="zh-CN" w:bidi="ar"/>
                    </w:rPr>
                    <w:t>初级形态塑料及合成树脂制造（2651）</w:t>
                  </w:r>
                </w:p>
              </w:tc>
              <w:tc>
                <w:tcPr>
                  <w:tcW w:w="2863" w:type="dxa"/>
                  <w:tcBorders>
                    <w:tl2br w:val="nil"/>
                    <w:tr2bl w:val="nil"/>
                  </w:tcBorders>
                  <w:vAlign w:val="center"/>
                </w:tcPr>
                <w:p w14:paraId="2AFFD9BC">
                  <w:pPr>
                    <w:widowControl/>
                    <w:adjustRightInd w:val="0"/>
                    <w:snapToGrid w:val="0"/>
                    <w:jc w:val="center"/>
                    <w:rPr>
                      <w:rFonts w:hint="default" w:eastAsia="宋体"/>
                      <w:b w:val="0"/>
                      <w:bCs w:val="0"/>
                      <w:color w:val="auto"/>
                      <w:kern w:val="0"/>
                      <w:vertAlign w:val="baseline"/>
                      <w:lang w:val="en-US" w:eastAsia="zh-CN" w:bidi="ar"/>
                    </w:rPr>
                  </w:pPr>
                  <w:r>
                    <w:rPr>
                      <w:rFonts w:hint="eastAsia"/>
                      <w:b w:val="0"/>
                      <w:bCs w:val="0"/>
                      <w:color w:val="auto"/>
                      <w:kern w:val="0"/>
                      <w:vertAlign w:val="baseline"/>
                      <w:lang w:val="en-US" w:eastAsia="zh-CN" w:bidi="ar"/>
                    </w:rPr>
                    <w:t>电石法聚氯乙烯制造。</w:t>
                  </w:r>
                </w:p>
              </w:tc>
              <w:tc>
                <w:tcPr>
                  <w:tcW w:w="1161" w:type="dxa"/>
                  <w:vMerge w:val="continue"/>
                  <w:tcBorders>
                    <w:tl2br w:val="nil"/>
                    <w:tr2bl w:val="nil"/>
                  </w:tcBorders>
                  <w:vAlign w:val="center"/>
                </w:tcPr>
                <w:p w14:paraId="3725D330">
                  <w:pPr>
                    <w:widowControl/>
                    <w:adjustRightInd w:val="0"/>
                    <w:snapToGrid w:val="0"/>
                    <w:jc w:val="center"/>
                    <w:rPr>
                      <w:b w:val="0"/>
                      <w:bCs w:val="0"/>
                      <w:color w:val="auto"/>
                      <w:kern w:val="0"/>
                      <w:vertAlign w:val="baseline"/>
                      <w:lang w:bidi="ar"/>
                    </w:rPr>
                  </w:pPr>
                </w:p>
              </w:tc>
            </w:tr>
            <w:tr w14:paraId="7B1D302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1096" w:type="dxa"/>
                  <w:vMerge w:val="continue"/>
                  <w:tcBorders>
                    <w:tl2br w:val="nil"/>
                    <w:tr2bl w:val="nil"/>
                  </w:tcBorders>
                  <w:vAlign w:val="center"/>
                </w:tcPr>
                <w:p w14:paraId="33714705">
                  <w:pPr>
                    <w:widowControl/>
                    <w:adjustRightInd w:val="0"/>
                    <w:snapToGrid w:val="0"/>
                    <w:jc w:val="center"/>
                    <w:rPr>
                      <w:b w:val="0"/>
                      <w:bCs w:val="0"/>
                      <w:color w:val="auto"/>
                      <w:kern w:val="0"/>
                      <w:vertAlign w:val="baseline"/>
                      <w:lang w:bidi="ar"/>
                    </w:rPr>
                  </w:pPr>
                </w:p>
              </w:tc>
              <w:tc>
                <w:tcPr>
                  <w:tcW w:w="2927" w:type="dxa"/>
                  <w:tcBorders>
                    <w:tl2br w:val="nil"/>
                    <w:tr2bl w:val="nil"/>
                  </w:tcBorders>
                  <w:vAlign w:val="center"/>
                </w:tcPr>
                <w:p w14:paraId="074C3115">
                  <w:pPr>
                    <w:widowControl/>
                    <w:adjustRightInd w:val="0"/>
                    <w:snapToGrid w:val="0"/>
                    <w:jc w:val="center"/>
                    <w:rPr>
                      <w:rFonts w:hint="eastAsia" w:eastAsia="宋体"/>
                      <w:b w:val="0"/>
                      <w:bCs w:val="0"/>
                      <w:color w:val="auto"/>
                      <w:kern w:val="0"/>
                      <w:vertAlign w:val="baseline"/>
                      <w:lang w:val="en-US" w:eastAsia="zh-CN" w:bidi="ar"/>
                    </w:rPr>
                  </w:pPr>
                  <w:r>
                    <w:rPr>
                      <w:rFonts w:hint="eastAsia"/>
                      <w:b w:val="0"/>
                      <w:bCs w:val="0"/>
                      <w:color w:val="auto"/>
                      <w:kern w:val="0"/>
                      <w:vertAlign w:val="baseline"/>
                      <w:lang w:val="en-US" w:eastAsia="zh-CN" w:bidi="ar"/>
                    </w:rPr>
                    <w:t>合成橡胶制造（2652）</w:t>
                  </w:r>
                </w:p>
              </w:tc>
              <w:tc>
                <w:tcPr>
                  <w:tcW w:w="2863" w:type="dxa"/>
                  <w:tcBorders>
                    <w:tl2br w:val="nil"/>
                    <w:tr2bl w:val="nil"/>
                  </w:tcBorders>
                  <w:vAlign w:val="center"/>
                </w:tcPr>
                <w:p w14:paraId="5ECE2229">
                  <w:pPr>
                    <w:widowControl/>
                    <w:adjustRightInd w:val="0"/>
                    <w:snapToGrid w:val="0"/>
                    <w:jc w:val="center"/>
                    <w:rPr>
                      <w:rFonts w:hint="default" w:eastAsia="宋体"/>
                      <w:b w:val="0"/>
                      <w:bCs w:val="0"/>
                      <w:color w:val="auto"/>
                      <w:kern w:val="0"/>
                      <w:vertAlign w:val="baseline"/>
                      <w:lang w:val="en-US" w:eastAsia="zh-CN" w:bidi="ar"/>
                    </w:rPr>
                  </w:pPr>
                  <w:r>
                    <w:rPr>
                      <w:rFonts w:hint="eastAsia"/>
                      <w:b w:val="0"/>
                      <w:bCs w:val="0"/>
                      <w:color w:val="auto"/>
                      <w:kern w:val="0"/>
                      <w:vertAlign w:val="baseline"/>
                      <w:lang w:val="en-US" w:eastAsia="zh-CN" w:bidi="ar"/>
                    </w:rPr>
                    <w:t>四氯化碳溶剂法氯化橡胶制造。</w:t>
                  </w:r>
                </w:p>
              </w:tc>
              <w:tc>
                <w:tcPr>
                  <w:tcW w:w="1161" w:type="dxa"/>
                  <w:vMerge w:val="continue"/>
                  <w:tcBorders>
                    <w:tl2br w:val="nil"/>
                    <w:tr2bl w:val="nil"/>
                  </w:tcBorders>
                  <w:vAlign w:val="center"/>
                </w:tcPr>
                <w:p w14:paraId="3661C400">
                  <w:pPr>
                    <w:widowControl/>
                    <w:adjustRightInd w:val="0"/>
                    <w:snapToGrid w:val="0"/>
                    <w:jc w:val="center"/>
                    <w:rPr>
                      <w:b w:val="0"/>
                      <w:bCs w:val="0"/>
                      <w:color w:val="auto"/>
                      <w:kern w:val="0"/>
                      <w:vertAlign w:val="baseline"/>
                      <w:lang w:bidi="ar"/>
                    </w:rPr>
                  </w:pPr>
                </w:p>
              </w:tc>
            </w:tr>
            <w:tr w14:paraId="7697251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1096" w:type="dxa"/>
                  <w:vMerge w:val="continue"/>
                  <w:tcBorders>
                    <w:tl2br w:val="nil"/>
                    <w:tr2bl w:val="nil"/>
                  </w:tcBorders>
                  <w:vAlign w:val="center"/>
                </w:tcPr>
                <w:p w14:paraId="28BA289C">
                  <w:pPr>
                    <w:widowControl/>
                    <w:adjustRightInd w:val="0"/>
                    <w:snapToGrid w:val="0"/>
                    <w:jc w:val="center"/>
                    <w:rPr>
                      <w:b w:val="0"/>
                      <w:bCs w:val="0"/>
                      <w:color w:val="auto"/>
                      <w:kern w:val="0"/>
                      <w:vertAlign w:val="baseline"/>
                      <w:lang w:bidi="ar"/>
                    </w:rPr>
                  </w:pPr>
                </w:p>
              </w:tc>
              <w:tc>
                <w:tcPr>
                  <w:tcW w:w="2927" w:type="dxa"/>
                  <w:tcBorders>
                    <w:tl2br w:val="nil"/>
                    <w:tr2bl w:val="nil"/>
                  </w:tcBorders>
                  <w:vAlign w:val="center"/>
                </w:tcPr>
                <w:p w14:paraId="7CC72484">
                  <w:pPr>
                    <w:widowControl/>
                    <w:adjustRightInd w:val="0"/>
                    <w:snapToGrid w:val="0"/>
                    <w:jc w:val="center"/>
                    <w:rPr>
                      <w:rFonts w:hint="default" w:eastAsia="宋体"/>
                      <w:b w:val="0"/>
                      <w:bCs w:val="0"/>
                      <w:color w:val="auto"/>
                      <w:kern w:val="0"/>
                      <w:vertAlign w:val="baseline"/>
                      <w:lang w:val="en-US" w:eastAsia="zh-CN" w:bidi="ar"/>
                    </w:rPr>
                  </w:pPr>
                  <w:r>
                    <w:rPr>
                      <w:rFonts w:hint="eastAsia"/>
                      <w:b w:val="0"/>
                      <w:bCs w:val="0"/>
                      <w:color w:val="auto"/>
                      <w:kern w:val="0"/>
                      <w:vertAlign w:val="baseline"/>
                      <w:lang w:val="en-US" w:eastAsia="zh-CN" w:bidi="ar"/>
                    </w:rPr>
                    <w:t>合成纤维单（聚合）体制造（2653）</w:t>
                  </w:r>
                </w:p>
              </w:tc>
              <w:tc>
                <w:tcPr>
                  <w:tcW w:w="2863" w:type="dxa"/>
                  <w:tcBorders>
                    <w:tl2br w:val="nil"/>
                    <w:tr2bl w:val="nil"/>
                  </w:tcBorders>
                  <w:vAlign w:val="center"/>
                </w:tcPr>
                <w:p w14:paraId="3E7B4D74">
                  <w:pPr>
                    <w:widowControl/>
                    <w:adjustRightInd w:val="0"/>
                    <w:snapToGrid w:val="0"/>
                    <w:jc w:val="center"/>
                    <w:rPr>
                      <w:rFonts w:hint="default" w:eastAsia="宋体"/>
                      <w:b w:val="0"/>
                      <w:bCs w:val="0"/>
                      <w:color w:val="auto"/>
                      <w:kern w:val="0"/>
                      <w:vertAlign w:val="baseline"/>
                      <w:lang w:val="en-US" w:eastAsia="zh-CN" w:bidi="ar"/>
                    </w:rPr>
                  </w:pPr>
                  <w:r>
                    <w:rPr>
                      <w:rFonts w:hint="eastAsia"/>
                      <w:b w:val="0"/>
                      <w:bCs w:val="0"/>
                      <w:color w:val="auto"/>
                      <w:kern w:val="0"/>
                      <w:vertAlign w:val="baseline"/>
                      <w:lang w:val="en-US" w:eastAsia="zh-CN" w:bidi="ar"/>
                    </w:rPr>
                    <w:t>精对苯二甲酸（PTA）、乙二醇制造。</w:t>
                  </w:r>
                </w:p>
              </w:tc>
              <w:tc>
                <w:tcPr>
                  <w:tcW w:w="1161" w:type="dxa"/>
                  <w:vMerge w:val="continue"/>
                  <w:tcBorders>
                    <w:tl2br w:val="nil"/>
                    <w:tr2bl w:val="nil"/>
                  </w:tcBorders>
                  <w:vAlign w:val="center"/>
                </w:tcPr>
                <w:p w14:paraId="13C262DB">
                  <w:pPr>
                    <w:widowControl/>
                    <w:adjustRightInd w:val="0"/>
                    <w:snapToGrid w:val="0"/>
                    <w:jc w:val="center"/>
                    <w:rPr>
                      <w:b w:val="0"/>
                      <w:bCs w:val="0"/>
                      <w:color w:val="auto"/>
                      <w:kern w:val="0"/>
                      <w:vertAlign w:val="baseline"/>
                      <w:lang w:bidi="ar"/>
                    </w:rPr>
                  </w:pPr>
                </w:p>
              </w:tc>
            </w:tr>
            <w:tr w14:paraId="051153B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1096" w:type="dxa"/>
                  <w:vMerge w:val="continue"/>
                  <w:tcBorders>
                    <w:tl2br w:val="nil"/>
                    <w:tr2bl w:val="nil"/>
                  </w:tcBorders>
                  <w:vAlign w:val="center"/>
                </w:tcPr>
                <w:p w14:paraId="18F26E62">
                  <w:pPr>
                    <w:widowControl/>
                    <w:adjustRightInd w:val="0"/>
                    <w:snapToGrid w:val="0"/>
                    <w:jc w:val="center"/>
                    <w:rPr>
                      <w:b w:val="0"/>
                      <w:bCs w:val="0"/>
                      <w:color w:val="auto"/>
                      <w:kern w:val="0"/>
                      <w:vertAlign w:val="baseline"/>
                      <w:lang w:bidi="ar"/>
                    </w:rPr>
                  </w:pPr>
                </w:p>
              </w:tc>
              <w:tc>
                <w:tcPr>
                  <w:tcW w:w="2927" w:type="dxa"/>
                  <w:tcBorders>
                    <w:tl2br w:val="nil"/>
                    <w:tr2bl w:val="nil"/>
                  </w:tcBorders>
                  <w:vAlign w:val="center"/>
                </w:tcPr>
                <w:p w14:paraId="0F365BAC">
                  <w:pPr>
                    <w:widowControl/>
                    <w:adjustRightInd w:val="0"/>
                    <w:snapToGrid w:val="0"/>
                    <w:jc w:val="center"/>
                    <w:rPr>
                      <w:rFonts w:hint="default" w:eastAsia="宋体"/>
                      <w:b w:val="0"/>
                      <w:bCs w:val="0"/>
                      <w:color w:val="auto"/>
                      <w:kern w:val="0"/>
                      <w:vertAlign w:val="baseline"/>
                      <w:lang w:val="en-US" w:eastAsia="zh-CN" w:bidi="ar"/>
                    </w:rPr>
                  </w:pPr>
                  <w:r>
                    <w:rPr>
                      <w:rFonts w:hint="eastAsia"/>
                      <w:b w:val="0"/>
                      <w:bCs w:val="0"/>
                      <w:color w:val="auto"/>
                      <w:kern w:val="0"/>
                      <w:vertAlign w:val="baseline"/>
                      <w:lang w:val="en-US" w:eastAsia="zh-CN" w:bidi="ar"/>
                    </w:rPr>
                    <w:t>化学试剂和助剂制造（2661）</w:t>
                  </w:r>
                </w:p>
              </w:tc>
              <w:tc>
                <w:tcPr>
                  <w:tcW w:w="2863" w:type="dxa"/>
                  <w:tcBorders>
                    <w:tl2br w:val="nil"/>
                    <w:tr2bl w:val="nil"/>
                  </w:tcBorders>
                  <w:vAlign w:val="center"/>
                </w:tcPr>
                <w:p w14:paraId="2E907DDA">
                  <w:pPr>
                    <w:widowControl/>
                    <w:adjustRightInd w:val="0"/>
                    <w:snapToGrid w:val="0"/>
                    <w:jc w:val="center"/>
                    <w:rPr>
                      <w:rFonts w:hint="eastAsia" w:eastAsia="宋体"/>
                      <w:b w:val="0"/>
                      <w:bCs w:val="0"/>
                      <w:color w:val="auto"/>
                      <w:kern w:val="0"/>
                      <w:vertAlign w:val="baseline"/>
                      <w:lang w:val="en-US" w:eastAsia="zh-CN" w:bidi="ar"/>
                    </w:rPr>
                  </w:pPr>
                  <w:r>
                    <w:rPr>
                      <w:rFonts w:hint="eastAsia"/>
                      <w:b w:val="0"/>
                      <w:bCs w:val="0"/>
                      <w:color w:val="auto"/>
                      <w:kern w:val="0"/>
                      <w:vertAlign w:val="baseline"/>
                      <w:lang w:val="en-US" w:eastAsia="zh-CN" w:bidi="ar"/>
                    </w:rPr>
                    <w:t>炭黑制造。</w:t>
                  </w:r>
                </w:p>
              </w:tc>
              <w:tc>
                <w:tcPr>
                  <w:tcW w:w="1161" w:type="dxa"/>
                  <w:vMerge w:val="continue"/>
                  <w:tcBorders>
                    <w:tl2br w:val="nil"/>
                    <w:tr2bl w:val="nil"/>
                  </w:tcBorders>
                  <w:vAlign w:val="center"/>
                </w:tcPr>
                <w:p w14:paraId="5408A517">
                  <w:pPr>
                    <w:widowControl/>
                    <w:adjustRightInd w:val="0"/>
                    <w:snapToGrid w:val="0"/>
                    <w:jc w:val="center"/>
                    <w:rPr>
                      <w:b w:val="0"/>
                      <w:bCs w:val="0"/>
                      <w:color w:val="auto"/>
                      <w:kern w:val="0"/>
                      <w:vertAlign w:val="baseline"/>
                      <w:lang w:bidi="ar"/>
                    </w:rPr>
                  </w:pPr>
                </w:p>
              </w:tc>
            </w:tr>
            <w:tr w14:paraId="52659BB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1096" w:type="dxa"/>
                  <w:vMerge w:val="restart"/>
                  <w:tcBorders>
                    <w:tl2br w:val="nil"/>
                    <w:tr2bl w:val="nil"/>
                  </w:tcBorders>
                  <w:vAlign w:val="center"/>
                </w:tcPr>
                <w:p w14:paraId="6C2F7104">
                  <w:pPr>
                    <w:widowControl/>
                    <w:adjustRightInd w:val="0"/>
                    <w:snapToGrid w:val="0"/>
                    <w:jc w:val="center"/>
                    <w:rPr>
                      <w:rFonts w:hint="default" w:eastAsia="宋体"/>
                      <w:b w:val="0"/>
                      <w:bCs w:val="0"/>
                      <w:color w:val="auto"/>
                      <w:kern w:val="0"/>
                      <w:vertAlign w:val="baseline"/>
                      <w:lang w:val="en-US" w:eastAsia="zh-CN" w:bidi="ar"/>
                    </w:rPr>
                  </w:pPr>
                  <w:r>
                    <w:rPr>
                      <w:rFonts w:hint="eastAsia"/>
                      <w:b w:val="0"/>
                      <w:bCs w:val="0"/>
                      <w:color w:val="auto"/>
                      <w:kern w:val="0"/>
                      <w:vertAlign w:val="baseline"/>
                      <w:lang w:val="en-US" w:eastAsia="zh-CN" w:bidi="ar"/>
                    </w:rPr>
                    <w:t>非金属矿物制品业</w:t>
                  </w:r>
                </w:p>
              </w:tc>
              <w:tc>
                <w:tcPr>
                  <w:tcW w:w="2927" w:type="dxa"/>
                  <w:tcBorders>
                    <w:tl2br w:val="nil"/>
                    <w:tr2bl w:val="nil"/>
                  </w:tcBorders>
                  <w:vAlign w:val="center"/>
                </w:tcPr>
                <w:p w14:paraId="65D1DB9A">
                  <w:pPr>
                    <w:widowControl/>
                    <w:adjustRightInd w:val="0"/>
                    <w:snapToGrid w:val="0"/>
                    <w:jc w:val="center"/>
                    <w:rPr>
                      <w:rFonts w:hint="eastAsia" w:eastAsia="宋体"/>
                      <w:b w:val="0"/>
                      <w:bCs w:val="0"/>
                      <w:color w:val="auto"/>
                      <w:kern w:val="0"/>
                      <w:vertAlign w:val="baseline"/>
                      <w:lang w:val="en-US" w:eastAsia="zh-CN" w:bidi="ar"/>
                    </w:rPr>
                  </w:pPr>
                  <w:r>
                    <w:rPr>
                      <w:rFonts w:hint="eastAsia"/>
                      <w:b w:val="0"/>
                      <w:bCs w:val="0"/>
                      <w:color w:val="auto"/>
                      <w:kern w:val="0"/>
                      <w:vertAlign w:val="baseline"/>
                      <w:lang w:val="en-US" w:eastAsia="zh-CN" w:bidi="ar"/>
                    </w:rPr>
                    <w:t>水泥制造（3011）</w:t>
                  </w:r>
                </w:p>
              </w:tc>
              <w:tc>
                <w:tcPr>
                  <w:tcW w:w="2863" w:type="dxa"/>
                  <w:tcBorders>
                    <w:tl2br w:val="nil"/>
                    <w:tr2bl w:val="nil"/>
                  </w:tcBorders>
                  <w:vAlign w:val="center"/>
                </w:tcPr>
                <w:p w14:paraId="68DAEB91">
                  <w:pPr>
                    <w:widowControl/>
                    <w:adjustRightInd w:val="0"/>
                    <w:snapToGrid w:val="0"/>
                    <w:jc w:val="center"/>
                    <w:rPr>
                      <w:rFonts w:hint="eastAsia" w:eastAsia="宋体"/>
                      <w:b w:val="0"/>
                      <w:bCs w:val="0"/>
                      <w:color w:val="auto"/>
                      <w:kern w:val="0"/>
                      <w:vertAlign w:val="baseline"/>
                      <w:lang w:val="en-US" w:eastAsia="zh-CN" w:bidi="ar"/>
                    </w:rPr>
                  </w:pPr>
                  <w:r>
                    <w:rPr>
                      <w:rFonts w:hint="eastAsia"/>
                      <w:b w:val="0"/>
                      <w:bCs w:val="0"/>
                      <w:color w:val="auto"/>
                      <w:kern w:val="0"/>
                      <w:vertAlign w:val="baseline"/>
                      <w:lang w:val="en-US" w:eastAsia="zh-CN" w:bidi="ar"/>
                    </w:rPr>
                    <w:t>水泥熟料制造。</w:t>
                  </w:r>
                </w:p>
              </w:tc>
              <w:tc>
                <w:tcPr>
                  <w:tcW w:w="1161" w:type="dxa"/>
                  <w:vMerge w:val="continue"/>
                  <w:tcBorders>
                    <w:tl2br w:val="nil"/>
                    <w:tr2bl w:val="nil"/>
                  </w:tcBorders>
                  <w:vAlign w:val="center"/>
                </w:tcPr>
                <w:p w14:paraId="19A7080C">
                  <w:pPr>
                    <w:widowControl/>
                    <w:adjustRightInd w:val="0"/>
                    <w:snapToGrid w:val="0"/>
                    <w:jc w:val="center"/>
                    <w:rPr>
                      <w:b w:val="0"/>
                      <w:bCs w:val="0"/>
                      <w:color w:val="auto"/>
                      <w:kern w:val="0"/>
                      <w:vertAlign w:val="baseline"/>
                      <w:lang w:bidi="ar"/>
                    </w:rPr>
                  </w:pPr>
                </w:p>
              </w:tc>
            </w:tr>
            <w:tr w14:paraId="1A9F7CE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1096" w:type="dxa"/>
                  <w:vMerge w:val="continue"/>
                  <w:tcBorders>
                    <w:tl2br w:val="nil"/>
                    <w:tr2bl w:val="nil"/>
                  </w:tcBorders>
                  <w:vAlign w:val="center"/>
                </w:tcPr>
                <w:p w14:paraId="3CF34AD3">
                  <w:pPr>
                    <w:widowControl/>
                    <w:adjustRightInd w:val="0"/>
                    <w:snapToGrid w:val="0"/>
                    <w:jc w:val="center"/>
                    <w:rPr>
                      <w:b w:val="0"/>
                      <w:bCs w:val="0"/>
                      <w:color w:val="auto"/>
                      <w:kern w:val="0"/>
                      <w:vertAlign w:val="baseline"/>
                      <w:lang w:bidi="ar"/>
                    </w:rPr>
                  </w:pPr>
                </w:p>
              </w:tc>
              <w:tc>
                <w:tcPr>
                  <w:tcW w:w="2927" w:type="dxa"/>
                  <w:tcBorders>
                    <w:tl2br w:val="nil"/>
                    <w:tr2bl w:val="nil"/>
                  </w:tcBorders>
                  <w:vAlign w:val="center"/>
                </w:tcPr>
                <w:p w14:paraId="64994C40">
                  <w:pPr>
                    <w:widowControl/>
                    <w:adjustRightInd w:val="0"/>
                    <w:snapToGrid w:val="0"/>
                    <w:jc w:val="center"/>
                    <w:rPr>
                      <w:rFonts w:hint="eastAsia" w:eastAsia="宋体"/>
                      <w:b w:val="0"/>
                      <w:bCs w:val="0"/>
                      <w:color w:val="auto"/>
                      <w:kern w:val="0"/>
                      <w:vertAlign w:val="baseline"/>
                      <w:lang w:val="en-US" w:eastAsia="zh-CN" w:bidi="ar"/>
                    </w:rPr>
                  </w:pPr>
                  <w:r>
                    <w:rPr>
                      <w:rFonts w:hint="eastAsia"/>
                      <w:b w:val="0"/>
                      <w:bCs w:val="0"/>
                      <w:color w:val="auto"/>
                      <w:kern w:val="0"/>
                      <w:vertAlign w:val="baseline"/>
                      <w:lang w:val="en-US" w:eastAsia="zh-CN" w:bidi="ar"/>
                    </w:rPr>
                    <w:t>石灰和石膏制造（3012）</w:t>
                  </w:r>
                </w:p>
              </w:tc>
              <w:tc>
                <w:tcPr>
                  <w:tcW w:w="2863" w:type="dxa"/>
                  <w:tcBorders>
                    <w:tl2br w:val="nil"/>
                    <w:tr2bl w:val="nil"/>
                  </w:tcBorders>
                  <w:vAlign w:val="center"/>
                </w:tcPr>
                <w:p w14:paraId="167BEF4C">
                  <w:pPr>
                    <w:widowControl/>
                    <w:adjustRightInd w:val="0"/>
                    <w:snapToGrid w:val="0"/>
                    <w:jc w:val="center"/>
                    <w:rPr>
                      <w:rFonts w:hint="default" w:eastAsia="宋体"/>
                      <w:b w:val="0"/>
                      <w:bCs w:val="0"/>
                      <w:color w:val="auto"/>
                      <w:kern w:val="0"/>
                      <w:vertAlign w:val="baseline"/>
                      <w:lang w:val="en-US" w:eastAsia="zh-CN" w:bidi="ar"/>
                    </w:rPr>
                  </w:pPr>
                  <w:r>
                    <w:rPr>
                      <w:rFonts w:hint="eastAsia"/>
                      <w:b w:val="0"/>
                      <w:bCs w:val="0"/>
                      <w:color w:val="auto"/>
                      <w:kern w:val="0"/>
                      <w:vertAlign w:val="baseline"/>
                      <w:lang w:val="en-US" w:eastAsia="zh-CN" w:bidi="ar"/>
                    </w:rPr>
                    <w:t>石灰、建筑石膏制造。</w:t>
                  </w:r>
                </w:p>
              </w:tc>
              <w:tc>
                <w:tcPr>
                  <w:tcW w:w="1161" w:type="dxa"/>
                  <w:vMerge w:val="continue"/>
                  <w:tcBorders>
                    <w:tl2br w:val="nil"/>
                    <w:tr2bl w:val="nil"/>
                  </w:tcBorders>
                  <w:vAlign w:val="center"/>
                </w:tcPr>
                <w:p w14:paraId="54A6A10B">
                  <w:pPr>
                    <w:widowControl/>
                    <w:adjustRightInd w:val="0"/>
                    <w:snapToGrid w:val="0"/>
                    <w:jc w:val="center"/>
                    <w:rPr>
                      <w:b w:val="0"/>
                      <w:bCs w:val="0"/>
                      <w:color w:val="auto"/>
                      <w:kern w:val="0"/>
                      <w:vertAlign w:val="baseline"/>
                      <w:lang w:bidi="ar"/>
                    </w:rPr>
                  </w:pPr>
                </w:p>
              </w:tc>
            </w:tr>
            <w:tr w14:paraId="4105FE3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1096" w:type="dxa"/>
                  <w:vMerge w:val="continue"/>
                  <w:tcBorders>
                    <w:tl2br w:val="nil"/>
                    <w:tr2bl w:val="nil"/>
                  </w:tcBorders>
                  <w:vAlign w:val="center"/>
                </w:tcPr>
                <w:p w14:paraId="293CB632">
                  <w:pPr>
                    <w:widowControl/>
                    <w:adjustRightInd w:val="0"/>
                    <w:snapToGrid w:val="0"/>
                    <w:jc w:val="center"/>
                    <w:rPr>
                      <w:b w:val="0"/>
                      <w:bCs w:val="0"/>
                      <w:color w:val="auto"/>
                      <w:kern w:val="0"/>
                      <w:vertAlign w:val="baseline"/>
                      <w:lang w:bidi="ar"/>
                    </w:rPr>
                  </w:pPr>
                </w:p>
              </w:tc>
              <w:tc>
                <w:tcPr>
                  <w:tcW w:w="2927" w:type="dxa"/>
                  <w:tcBorders>
                    <w:tl2br w:val="nil"/>
                    <w:tr2bl w:val="nil"/>
                  </w:tcBorders>
                  <w:vAlign w:val="center"/>
                </w:tcPr>
                <w:p w14:paraId="1A65E04B">
                  <w:pPr>
                    <w:widowControl/>
                    <w:adjustRightInd w:val="0"/>
                    <w:snapToGrid w:val="0"/>
                    <w:jc w:val="center"/>
                    <w:rPr>
                      <w:rFonts w:hint="default" w:eastAsia="宋体"/>
                      <w:b w:val="0"/>
                      <w:bCs w:val="0"/>
                      <w:color w:val="auto"/>
                      <w:kern w:val="0"/>
                      <w:vertAlign w:val="baseline"/>
                      <w:lang w:val="en-US" w:eastAsia="zh-CN" w:bidi="ar"/>
                    </w:rPr>
                  </w:pPr>
                  <w:r>
                    <w:rPr>
                      <w:rFonts w:hint="eastAsia"/>
                      <w:b w:val="0"/>
                      <w:bCs w:val="0"/>
                      <w:color w:val="auto"/>
                      <w:kern w:val="0"/>
                      <w:vertAlign w:val="baseline"/>
                      <w:lang w:val="en-US" w:eastAsia="zh-CN" w:bidi="ar"/>
                    </w:rPr>
                    <w:t>粘土砖瓦及建筑砌块制造（3031）</w:t>
                  </w:r>
                </w:p>
              </w:tc>
              <w:tc>
                <w:tcPr>
                  <w:tcW w:w="2863" w:type="dxa"/>
                  <w:tcBorders>
                    <w:tl2br w:val="nil"/>
                    <w:tr2bl w:val="nil"/>
                  </w:tcBorders>
                  <w:vAlign w:val="center"/>
                </w:tcPr>
                <w:p w14:paraId="6BD51BA7">
                  <w:pPr>
                    <w:widowControl/>
                    <w:adjustRightInd w:val="0"/>
                    <w:snapToGrid w:val="0"/>
                    <w:jc w:val="center"/>
                    <w:rPr>
                      <w:rFonts w:hint="default" w:eastAsia="宋体"/>
                      <w:b w:val="0"/>
                      <w:bCs w:val="0"/>
                      <w:color w:val="auto"/>
                      <w:kern w:val="0"/>
                      <w:vertAlign w:val="baseline"/>
                      <w:lang w:val="en-US" w:eastAsia="zh-CN" w:bidi="ar"/>
                    </w:rPr>
                  </w:pPr>
                  <w:r>
                    <w:rPr>
                      <w:rFonts w:hint="eastAsia"/>
                      <w:b w:val="0"/>
                      <w:bCs w:val="0"/>
                      <w:color w:val="auto"/>
                      <w:kern w:val="0"/>
                      <w:vertAlign w:val="baseline"/>
                      <w:lang w:val="en-US" w:eastAsia="zh-CN" w:bidi="ar"/>
                    </w:rPr>
                    <w:t>烧结砖瓦制造。</w:t>
                  </w:r>
                </w:p>
              </w:tc>
              <w:tc>
                <w:tcPr>
                  <w:tcW w:w="1161" w:type="dxa"/>
                  <w:vMerge w:val="continue"/>
                  <w:tcBorders>
                    <w:tl2br w:val="nil"/>
                    <w:tr2bl w:val="nil"/>
                  </w:tcBorders>
                  <w:vAlign w:val="center"/>
                </w:tcPr>
                <w:p w14:paraId="4BBA5510">
                  <w:pPr>
                    <w:widowControl/>
                    <w:adjustRightInd w:val="0"/>
                    <w:snapToGrid w:val="0"/>
                    <w:jc w:val="center"/>
                    <w:rPr>
                      <w:b w:val="0"/>
                      <w:bCs w:val="0"/>
                      <w:color w:val="auto"/>
                      <w:kern w:val="0"/>
                      <w:vertAlign w:val="baseline"/>
                      <w:lang w:bidi="ar"/>
                    </w:rPr>
                  </w:pPr>
                </w:p>
              </w:tc>
            </w:tr>
            <w:tr w14:paraId="79F5C00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1096" w:type="dxa"/>
                  <w:vMerge w:val="continue"/>
                  <w:tcBorders>
                    <w:tl2br w:val="nil"/>
                    <w:tr2bl w:val="nil"/>
                  </w:tcBorders>
                  <w:vAlign w:val="center"/>
                </w:tcPr>
                <w:p w14:paraId="7DA621FD">
                  <w:pPr>
                    <w:widowControl/>
                    <w:adjustRightInd w:val="0"/>
                    <w:snapToGrid w:val="0"/>
                    <w:jc w:val="center"/>
                    <w:rPr>
                      <w:b w:val="0"/>
                      <w:bCs w:val="0"/>
                      <w:color w:val="auto"/>
                      <w:kern w:val="0"/>
                      <w:vertAlign w:val="baseline"/>
                      <w:lang w:bidi="ar"/>
                    </w:rPr>
                  </w:pPr>
                </w:p>
              </w:tc>
              <w:tc>
                <w:tcPr>
                  <w:tcW w:w="2927" w:type="dxa"/>
                  <w:tcBorders>
                    <w:tl2br w:val="nil"/>
                    <w:tr2bl w:val="nil"/>
                  </w:tcBorders>
                  <w:vAlign w:val="center"/>
                </w:tcPr>
                <w:p w14:paraId="51BF7637">
                  <w:pPr>
                    <w:widowControl/>
                    <w:adjustRightInd w:val="0"/>
                    <w:snapToGrid w:val="0"/>
                    <w:jc w:val="center"/>
                    <w:rPr>
                      <w:rFonts w:hint="default" w:eastAsia="宋体"/>
                      <w:b w:val="0"/>
                      <w:bCs w:val="0"/>
                      <w:color w:val="auto"/>
                      <w:kern w:val="0"/>
                      <w:vertAlign w:val="baseline"/>
                      <w:lang w:val="en-US" w:eastAsia="zh-CN" w:bidi="ar"/>
                    </w:rPr>
                  </w:pPr>
                  <w:r>
                    <w:rPr>
                      <w:rFonts w:hint="eastAsia"/>
                      <w:b w:val="0"/>
                      <w:bCs w:val="0"/>
                      <w:color w:val="auto"/>
                      <w:kern w:val="0"/>
                      <w:vertAlign w:val="baseline"/>
                      <w:lang w:val="en-US" w:eastAsia="zh-CN" w:bidi="ar"/>
                    </w:rPr>
                    <w:t>隔热和隔音材料制造（3034）</w:t>
                  </w:r>
                </w:p>
              </w:tc>
              <w:tc>
                <w:tcPr>
                  <w:tcW w:w="2863" w:type="dxa"/>
                  <w:tcBorders>
                    <w:tl2br w:val="nil"/>
                    <w:tr2bl w:val="nil"/>
                  </w:tcBorders>
                  <w:vAlign w:val="center"/>
                </w:tcPr>
                <w:p w14:paraId="793AFF1C">
                  <w:pPr>
                    <w:widowControl/>
                    <w:adjustRightInd w:val="0"/>
                    <w:snapToGrid w:val="0"/>
                    <w:jc w:val="center"/>
                    <w:rPr>
                      <w:rFonts w:hint="default" w:eastAsia="宋体"/>
                      <w:b w:val="0"/>
                      <w:bCs w:val="0"/>
                      <w:color w:val="auto"/>
                      <w:kern w:val="0"/>
                      <w:vertAlign w:val="baseline"/>
                      <w:lang w:val="en-US" w:eastAsia="zh-CN" w:bidi="ar"/>
                    </w:rPr>
                  </w:pPr>
                  <w:r>
                    <w:rPr>
                      <w:rFonts w:hint="eastAsia"/>
                      <w:b w:val="0"/>
                      <w:bCs w:val="0"/>
                      <w:color w:val="auto"/>
                      <w:kern w:val="0"/>
                      <w:vertAlign w:val="baseline"/>
                      <w:lang w:val="en-US" w:eastAsia="zh-CN" w:bidi="ar"/>
                    </w:rPr>
                    <w:t>烧结墙体材料、泡沫玻璃制造。</w:t>
                  </w:r>
                </w:p>
              </w:tc>
              <w:tc>
                <w:tcPr>
                  <w:tcW w:w="1161" w:type="dxa"/>
                  <w:vMerge w:val="continue"/>
                  <w:tcBorders>
                    <w:tl2br w:val="nil"/>
                    <w:tr2bl w:val="nil"/>
                  </w:tcBorders>
                  <w:vAlign w:val="center"/>
                </w:tcPr>
                <w:p w14:paraId="7A2759AA">
                  <w:pPr>
                    <w:widowControl/>
                    <w:adjustRightInd w:val="0"/>
                    <w:snapToGrid w:val="0"/>
                    <w:jc w:val="center"/>
                    <w:rPr>
                      <w:b w:val="0"/>
                      <w:bCs w:val="0"/>
                      <w:color w:val="auto"/>
                      <w:kern w:val="0"/>
                      <w:vertAlign w:val="baseline"/>
                      <w:lang w:bidi="ar"/>
                    </w:rPr>
                  </w:pPr>
                </w:p>
              </w:tc>
            </w:tr>
            <w:tr w14:paraId="1BBBF55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1096" w:type="dxa"/>
                  <w:vMerge w:val="continue"/>
                  <w:tcBorders>
                    <w:tl2br w:val="nil"/>
                    <w:tr2bl w:val="nil"/>
                  </w:tcBorders>
                  <w:vAlign w:val="center"/>
                </w:tcPr>
                <w:p w14:paraId="51E6A061">
                  <w:pPr>
                    <w:widowControl/>
                    <w:adjustRightInd w:val="0"/>
                    <w:snapToGrid w:val="0"/>
                    <w:jc w:val="center"/>
                    <w:rPr>
                      <w:b w:val="0"/>
                      <w:bCs w:val="0"/>
                      <w:color w:val="auto"/>
                      <w:kern w:val="0"/>
                      <w:vertAlign w:val="baseline"/>
                      <w:lang w:bidi="ar"/>
                    </w:rPr>
                  </w:pPr>
                </w:p>
              </w:tc>
              <w:tc>
                <w:tcPr>
                  <w:tcW w:w="2927" w:type="dxa"/>
                  <w:tcBorders>
                    <w:tl2br w:val="nil"/>
                    <w:tr2bl w:val="nil"/>
                  </w:tcBorders>
                  <w:vAlign w:val="center"/>
                </w:tcPr>
                <w:p w14:paraId="7107ADDD">
                  <w:pPr>
                    <w:widowControl/>
                    <w:adjustRightInd w:val="0"/>
                    <w:snapToGrid w:val="0"/>
                    <w:jc w:val="center"/>
                    <w:rPr>
                      <w:rFonts w:hint="eastAsia" w:eastAsia="宋体"/>
                      <w:b w:val="0"/>
                      <w:bCs w:val="0"/>
                      <w:color w:val="auto"/>
                      <w:kern w:val="0"/>
                      <w:vertAlign w:val="baseline"/>
                      <w:lang w:val="en-US" w:eastAsia="zh-CN" w:bidi="ar"/>
                    </w:rPr>
                  </w:pPr>
                  <w:r>
                    <w:rPr>
                      <w:rFonts w:hint="eastAsia"/>
                      <w:b w:val="0"/>
                      <w:bCs w:val="0"/>
                      <w:color w:val="auto"/>
                      <w:kern w:val="0"/>
                      <w:vertAlign w:val="baseline"/>
                      <w:lang w:val="en-US" w:eastAsia="zh-CN" w:bidi="ar"/>
                    </w:rPr>
                    <w:t>平板玻璃制造（3041）</w:t>
                  </w:r>
                </w:p>
              </w:tc>
              <w:tc>
                <w:tcPr>
                  <w:tcW w:w="2863" w:type="dxa"/>
                  <w:tcBorders>
                    <w:tl2br w:val="nil"/>
                    <w:tr2bl w:val="nil"/>
                  </w:tcBorders>
                  <w:vAlign w:val="center"/>
                </w:tcPr>
                <w:p w14:paraId="5F23EAA5">
                  <w:pPr>
                    <w:widowControl/>
                    <w:adjustRightInd w:val="0"/>
                    <w:snapToGrid w:val="0"/>
                    <w:jc w:val="center"/>
                    <w:rPr>
                      <w:rFonts w:hint="default" w:eastAsia="宋体"/>
                      <w:b w:val="0"/>
                      <w:bCs w:val="0"/>
                      <w:color w:val="auto"/>
                      <w:kern w:val="0"/>
                      <w:vertAlign w:val="baseline"/>
                      <w:lang w:val="en-US" w:eastAsia="zh-CN" w:bidi="ar"/>
                    </w:rPr>
                  </w:pPr>
                  <w:r>
                    <w:rPr>
                      <w:rFonts w:hint="eastAsia"/>
                      <w:b w:val="0"/>
                      <w:bCs w:val="0"/>
                      <w:color w:val="auto"/>
                      <w:kern w:val="0"/>
                      <w:vertAlign w:val="baseline"/>
                      <w:lang w:val="en-US" w:eastAsia="zh-CN" w:bidi="ar"/>
                    </w:rPr>
                    <w:t>仅切割、打磨、成型的除外；光伏玻璃制造、基板玻璃制造除外。</w:t>
                  </w:r>
                </w:p>
              </w:tc>
              <w:tc>
                <w:tcPr>
                  <w:tcW w:w="1161" w:type="dxa"/>
                  <w:vMerge w:val="continue"/>
                  <w:tcBorders>
                    <w:tl2br w:val="nil"/>
                    <w:tr2bl w:val="nil"/>
                  </w:tcBorders>
                  <w:vAlign w:val="center"/>
                </w:tcPr>
                <w:p w14:paraId="4DD7F1FB">
                  <w:pPr>
                    <w:widowControl/>
                    <w:adjustRightInd w:val="0"/>
                    <w:snapToGrid w:val="0"/>
                    <w:jc w:val="center"/>
                    <w:rPr>
                      <w:b w:val="0"/>
                      <w:bCs w:val="0"/>
                      <w:color w:val="auto"/>
                      <w:kern w:val="0"/>
                      <w:vertAlign w:val="baseline"/>
                      <w:lang w:bidi="ar"/>
                    </w:rPr>
                  </w:pPr>
                </w:p>
              </w:tc>
            </w:tr>
            <w:tr w14:paraId="776C424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1096" w:type="dxa"/>
                  <w:vMerge w:val="continue"/>
                  <w:tcBorders>
                    <w:tl2br w:val="nil"/>
                    <w:tr2bl w:val="nil"/>
                  </w:tcBorders>
                  <w:vAlign w:val="center"/>
                </w:tcPr>
                <w:p w14:paraId="31C3A296">
                  <w:pPr>
                    <w:widowControl/>
                    <w:adjustRightInd w:val="0"/>
                    <w:snapToGrid w:val="0"/>
                    <w:jc w:val="center"/>
                    <w:rPr>
                      <w:b w:val="0"/>
                      <w:bCs w:val="0"/>
                      <w:color w:val="auto"/>
                      <w:kern w:val="0"/>
                      <w:vertAlign w:val="baseline"/>
                      <w:lang w:bidi="ar"/>
                    </w:rPr>
                  </w:pPr>
                </w:p>
              </w:tc>
              <w:tc>
                <w:tcPr>
                  <w:tcW w:w="2927" w:type="dxa"/>
                  <w:tcBorders>
                    <w:tl2br w:val="nil"/>
                    <w:tr2bl w:val="nil"/>
                  </w:tcBorders>
                  <w:vAlign w:val="center"/>
                </w:tcPr>
                <w:p w14:paraId="1169FEAD">
                  <w:pPr>
                    <w:widowControl/>
                    <w:adjustRightInd w:val="0"/>
                    <w:snapToGrid w:val="0"/>
                    <w:jc w:val="center"/>
                    <w:rPr>
                      <w:rFonts w:hint="default" w:eastAsia="宋体"/>
                      <w:b w:val="0"/>
                      <w:bCs w:val="0"/>
                      <w:color w:val="auto"/>
                      <w:kern w:val="0"/>
                      <w:vertAlign w:val="baseline"/>
                      <w:lang w:val="en-US" w:eastAsia="zh-CN" w:bidi="ar"/>
                    </w:rPr>
                  </w:pPr>
                  <w:r>
                    <w:rPr>
                      <w:rFonts w:hint="eastAsia"/>
                      <w:b w:val="0"/>
                      <w:bCs w:val="0"/>
                      <w:color w:val="auto"/>
                      <w:kern w:val="0"/>
                      <w:vertAlign w:val="baseline"/>
                      <w:lang w:val="en-US" w:eastAsia="zh-CN" w:bidi="ar"/>
                    </w:rPr>
                    <w:t>玻璃纤维及制品制造（3061）</w:t>
                  </w:r>
                </w:p>
              </w:tc>
              <w:tc>
                <w:tcPr>
                  <w:tcW w:w="2863" w:type="dxa"/>
                  <w:tcBorders>
                    <w:tl2br w:val="nil"/>
                    <w:tr2bl w:val="nil"/>
                  </w:tcBorders>
                  <w:vAlign w:val="center"/>
                </w:tcPr>
                <w:p w14:paraId="0F7F2056">
                  <w:pPr>
                    <w:widowControl/>
                    <w:adjustRightInd w:val="0"/>
                    <w:snapToGrid w:val="0"/>
                    <w:jc w:val="center"/>
                    <w:rPr>
                      <w:rFonts w:hint="eastAsia" w:eastAsia="宋体"/>
                      <w:b w:val="0"/>
                      <w:bCs w:val="0"/>
                      <w:color w:val="auto"/>
                      <w:kern w:val="0"/>
                      <w:vertAlign w:val="baseline"/>
                      <w:lang w:eastAsia="zh-CN" w:bidi="ar"/>
                    </w:rPr>
                  </w:pPr>
                  <w:r>
                    <w:rPr>
                      <w:rFonts w:hint="eastAsia"/>
                      <w:b w:val="0"/>
                      <w:bCs w:val="0"/>
                      <w:color w:val="auto"/>
                      <w:kern w:val="0"/>
                      <w:vertAlign w:val="baseline"/>
                      <w:lang w:eastAsia="zh-CN" w:bidi="ar"/>
                    </w:rPr>
                    <w:t>《</w:t>
                  </w:r>
                  <w:r>
                    <w:rPr>
                      <w:rFonts w:hint="eastAsia"/>
                      <w:b w:val="0"/>
                      <w:bCs w:val="0"/>
                      <w:color w:val="auto"/>
                      <w:kern w:val="0"/>
                      <w:vertAlign w:val="baseline"/>
                      <w:lang w:bidi="ar"/>
                    </w:rPr>
                    <w:t>产业结构调整指导目录</w:t>
                  </w:r>
                  <w:r>
                    <w:rPr>
                      <w:rFonts w:hint="eastAsia"/>
                      <w:b w:val="0"/>
                      <w:bCs w:val="0"/>
                      <w:color w:val="auto"/>
                      <w:kern w:val="0"/>
                      <w:vertAlign w:val="baseline"/>
                      <w:lang w:eastAsia="zh-CN" w:bidi="ar"/>
                    </w:rPr>
                    <w:t>（</w:t>
                  </w:r>
                  <w:r>
                    <w:rPr>
                      <w:rFonts w:hint="eastAsia"/>
                      <w:b w:val="0"/>
                      <w:bCs w:val="0"/>
                      <w:color w:val="auto"/>
                      <w:kern w:val="0"/>
                      <w:vertAlign w:val="baseline"/>
                      <w:lang w:bidi="ar"/>
                    </w:rPr>
                    <w:t>2024年</w:t>
                  </w:r>
                  <w:r>
                    <w:rPr>
                      <w:rFonts w:hint="eastAsia"/>
                      <w:b w:val="0"/>
                      <w:bCs w:val="0"/>
                      <w:color w:val="auto"/>
                      <w:kern w:val="0"/>
                      <w:vertAlign w:val="baseline"/>
                      <w:lang w:val="en-US" w:eastAsia="zh-CN" w:bidi="ar"/>
                    </w:rPr>
                    <w:t>本</w:t>
                  </w:r>
                  <w:r>
                    <w:rPr>
                      <w:rFonts w:hint="eastAsia"/>
                      <w:b w:val="0"/>
                      <w:bCs w:val="0"/>
                      <w:color w:val="auto"/>
                      <w:kern w:val="0"/>
                      <w:vertAlign w:val="baseline"/>
                      <w:lang w:eastAsia="zh-CN" w:bidi="ar"/>
                    </w:rPr>
                    <w:t>）》</w:t>
                  </w:r>
                  <w:r>
                    <w:rPr>
                      <w:rFonts w:hint="eastAsia"/>
                      <w:b w:val="0"/>
                      <w:bCs w:val="0"/>
                      <w:color w:val="auto"/>
                      <w:kern w:val="0"/>
                      <w:vertAlign w:val="baseline"/>
                      <w:lang w:bidi="ar"/>
                    </w:rPr>
                    <w:t>中鼓励类池</w:t>
                  </w:r>
                  <w:r>
                    <w:rPr>
                      <w:rFonts w:hint="eastAsia"/>
                      <w:b w:val="0"/>
                      <w:bCs w:val="0"/>
                      <w:color w:val="auto"/>
                      <w:kern w:val="0"/>
                      <w:vertAlign w:val="baseline"/>
                      <w:lang w:val="en-US" w:eastAsia="zh-CN" w:bidi="ar"/>
                    </w:rPr>
                    <w:t>窑</w:t>
                  </w:r>
                  <w:r>
                    <w:rPr>
                      <w:rFonts w:hint="eastAsia"/>
                      <w:b w:val="0"/>
                      <w:bCs w:val="0"/>
                      <w:color w:val="auto"/>
                      <w:kern w:val="0"/>
                      <w:vertAlign w:val="baseline"/>
                      <w:lang w:bidi="ar"/>
                    </w:rPr>
                    <w:t>拉丝、高性能及特种玻璃纤维制造除外</w:t>
                  </w:r>
                  <w:r>
                    <w:rPr>
                      <w:rFonts w:hint="eastAsia"/>
                      <w:b w:val="0"/>
                      <w:bCs w:val="0"/>
                      <w:color w:val="auto"/>
                      <w:kern w:val="0"/>
                      <w:vertAlign w:val="baseline"/>
                      <w:lang w:eastAsia="zh-CN" w:bidi="ar"/>
                    </w:rPr>
                    <w:t>；</w:t>
                  </w:r>
                  <w:r>
                    <w:rPr>
                      <w:rFonts w:hint="eastAsia"/>
                      <w:b w:val="0"/>
                      <w:bCs w:val="0"/>
                      <w:color w:val="auto"/>
                      <w:kern w:val="0"/>
                      <w:vertAlign w:val="baseline"/>
                      <w:lang w:bidi="ar"/>
                    </w:rPr>
                    <w:t>玻璃纤维制品制造除外</w:t>
                  </w:r>
                  <w:r>
                    <w:rPr>
                      <w:rFonts w:hint="eastAsia"/>
                      <w:b w:val="0"/>
                      <w:bCs w:val="0"/>
                      <w:color w:val="auto"/>
                      <w:kern w:val="0"/>
                      <w:vertAlign w:val="baseline"/>
                      <w:lang w:eastAsia="zh-CN" w:bidi="ar"/>
                    </w:rPr>
                    <w:t>。</w:t>
                  </w:r>
                </w:p>
              </w:tc>
              <w:tc>
                <w:tcPr>
                  <w:tcW w:w="1161" w:type="dxa"/>
                  <w:vMerge w:val="continue"/>
                  <w:tcBorders>
                    <w:tl2br w:val="nil"/>
                    <w:tr2bl w:val="nil"/>
                  </w:tcBorders>
                  <w:vAlign w:val="center"/>
                </w:tcPr>
                <w:p w14:paraId="4BEEC19D">
                  <w:pPr>
                    <w:widowControl/>
                    <w:adjustRightInd w:val="0"/>
                    <w:snapToGrid w:val="0"/>
                    <w:jc w:val="center"/>
                    <w:rPr>
                      <w:b w:val="0"/>
                      <w:bCs w:val="0"/>
                      <w:color w:val="auto"/>
                      <w:kern w:val="0"/>
                      <w:vertAlign w:val="baseline"/>
                      <w:lang w:bidi="ar"/>
                    </w:rPr>
                  </w:pPr>
                </w:p>
              </w:tc>
            </w:tr>
            <w:tr w14:paraId="2848B33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1096" w:type="dxa"/>
                  <w:vMerge w:val="continue"/>
                  <w:tcBorders>
                    <w:tl2br w:val="nil"/>
                    <w:tr2bl w:val="nil"/>
                  </w:tcBorders>
                  <w:vAlign w:val="center"/>
                </w:tcPr>
                <w:p w14:paraId="5493BD0F">
                  <w:pPr>
                    <w:widowControl/>
                    <w:adjustRightInd w:val="0"/>
                    <w:snapToGrid w:val="0"/>
                    <w:jc w:val="center"/>
                    <w:rPr>
                      <w:b w:val="0"/>
                      <w:bCs w:val="0"/>
                      <w:color w:val="auto"/>
                      <w:kern w:val="0"/>
                      <w:vertAlign w:val="baseline"/>
                      <w:lang w:bidi="ar"/>
                    </w:rPr>
                  </w:pPr>
                </w:p>
              </w:tc>
              <w:tc>
                <w:tcPr>
                  <w:tcW w:w="2927" w:type="dxa"/>
                  <w:tcBorders>
                    <w:tl2br w:val="nil"/>
                    <w:tr2bl w:val="nil"/>
                  </w:tcBorders>
                  <w:vAlign w:val="center"/>
                </w:tcPr>
                <w:p w14:paraId="587DEFE5">
                  <w:pPr>
                    <w:widowControl/>
                    <w:adjustRightInd w:val="0"/>
                    <w:snapToGrid w:val="0"/>
                    <w:jc w:val="center"/>
                    <w:rPr>
                      <w:rFonts w:hint="default" w:eastAsia="宋体"/>
                      <w:b w:val="0"/>
                      <w:bCs w:val="0"/>
                      <w:color w:val="auto"/>
                      <w:kern w:val="0"/>
                      <w:vertAlign w:val="baseline"/>
                      <w:lang w:val="en-US" w:eastAsia="zh-CN" w:bidi="ar"/>
                    </w:rPr>
                  </w:pPr>
                  <w:r>
                    <w:rPr>
                      <w:rFonts w:hint="eastAsia"/>
                      <w:b w:val="0"/>
                      <w:bCs w:val="0"/>
                      <w:color w:val="auto"/>
                      <w:kern w:val="0"/>
                      <w:vertAlign w:val="baseline"/>
                      <w:lang w:val="en-US" w:eastAsia="zh-CN" w:bidi="ar"/>
                    </w:rPr>
                    <w:t>建筑陶瓷制品制造（3071）</w:t>
                  </w:r>
                </w:p>
              </w:tc>
              <w:tc>
                <w:tcPr>
                  <w:tcW w:w="2863" w:type="dxa"/>
                  <w:tcBorders>
                    <w:tl2br w:val="nil"/>
                    <w:tr2bl w:val="nil"/>
                  </w:tcBorders>
                  <w:vAlign w:val="center"/>
                </w:tcPr>
                <w:p w14:paraId="6F03936E">
                  <w:pPr>
                    <w:widowControl/>
                    <w:adjustRightInd w:val="0"/>
                    <w:snapToGrid w:val="0"/>
                    <w:jc w:val="center"/>
                    <w:rPr>
                      <w:rFonts w:hint="default" w:eastAsia="宋体"/>
                      <w:b w:val="0"/>
                      <w:bCs w:val="0"/>
                      <w:color w:val="auto"/>
                      <w:kern w:val="0"/>
                      <w:vertAlign w:val="baseline"/>
                      <w:lang w:val="en-US" w:eastAsia="zh-CN" w:bidi="ar"/>
                    </w:rPr>
                  </w:pPr>
                  <w:r>
                    <w:rPr>
                      <w:rFonts w:hint="eastAsia"/>
                      <w:b w:val="0"/>
                      <w:bCs w:val="0"/>
                      <w:color w:val="auto"/>
                      <w:kern w:val="0"/>
                      <w:vertAlign w:val="baseline"/>
                      <w:lang w:val="en-US" w:eastAsia="zh-CN" w:bidi="ar"/>
                    </w:rPr>
                    <w:t>未经高温烧结的发泡陶瓷板制造除外。</w:t>
                  </w:r>
                </w:p>
              </w:tc>
              <w:tc>
                <w:tcPr>
                  <w:tcW w:w="1161" w:type="dxa"/>
                  <w:vMerge w:val="continue"/>
                  <w:tcBorders>
                    <w:tl2br w:val="nil"/>
                    <w:tr2bl w:val="nil"/>
                  </w:tcBorders>
                  <w:vAlign w:val="center"/>
                </w:tcPr>
                <w:p w14:paraId="2632491D">
                  <w:pPr>
                    <w:widowControl/>
                    <w:adjustRightInd w:val="0"/>
                    <w:snapToGrid w:val="0"/>
                    <w:jc w:val="center"/>
                    <w:rPr>
                      <w:b w:val="0"/>
                      <w:bCs w:val="0"/>
                      <w:color w:val="auto"/>
                      <w:kern w:val="0"/>
                      <w:vertAlign w:val="baseline"/>
                      <w:lang w:bidi="ar"/>
                    </w:rPr>
                  </w:pPr>
                </w:p>
              </w:tc>
            </w:tr>
            <w:tr w14:paraId="6AF7F25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1096" w:type="dxa"/>
                  <w:vMerge w:val="continue"/>
                  <w:tcBorders>
                    <w:tl2br w:val="nil"/>
                    <w:tr2bl w:val="nil"/>
                  </w:tcBorders>
                  <w:vAlign w:val="center"/>
                </w:tcPr>
                <w:p w14:paraId="311DA78E">
                  <w:pPr>
                    <w:widowControl/>
                    <w:adjustRightInd w:val="0"/>
                    <w:snapToGrid w:val="0"/>
                    <w:jc w:val="center"/>
                    <w:rPr>
                      <w:b w:val="0"/>
                      <w:bCs w:val="0"/>
                      <w:color w:val="auto"/>
                      <w:kern w:val="0"/>
                      <w:vertAlign w:val="baseline"/>
                      <w:lang w:bidi="ar"/>
                    </w:rPr>
                  </w:pPr>
                </w:p>
              </w:tc>
              <w:tc>
                <w:tcPr>
                  <w:tcW w:w="2927" w:type="dxa"/>
                  <w:tcBorders>
                    <w:tl2br w:val="nil"/>
                    <w:tr2bl w:val="nil"/>
                  </w:tcBorders>
                  <w:vAlign w:val="center"/>
                </w:tcPr>
                <w:p w14:paraId="28C61960">
                  <w:pPr>
                    <w:widowControl/>
                    <w:adjustRightInd w:val="0"/>
                    <w:snapToGrid w:val="0"/>
                    <w:jc w:val="center"/>
                    <w:rPr>
                      <w:rFonts w:hint="eastAsia" w:eastAsia="宋体"/>
                      <w:b w:val="0"/>
                      <w:bCs w:val="0"/>
                      <w:color w:val="auto"/>
                      <w:kern w:val="0"/>
                      <w:vertAlign w:val="baseline"/>
                      <w:lang w:val="en-US" w:eastAsia="zh-CN" w:bidi="ar"/>
                    </w:rPr>
                  </w:pPr>
                  <w:r>
                    <w:rPr>
                      <w:rFonts w:hint="eastAsia"/>
                      <w:b w:val="0"/>
                      <w:bCs w:val="0"/>
                      <w:color w:val="auto"/>
                      <w:kern w:val="0"/>
                      <w:vertAlign w:val="baseline"/>
                      <w:lang w:val="en-US" w:eastAsia="zh-CN" w:bidi="ar"/>
                    </w:rPr>
                    <w:t>卫生陶瓷制品制造（3072）</w:t>
                  </w:r>
                </w:p>
              </w:tc>
              <w:tc>
                <w:tcPr>
                  <w:tcW w:w="2863" w:type="dxa"/>
                  <w:tcBorders>
                    <w:tl2br w:val="nil"/>
                    <w:tr2bl w:val="nil"/>
                  </w:tcBorders>
                  <w:vAlign w:val="center"/>
                </w:tcPr>
                <w:p w14:paraId="0478AD07">
                  <w:pPr>
                    <w:widowControl/>
                    <w:adjustRightInd w:val="0"/>
                    <w:snapToGrid w:val="0"/>
                    <w:jc w:val="center"/>
                    <w:rPr>
                      <w:rFonts w:hint="eastAsia" w:eastAsia="宋体"/>
                      <w:b w:val="0"/>
                      <w:bCs w:val="0"/>
                      <w:color w:val="auto"/>
                      <w:kern w:val="0"/>
                      <w:vertAlign w:val="baseline"/>
                      <w:lang w:val="en-US" w:eastAsia="zh-CN" w:bidi="ar"/>
                    </w:rPr>
                  </w:pPr>
                  <w:r>
                    <w:rPr>
                      <w:rFonts w:hint="eastAsia"/>
                      <w:b w:val="0"/>
                      <w:bCs w:val="0"/>
                      <w:color w:val="auto"/>
                      <w:kern w:val="0"/>
                      <w:vertAlign w:val="baseline"/>
                      <w:lang w:val="en-US" w:eastAsia="zh-CN" w:bidi="ar"/>
                    </w:rPr>
                    <w:t>卫生陶瓷制造。</w:t>
                  </w:r>
                </w:p>
              </w:tc>
              <w:tc>
                <w:tcPr>
                  <w:tcW w:w="1161" w:type="dxa"/>
                  <w:vMerge w:val="continue"/>
                  <w:tcBorders>
                    <w:tl2br w:val="nil"/>
                    <w:tr2bl w:val="nil"/>
                  </w:tcBorders>
                  <w:vAlign w:val="center"/>
                </w:tcPr>
                <w:p w14:paraId="3CBC1115">
                  <w:pPr>
                    <w:widowControl/>
                    <w:adjustRightInd w:val="0"/>
                    <w:snapToGrid w:val="0"/>
                    <w:jc w:val="center"/>
                    <w:rPr>
                      <w:b w:val="0"/>
                      <w:bCs w:val="0"/>
                      <w:color w:val="auto"/>
                      <w:kern w:val="0"/>
                      <w:vertAlign w:val="baseline"/>
                      <w:lang w:bidi="ar"/>
                    </w:rPr>
                  </w:pPr>
                </w:p>
              </w:tc>
            </w:tr>
            <w:tr w14:paraId="16DD585F">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1096" w:type="dxa"/>
                  <w:vMerge w:val="continue"/>
                  <w:tcBorders>
                    <w:tl2br w:val="nil"/>
                    <w:tr2bl w:val="nil"/>
                  </w:tcBorders>
                  <w:vAlign w:val="center"/>
                </w:tcPr>
                <w:p w14:paraId="21C2802F">
                  <w:pPr>
                    <w:widowControl/>
                    <w:adjustRightInd w:val="0"/>
                    <w:snapToGrid w:val="0"/>
                    <w:jc w:val="center"/>
                    <w:rPr>
                      <w:b w:val="0"/>
                      <w:bCs w:val="0"/>
                      <w:color w:val="auto"/>
                      <w:kern w:val="0"/>
                      <w:vertAlign w:val="baseline"/>
                      <w:lang w:bidi="ar"/>
                    </w:rPr>
                  </w:pPr>
                </w:p>
              </w:tc>
              <w:tc>
                <w:tcPr>
                  <w:tcW w:w="2927" w:type="dxa"/>
                  <w:tcBorders>
                    <w:tl2br w:val="nil"/>
                    <w:tr2bl w:val="nil"/>
                  </w:tcBorders>
                  <w:vAlign w:val="center"/>
                </w:tcPr>
                <w:p w14:paraId="7BAB5A49">
                  <w:pPr>
                    <w:widowControl/>
                    <w:adjustRightInd w:val="0"/>
                    <w:snapToGrid w:val="0"/>
                    <w:jc w:val="center"/>
                    <w:rPr>
                      <w:rFonts w:hint="default" w:eastAsia="宋体"/>
                      <w:b w:val="0"/>
                      <w:bCs w:val="0"/>
                      <w:color w:val="auto"/>
                      <w:kern w:val="0"/>
                      <w:vertAlign w:val="baseline"/>
                      <w:lang w:val="en-US" w:eastAsia="zh-CN" w:bidi="ar"/>
                    </w:rPr>
                  </w:pPr>
                  <w:r>
                    <w:rPr>
                      <w:rFonts w:hint="eastAsia"/>
                      <w:b w:val="0"/>
                      <w:bCs w:val="0"/>
                      <w:color w:val="auto"/>
                      <w:kern w:val="0"/>
                      <w:vertAlign w:val="baseline"/>
                      <w:lang w:val="en-US" w:eastAsia="zh-CN" w:bidi="ar"/>
                    </w:rPr>
                    <w:t>耐火陶瓷制品及其他耐火材料制造（3089）</w:t>
                  </w:r>
                </w:p>
              </w:tc>
              <w:tc>
                <w:tcPr>
                  <w:tcW w:w="2863" w:type="dxa"/>
                  <w:tcBorders>
                    <w:tl2br w:val="nil"/>
                    <w:tr2bl w:val="nil"/>
                  </w:tcBorders>
                  <w:vAlign w:val="center"/>
                </w:tcPr>
                <w:p w14:paraId="0F450B0F">
                  <w:pPr>
                    <w:widowControl/>
                    <w:adjustRightInd w:val="0"/>
                    <w:snapToGrid w:val="0"/>
                    <w:jc w:val="center"/>
                    <w:rPr>
                      <w:rFonts w:hint="default" w:eastAsia="宋体"/>
                      <w:b w:val="0"/>
                      <w:bCs w:val="0"/>
                      <w:color w:val="auto"/>
                      <w:kern w:val="0"/>
                      <w:vertAlign w:val="baseline"/>
                      <w:lang w:val="en-US" w:eastAsia="zh-CN" w:bidi="ar"/>
                    </w:rPr>
                  </w:pPr>
                  <w:r>
                    <w:rPr>
                      <w:rFonts w:hint="eastAsia"/>
                      <w:b w:val="0"/>
                      <w:bCs w:val="0"/>
                      <w:color w:val="auto"/>
                      <w:kern w:val="0"/>
                      <w:vertAlign w:val="baseline"/>
                      <w:lang w:val="en-US" w:eastAsia="zh-CN" w:bidi="ar"/>
                    </w:rPr>
                    <w:t>烧结粘土砖、烧结镁质砖、烧结高铝砖、烧结硅砖制造。</w:t>
                  </w:r>
                </w:p>
              </w:tc>
              <w:tc>
                <w:tcPr>
                  <w:tcW w:w="1161" w:type="dxa"/>
                  <w:vMerge w:val="continue"/>
                  <w:tcBorders>
                    <w:tl2br w:val="nil"/>
                    <w:tr2bl w:val="nil"/>
                  </w:tcBorders>
                  <w:vAlign w:val="center"/>
                </w:tcPr>
                <w:p w14:paraId="339FCCDA">
                  <w:pPr>
                    <w:widowControl/>
                    <w:adjustRightInd w:val="0"/>
                    <w:snapToGrid w:val="0"/>
                    <w:jc w:val="center"/>
                    <w:rPr>
                      <w:b w:val="0"/>
                      <w:bCs w:val="0"/>
                      <w:color w:val="auto"/>
                      <w:kern w:val="0"/>
                      <w:vertAlign w:val="baseline"/>
                      <w:lang w:bidi="ar"/>
                    </w:rPr>
                  </w:pPr>
                </w:p>
              </w:tc>
            </w:tr>
            <w:tr w14:paraId="16ED569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1096" w:type="dxa"/>
                  <w:vMerge w:val="continue"/>
                  <w:tcBorders>
                    <w:tl2br w:val="nil"/>
                    <w:tr2bl w:val="nil"/>
                  </w:tcBorders>
                  <w:vAlign w:val="center"/>
                </w:tcPr>
                <w:p w14:paraId="7E55773B">
                  <w:pPr>
                    <w:widowControl/>
                    <w:adjustRightInd w:val="0"/>
                    <w:snapToGrid w:val="0"/>
                    <w:jc w:val="center"/>
                    <w:rPr>
                      <w:b w:val="0"/>
                      <w:bCs w:val="0"/>
                      <w:color w:val="auto"/>
                      <w:kern w:val="0"/>
                      <w:vertAlign w:val="baseline"/>
                      <w:lang w:bidi="ar"/>
                    </w:rPr>
                  </w:pPr>
                </w:p>
              </w:tc>
              <w:tc>
                <w:tcPr>
                  <w:tcW w:w="2927" w:type="dxa"/>
                  <w:tcBorders>
                    <w:tl2br w:val="nil"/>
                    <w:tr2bl w:val="nil"/>
                  </w:tcBorders>
                  <w:vAlign w:val="center"/>
                </w:tcPr>
                <w:p w14:paraId="77138540">
                  <w:pPr>
                    <w:widowControl/>
                    <w:adjustRightInd w:val="0"/>
                    <w:snapToGrid w:val="0"/>
                    <w:jc w:val="center"/>
                    <w:rPr>
                      <w:rFonts w:hint="default" w:eastAsia="宋体"/>
                      <w:b w:val="0"/>
                      <w:bCs w:val="0"/>
                      <w:color w:val="auto"/>
                      <w:kern w:val="0"/>
                      <w:vertAlign w:val="baseline"/>
                      <w:lang w:val="en-US" w:eastAsia="zh-CN" w:bidi="ar"/>
                    </w:rPr>
                  </w:pPr>
                  <w:r>
                    <w:rPr>
                      <w:rFonts w:hint="eastAsia"/>
                      <w:b w:val="0"/>
                      <w:bCs w:val="0"/>
                      <w:color w:val="auto"/>
                      <w:kern w:val="0"/>
                      <w:vertAlign w:val="baseline"/>
                      <w:lang w:val="en-US" w:eastAsia="zh-CN" w:bidi="ar"/>
                    </w:rPr>
                    <w:t>石墨及碳素制品制造（3091）</w:t>
                  </w:r>
                </w:p>
              </w:tc>
              <w:tc>
                <w:tcPr>
                  <w:tcW w:w="2863" w:type="dxa"/>
                  <w:tcBorders>
                    <w:tl2br w:val="nil"/>
                    <w:tr2bl w:val="nil"/>
                  </w:tcBorders>
                  <w:vAlign w:val="center"/>
                </w:tcPr>
                <w:p w14:paraId="728EC607">
                  <w:pPr>
                    <w:widowControl/>
                    <w:adjustRightInd w:val="0"/>
                    <w:snapToGrid w:val="0"/>
                    <w:jc w:val="center"/>
                    <w:rPr>
                      <w:rFonts w:hint="default" w:eastAsia="宋体"/>
                      <w:b w:val="0"/>
                      <w:bCs w:val="0"/>
                      <w:color w:val="auto"/>
                      <w:kern w:val="0"/>
                      <w:vertAlign w:val="baseline"/>
                      <w:lang w:val="en-US" w:eastAsia="zh-CN" w:bidi="ar"/>
                    </w:rPr>
                  </w:pPr>
                  <w:r>
                    <w:rPr>
                      <w:rFonts w:hint="eastAsia"/>
                      <w:b w:val="0"/>
                      <w:bCs w:val="0"/>
                      <w:color w:val="auto"/>
                      <w:kern w:val="0"/>
                      <w:vertAlign w:val="baseline"/>
                      <w:lang w:val="en-US" w:eastAsia="zh-CN" w:bidi="ar"/>
                    </w:rPr>
                    <w:t>碳块、碳电极、碳糊、铝用碳素制造。</w:t>
                  </w:r>
                </w:p>
              </w:tc>
              <w:tc>
                <w:tcPr>
                  <w:tcW w:w="1161" w:type="dxa"/>
                  <w:vMerge w:val="continue"/>
                  <w:tcBorders>
                    <w:tl2br w:val="nil"/>
                    <w:tr2bl w:val="nil"/>
                  </w:tcBorders>
                  <w:vAlign w:val="center"/>
                </w:tcPr>
                <w:p w14:paraId="1E7CF560">
                  <w:pPr>
                    <w:widowControl/>
                    <w:adjustRightInd w:val="0"/>
                    <w:snapToGrid w:val="0"/>
                    <w:jc w:val="center"/>
                    <w:rPr>
                      <w:b w:val="0"/>
                      <w:bCs w:val="0"/>
                      <w:color w:val="auto"/>
                      <w:kern w:val="0"/>
                      <w:vertAlign w:val="baseline"/>
                      <w:lang w:bidi="ar"/>
                    </w:rPr>
                  </w:pPr>
                </w:p>
              </w:tc>
            </w:tr>
            <w:tr w14:paraId="12EDFCB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1096" w:type="dxa"/>
                  <w:vMerge w:val="restart"/>
                  <w:tcBorders>
                    <w:tl2br w:val="nil"/>
                    <w:tr2bl w:val="nil"/>
                  </w:tcBorders>
                  <w:vAlign w:val="center"/>
                </w:tcPr>
                <w:p w14:paraId="5939454F">
                  <w:pPr>
                    <w:widowControl/>
                    <w:adjustRightInd w:val="0"/>
                    <w:snapToGrid w:val="0"/>
                    <w:jc w:val="center"/>
                    <w:rPr>
                      <w:rFonts w:hint="default" w:eastAsia="宋体"/>
                      <w:b w:val="0"/>
                      <w:bCs w:val="0"/>
                      <w:color w:val="auto"/>
                      <w:kern w:val="0"/>
                      <w:vertAlign w:val="baseline"/>
                      <w:lang w:val="en-US" w:eastAsia="zh-CN" w:bidi="ar"/>
                    </w:rPr>
                  </w:pPr>
                  <w:r>
                    <w:rPr>
                      <w:rFonts w:hint="eastAsia"/>
                      <w:b w:val="0"/>
                      <w:bCs w:val="0"/>
                      <w:color w:val="auto"/>
                      <w:kern w:val="0"/>
                      <w:vertAlign w:val="baseline"/>
                      <w:lang w:val="en-US" w:eastAsia="zh-CN" w:bidi="ar"/>
                    </w:rPr>
                    <w:t>黑色金属冶炼和压延加工业</w:t>
                  </w:r>
                </w:p>
              </w:tc>
              <w:tc>
                <w:tcPr>
                  <w:tcW w:w="2927" w:type="dxa"/>
                  <w:tcBorders>
                    <w:tl2br w:val="nil"/>
                    <w:tr2bl w:val="nil"/>
                  </w:tcBorders>
                  <w:vAlign w:val="center"/>
                </w:tcPr>
                <w:p w14:paraId="6CEA5289">
                  <w:pPr>
                    <w:widowControl/>
                    <w:adjustRightInd w:val="0"/>
                    <w:snapToGrid w:val="0"/>
                    <w:jc w:val="center"/>
                    <w:rPr>
                      <w:rFonts w:hint="default"/>
                      <w:b w:val="0"/>
                      <w:bCs w:val="0"/>
                      <w:color w:val="auto"/>
                      <w:kern w:val="0"/>
                      <w:vertAlign w:val="baseline"/>
                      <w:lang w:val="en-US" w:eastAsia="zh-CN" w:bidi="ar"/>
                    </w:rPr>
                  </w:pPr>
                  <w:r>
                    <w:rPr>
                      <w:rFonts w:hint="eastAsia"/>
                      <w:b w:val="0"/>
                      <w:bCs w:val="0"/>
                      <w:color w:val="auto"/>
                      <w:kern w:val="0"/>
                      <w:vertAlign w:val="baseline"/>
                      <w:lang w:val="en-US" w:eastAsia="zh-CN" w:bidi="ar"/>
                    </w:rPr>
                    <w:t>炼铁（3110）</w:t>
                  </w:r>
                </w:p>
              </w:tc>
              <w:tc>
                <w:tcPr>
                  <w:tcW w:w="2863" w:type="dxa"/>
                  <w:tcBorders>
                    <w:tl2br w:val="nil"/>
                    <w:tr2bl w:val="nil"/>
                  </w:tcBorders>
                  <w:vAlign w:val="center"/>
                </w:tcPr>
                <w:p w14:paraId="058C48B1">
                  <w:pPr>
                    <w:widowControl/>
                    <w:adjustRightInd w:val="0"/>
                    <w:snapToGrid w:val="0"/>
                    <w:jc w:val="center"/>
                    <w:rPr>
                      <w:rFonts w:hint="eastAsia" w:eastAsia="宋体"/>
                      <w:b w:val="0"/>
                      <w:bCs w:val="0"/>
                      <w:color w:val="auto"/>
                      <w:kern w:val="0"/>
                      <w:vertAlign w:val="baseline"/>
                      <w:lang w:eastAsia="zh-CN" w:bidi="ar"/>
                    </w:rPr>
                  </w:pPr>
                  <w:r>
                    <w:rPr>
                      <w:rFonts w:hint="eastAsia"/>
                      <w:b w:val="0"/>
                      <w:bCs w:val="0"/>
                      <w:color w:val="auto"/>
                      <w:kern w:val="0"/>
                      <w:vertAlign w:val="baseline"/>
                      <w:lang w:bidi="ar"/>
                    </w:rPr>
                    <w:t>带式焙烧等高效球团矿生产及高炉高比例球团冶炼除外</w:t>
                  </w:r>
                  <w:r>
                    <w:rPr>
                      <w:rFonts w:hint="eastAsia"/>
                      <w:b w:val="0"/>
                      <w:bCs w:val="0"/>
                      <w:color w:val="auto"/>
                      <w:kern w:val="0"/>
                      <w:vertAlign w:val="baseline"/>
                      <w:lang w:eastAsia="zh-CN" w:bidi="ar"/>
                    </w:rPr>
                    <w:t>；</w:t>
                  </w:r>
                  <w:r>
                    <w:rPr>
                      <w:rFonts w:hint="eastAsia"/>
                      <w:b w:val="0"/>
                      <w:bCs w:val="0"/>
                      <w:color w:val="auto"/>
                      <w:kern w:val="0"/>
                      <w:vertAlign w:val="baseline"/>
                      <w:lang w:bidi="ar"/>
                    </w:rPr>
                    <w:t>气基直接还原低碳炼铁</w:t>
                  </w:r>
                  <w:r>
                    <w:rPr>
                      <w:rFonts w:hint="eastAsia"/>
                      <w:b w:val="0"/>
                      <w:bCs w:val="0"/>
                      <w:color w:val="auto"/>
                      <w:kern w:val="0"/>
                      <w:vertAlign w:val="baseline"/>
                      <w:lang w:eastAsia="zh-CN" w:bidi="ar"/>
                    </w:rPr>
                    <w:t>（</w:t>
                  </w:r>
                  <w:r>
                    <w:rPr>
                      <w:rFonts w:hint="eastAsia"/>
                      <w:b w:val="0"/>
                      <w:bCs w:val="0"/>
                      <w:color w:val="auto"/>
                      <w:kern w:val="0"/>
                      <w:vertAlign w:val="baseline"/>
                      <w:lang w:bidi="ar"/>
                    </w:rPr>
                    <w:t>不含煤制气</w:t>
                  </w:r>
                  <w:r>
                    <w:rPr>
                      <w:rFonts w:hint="eastAsia"/>
                      <w:b w:val="0"/>
                      <w:bCs w:val="0"/>
                      <w:color w:val="auto"/>
                      <w:kern w:val="0"/>
                      <w:vertAlign w:val="baseline"/>
                      <w:lang w:eastAsia="zh-CN" w:bidi="ar"/>
                    </w:rPr>
                    <w:t>）</w:t>
                  </w:r>
                  <w:r>
                    <w:rPr>
                      <w:rFonts w:hint="eastAsia"/>
                      <w:b w:val="0"/>
                      <w:bCs w:val="0"/>
                      <w:color w:val="auto"/>
                      <w:kern w:val="0"/>
                      <w:vertAlign w:val="baseline"/>
                      <w:lang w:bidi="ar"/>
                    </w:rPr>
                    <w:t>、高炉富氢喷吹冶炼除外</w:t>
                  </w:r>
                  <w:r>
                    <w:rPr>
                      <w:rFonts w:hint="eastAsia"/>
                      <w:b w:val="0"/>
                      <w:bCs w:val="0"/>
                      <w:color w:val="auto"/>
                      <w:kern w:val="0"/>
                      <w:vertAlign w:val="baseline"/>
                      <w:lang w:eastAsia="zh-CN" w:bidi="ar"/>
                    </w:rPr>
                    <w:t>；</w:t>
                  </w:r>
                  <w:r>
                    <w:rPr>
                      <w:rFonts w:hint="eastAsia"/>
                      <w:b w:val="0"/>
                      <w:bCs w:val="0"/>
                      <w:color w:val="auto"/>
                      <w:kern w:val="0"/>
                      <w:vertAlign w:val="baseline"/>
                      <w:lang w:bidi="ar"/>
                    </w:rPr>
                    <w:t>4N级以上高纯铁制造除外</w:t>
                  </w:r>
                  <w:r>
                    <w:rPr>
                      <w:rFonts w:hint="eastAsia"/>
                      <w:b w:val="0"/>
                      <w:bCs w:val="0"/>
                      <w:color w:val="auto"/>
                      <w:kern w:val="0"/>
                      <w:vertAlign w:val="baseline"/>
                      <w:lang w:eastAsia="zh-CN" w:bidi="ar"/>
                    </w:rPr>
                    <w:t>。</w:t>
                  </w:r>
                </w:p>
              </w:tc>
              <w:tc>
                <w:tcPr>
                  <w:tcW w:w="1161" w:type="dxa"/>
                  <w:vMerge w:val="continue"/>
                  <w:tcBorders>
                    <w:tl2br w:val="nil"/>
                    <w:tr2bl w:val="nil"/>
                  </w:tcBorders>
                  <w:vAlign w:val="center"/>
                </w:tcPr>
                <w:p w14:paraId="362FAC3F">
                  <w:pPr>
                    <w:widowControl/>
                    <w:adjustRightInd w:val="0"/>
                    <w:snapToGrid w:val="0"/>
                    <w:jc w:val="center"/>
                    <w:rPr>
                      <w:b w:val="0"/>
                      <w:bCs w:val="0"/>
                      <w:color w:val="auto"/>
                      <w:kern w:val="0"/>
                      <w:vertAlign w:val="baseline"/>
                      <w:lang w:bidi="ar"/>
                    </w:rPr>
                  </w:pPr>
                </w:p>
              </w:tc>
            </w:tr>
            <w:tr w14:paraId="6B8DA9C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1096" w:type="dxa"/>
                  <w:vMerge w:val="continue"/>
                  <w:tcBorders>
                    <w:tl2br w:val="nil"/>
                    <w:tr2bl w:val="nil"/>
                  </w:tcBorders>
                  <w:vAlign w:val="center"/>
                </w:tcPr>
                <w:p w14:paraId="72B93926">
                  <w:pPr>
                    <w:widowControl/>
                    <w:adjustRightInd w:val="0"/>
                    <w:snapToGrid w:val="0"/>
                    <w:jc w:val="center"/>
                    <w:rPr>
                      <w:b w:val="0"/>
                      <w:bCs w:val="0"/>
                      <w:color w:val="auto"/>
                      <w:kern w:val="0"/>
                      <w:vertAlign w:val="baseline"/>
                      <w:lang w:bidi="ar"/>
                    </w:rPr>
                  </w:pPr>
                </w:p>
              </w:tc>
              <w:tc>
                <w:tcPr>
                  <w:tcW w:w="2927" w:type="dxa"/>
                  <w:tcBorders>
                    <w:tl2br w:val="nil"/>
                    <w:tr2bl w:val="nil"/>
                  </w:tcBorders>
                  <w:vAlign w:val="center"/>
                </w:tcPr>
                <w:p w14:paraId="5CFBC47E">
                  <w:pPr>
                    <w:widowControl/>
                    <w:adjustRightInd w:val="0"/>
                    <w:snapToGrid w:val="0"/>
                    <w:jc w:val="center"/>
                    <w:rPr>
                      <w:rFonts w:hint="default"/>
                      <w:b w:val="0"/>
                      <w:bCs w:val="0"/>
                      <w:color w:val="auto"/>
                      <w:kern w:val="0"/>
                      <w:vertAlign w:val="baseline"/>
                      <w:lang w:val="en-US" w:eastAsia="zh-CN" w:bidi="ar"/>
                    </w:rPr>
                  </w:pPr>
                  <w:r>
                    <w:rPr>
                      <w:rFonts w:hint="eastAsia"/>
                      <w:b w:val="0"/>
                      <w:bCs w:val="0"/>
                      <w:color w:val="auto"/>
                      <w:kern w:val="0"/>
                      <w:vertAlign w:val="baseline"/>
                      <w:lang w:val="en-US" w:eastAsia="zh-CN" w:bidi="ar"/>
                    </w:rPr>
                    <w:t>炼钢（3120）</w:t>
                  </w:r>
                </w:p>
              </w:tc>
              <w:tc>
                <w:tcPr>
                  <w:tcW w:w="2863" w:type="dxa"/>
                  <w:tcBorders>
                    <w:tl2br w:val="nil"/>
                    <w:tr2bl w:val="nil"/>
                  </w:tcBorders>
                  <w:vAlign w:val="center"/>
                </w:tcPr>
                <w:p w14:paraId="23920A6D">
                  <w:pPr>
                    <w:widowControl/>
                    <w:adjustRightInd w:val="0"/>
                    <w:snapToGrid w:val="0"/>
                    <w:jc w:val="center"/>
                    <w:rPr>
                      <w:rFonts w:hint="eastAsia" w:eastAsia="宋体"/>
                      <w:b w:val="0"/>
                      <w:bCs w:val="0"/>
                      <w:color w:val="auto"/>
                      <w:kern w:val="0"/>
                      <w:vertAlign w:val="baseline"/>
                      <w:lang w:eastAsia="zh-CN" w:bidi="ar"/>
                    </w:rPr>
                  </w:pPr>
                  <w:r>
                    <w:rPr>
                      <w:rFonts w:hint="eastAsia"/>
                      <w:b w:val="0"/>
                      <w:bCs w:val="0"/>
                      <w:color w:val="auto"/>
                      <w:kern w:val="0"/>
                      <w:vertAlign w:val="baseline"/>
                      <w:lang w:bidi="ar"/>
                    </w:rPr>
                    <w:t>短流程炼钢、长流程炼钢改短流程炼钢，以及短流程炼钢技改提升的除外</w:t>
                  </w:r>
                  <w:r>
                    <w:rPr>
                      <w:rFonts w:hint="eastAsia"/>
                      <w:b w:val="0"/>
                      <w:bCs w:val="0"/>
                      <w:color w:val="auto"/>
                      <w:kern w:val="0"/>
                      <w:vertAlign w:val="baseline"/>
                      <w:lang w:eastAsia="zh-CN" w:bidi="ar"/>
                    </w:rPr>
                    <w:t>；</w:t>
                  </w:r>
                  <w:r>
                    <w:rPr>
                      <w:rFonts w:hint="eastAsia"/>
                      <w:b w:val="0"/>
                      <w:bCs w:val="0"/>
                      <w:color w:val="auto"/>
                      <w:kern w:val="0"/>
                      <w:vertAlign w:val="baseline"/>
                      <w:lang w:bidi="ar"/>
                    </w:rPr>
                    <w:t>航空轴承用钢、航空航天用超高强度钢、高温合金、精密合金制造除外</w:t>
                  </w:r>
                  <w:r>
                    <w:rPr>
                      <w:rFonts w:hint="eastAsia"/>
                      <w:b w:val="0"/>
                      <w:bCs w:val="0"/>
                      <w:color w:val="auto"/>
                      <w:kern w:val="0"/>
                      <w:vertAlign w:val="baseline"/>
                      <w:lang w:eastAsia="zh-CN" w:bidi="ar"/>
                    </w:rPr>
                    <w:t>；</w:t>
                  </w:r>
                  <w:r>
                    <w:rPr>
                      <w:rFonts w:hint="eastAsia"/>
                      <w:b w:val="0"/>
                      <w:bCs w:val="0"/>
                      <w:color w:val="auto"/>
                      <w:kern w:val="0"/>
                      <w:vertAlign w:val="baseline"/>
                      <w:lang w:bidi="ar"/>
                    </w:rPr>
                    <w:t>不增加炼钢产能精炼项目</w:t>
                  </w:r>
                  <w:r>
                    <w:rPr>
                      <w:rFonts w:hint="eastAsia"/>
                      <w:b w:val="0"/>
                      <w:bCs w:val="0"/>
                      <w:color w:val="auto"/>
                      <w:kern w:val="0"/>
                      <w:vertAlign w:val="baseline"/>
                      <w:lang w:eastAsia="zh-CN" w:bidi="ar"/>
                    </w:rPr>
                    <w:t>（</w:t>
                  </w:r>
                  <w:r>
                    <w:rPr>
                      <w:rFonts w:hint="eastAsia"/>
                      <w:b w:val="0"/>
                      <w:bCs w:val="0"/>
                      <w:color w:val="auto"/>
                      <w:kern w:val="0"/>
                      <w:vertAlign w:val="baseline"/>
                      <w:lang w:bidi="ar"/>
                    </w:rPr>
                    <w:t>使用LF、RH、VD、VOD等精炼设备</w:t>
                  </w:r>
                  <w:r>
                    <w:rPr>
                      <w:rFonts w:hint="eastAsia"/>
                      <w:b w:val="0"/>
                      <w:bCs w:val="0"/>
                      <w:color w:val="auto"/>
                      <w:kern w:val="0"/>
                      <w:vertAlign w:val="baseline"/>
                      <w:lang w:eastAsia="zh-CN" w:bidi="ar"/>
                    </w:rPr>
                    <w:t>）</w:t>
                  </w:r>
                  <w:r>
                    <w:rPr>
                      <w:rFonts w:hint="eastAsia"/>
                      <w:b w:val="0"/>
                      <w:bCs w:val="0"/>
                      <w:color w:val="auto"/>
                      <w:kern w:val="0"/>
                      <w:vertAlign w:val="baseline"/>
                      <w:lang w:bidi="ar"/>
                    </w:rPr>
                    <w:t>除外</w:t>
                  </w:r>
                  <w:r>
                    <w:rPr>
                      <w:rFonts w:hint="eastAsia"/>
                      <w:b w:val="0"/>
                      <w:bCs w:val="0"/>
                      <w:color w:val="auto"/>
                      <w:kern w:val="0"/>
                      <w:vertAlign w:val="baseline"/>
                      <w:lang w:eastAsia="zh-CN" w:bidi="ar"/>
                    </w:rPr>
                    <w:t>。</w:t>
                  </w:r>
                </w:p>
              </w:tc>
              <w:tc>
                <w:tcPr>
                  <w:tcW w:w="1161" w:type="dxa"/>
                  <w:vMerge w:val="continue"/>
                  <w:tcBorders>
                    <w:tl2br w:val="nil"/>
                    <w:tr2bl w:val="nil"/>
                  </w:tcBorders>
                  <w:vAlign w:val="center"/>
                </w:tcPr>
                <w:p w14:paraId="59CDEC89">
                  <w:pPr>
                    <w:widowControl/>
                    <w:adjustRightInd w:val="0"/>
                    <w:snapToGrid w:val="0"/>
                    <w:jc w:val="center"/>
                    <w:rPr>
                      <w:b w:val="0"/>
                      <w:bCs w:val="0"/>
                      <w:color w:val="auto"/>
                      <w:kern w:val="0"/>
                      <w:vertAlign w:val="baseline"/>
                      <w:lang w:bidi="ar"/>
                    </w:rPr>
                  </w:pPr>
                </w:p>
              </w:tc>
            </w:tr>
            <w:tr w14:paraId="0C935A2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1096" w:type="dxa"/>
                  <w:vMerge w:val="continue"/>
                  <w:tcBorders>
                    <w:tl2br w:val="nil"/>
                    <w:tr2bl w:val="nil"/>
                  </w:tcBorders>
                  <w:vAlign w:val="center"/>
                </w:tcPr>
                <w:p w14:paraId="04254EAA">
                  <w:pPr>
                    <w:widowControl/>
                    <w:adjustRightInd w:val="0"/>
                    <w:snapToGrid w:val="0"/>
                    <w:jc w:val="center"/>
                    <w:rPr>
                      <w:b w:val="0"/>
                      <w:bCs w:val="0"/>
                      <w:color w:val="auto"/>
                      <w:kern w:val="0"/>
                      <w:vertAlign w:val="baseline"/>
                      <w:lang w:bidi="ar"/>
                    </w:rPr>
                  </w:pPr>
                </w:p>
              </w:tc>
              <w:tc>
                <w:tcPr>
                  <w:tcW w:w="2927" w:type="dxa"/>
                  <w:tcBorders>
                    <w:tl2br w:val="nil"/>
                    <w:tr2bl w:val="nil"/>
                  </w:tcBorders>
                  <w:vAlign w:val="center"/>
                </w:tcPr>
                <w:p w14:paraId="3E946D3B">
                  <w:pPr>
                    <w:widowControl/>
                    <w:adjustRightInd w:val="0"/>
                    <w:snapToGrid w:val="0"/>
                    <w:jc w:val="center"/>
                    <w:rPr>
                      <w:rFonts w:hint="default"/>
                      <w:b w:val="0"/>
                      <w:bCs w:val="0"/>
                      <w:color w:val="auto"/>
                      <w:kern w:val="0"/>
                      <w:vertAlign w:val="baseline"/>
                      <w:lang w:val="en-US" w:eastAsia="zh-CN" w:bidi="ar"/>
                    </w:rPr>
                  </w:pPr>
                  <w:r>
                    <w:rPr>
                      <w:rFonts w:hint="eastAsia"/>
                      <w:b w:val="0"/>
                      <w:bCs w:val="0"/>
                      <w:color w:val="auto"/>
                      <w:kern w:val="0"/>
                      <w:vertAlign w:val="baseline"/>
                      <w:lang w:val="en-US" w:eastAsia="zh-CN" w:bidi="ar"/>
                    </w:rPr>
                    <w:t>钢压延加工（3130）</w:t>
                  </w:r>
                </w:p>
              </w:tc>
              <w:tc>
                <w:tcPr>
                  <w:tcW w:w="2863" w:type="dxa"/>
                  <w:tcBorders>
                    <w:tl2br w:val="nil"/>
                    <w:tr2bl w:val="nil"/>
                  </w:tcBorders>
                  <w:vAlign w:val="center"/>
                </w:tcPr>
                <w:p w14:paraId="3B98922A">
                  <w:pPr>
                    <w:widowControl/>
                    <w:adjustRightInd w:val="0"/>
                    <w:snapToGrid w:val="0"/>
                    <w:jc w:val="center"/>
                    <w:rPr>
                      <w:b w:val="0"/>
                      <w:bCs w:val="0"/>
                      <w:color w:val="auto"/>
                      <w:kern w:val="0"/>
                      <w:vertAlign w:val="baseline"/>
                      <w:lang w:bidi="ar"/>
                    </w:rPr>
                  </w:pPr>
                  <w:r>
                    <w:rPr>
                      <w:rFonts w:hint="eastAsia"/>
                      <w:b w:val="0"/>
                      <w:bCs w:val="0"/>
                      <w:color w:val="auto"/>
                      <w:kern w:val="0"/>
                      <w:vertAlign w:val="baseline"/>
                      <w:lang w:bidi="ar"/>
                    </w:rPr>
                    <w:t>列入《战略性新兴产业分类</w:t>
                  </w:r>
                  <w:r>
                    <w:rPr>
                      <w:rFonts w:hint="eastAsia"/>
                      <w:b w:val="0"/>
                      <w:bCs w:val="0"/>
                      <w:color w:val="auto"/>
                      <w:kern w:val="0"/>
                      <w:vertAlign w:val="baseline"/>
                      <w:lang w:eastAsia="zh-CN" w:bidi="ar"/>
                    </w:rPr>
                    <w:t>（</w:t>
                  </w:r>
                  <w:r>
                    <w:rPr>
                      <w:rFonts w:hint="eastAsia"/>
                      <w:b w:val="0"/>
                      <w:bCs w:val="0"/>
                      <w:color w:val="auto"/>
                      <w:kern w:val="0"/>
                      <w:vertAlign w:val="baseline"/>
                      <w:lang w:bidi="ar"/>
                    </w:rPr>
                    <w:t>2018</w:t>
                  </w:r>
                  <w:r>
                    <w:rPr>
                      <w:rFonts w:hint="eastAsia"/>
                      <w:b w:val="0"/>
                      <w:bCs w:val="0"/>
                      <w:color w:val="auto"/>
                      <w:kern w:val="0"/>
                      <w:vertAlign w:val="baseline"/>
                      <w:lang w:eastAsia="zh-CN" w:bidi="ar"/>
                    </w:rPr>
                    <w:t>）</w:t>
                  </w:r>
                  <w:r>
                    <w:rPr>
                      <w:rFonts w:hint="eastAsia"/>
                      <w:b w:val="0"/>
                      <w:bCs w:val="0"/>
                      <w:color w:val="auto"/>
                      <w:kern w:val="0"/>
                      <w:vertAlign w:val="baseline"/>
                      <w:lang w:bidi="ar"/>
                    </w:rPr>
                    <w:t>重点产品和服务目录的先进钢铁材料制造除外</w:t>
                  </w:r>
                  <w:r>
                    <w:rPr>
                      <w:rFonts w:hint="eastAsia"/>
                      <w:b w:val="0"/>
                      <w:bCs w:val="0"/>
                      <w:color w:val="auto"/>
                      <w:kern w:val="0"/>
                      <w:vertAlign w:val="baseline"/>
                      <w:lang w:eastAsia="zh-CN" w:bidi="ar"/>
                    </w:rPr>
                    <w:t>；</w:t>
                  </w:r>
                  <w:r>
                    <w:rPr>
                      <w:rFonts w:hint="eastAsia"/>
                      <w:b w:val="0"/>
                      <w:bCs w:val="0"/>
                      <w:color w:val="auto"/>
                      <w:kern w:val="0"/>
                      <w:vertAlign w:val="baseline"/>
                      <w:lang w:bidi="ar"/>
                    </w:rPr>
                    <w:t>近终形铸轧一体化除外</w:t>
                  </w:r>
                  <w:r>
                    <w:rPr>
                      <w:rFonts w:hint="eastAsia"/>
                      <w:b w:val="0"/>
                      <w:bCs w:val="0"/>
                      <w:color w:val="auto"/>
                      <w:kern w:val="0"/>
                      <w:vertAlign w:val="baseline"/>
                      <w:lang w:eastAsia="zh-CN" w:bidi="ar"/>
                    </w:rPr>
                    <w:t>；</w:t>
                  </w:r>
                  <w:r>
                    <w:rPr>
                      <w:rFonts w:hint="eastAsia"/>
                      <w:b w:val="0"/>
                      <w:bCs w:val="0"/>
                      <w:color w:val="auto"/>
                      <w:kern w:val="0"/>
                      <w:vertAlign w:val="baseline"/>
                      <w:lang w:bidi="ar"/>
                    </w:rPr>
                    <w:t>采用加热炉高效燃烧</w:t>
                  </w:r>
                  <w:r>
                    <w:rPr>
                      <w:rFonts w:hint="eastAsia"/>
                      <w:b w:val="0"/>
                      <w:bCs w:val="0"/>
                      <w:color w:val="auto"/>
                      <w:kern w:val="0"/>
                      <w:vertAlign w:val="baseline"/>
                      <w:lang w:eastAsia="zh-CN" w:bidi="ar"/>
                    </w:rPr>
                    <w:t>（</w:t>
                  </w:r>
                  <w:r>
                    <w:rPr>
                      <w:rFonts w:hint="eastAsia"/>
                      <w:b w:val="0"/>
                      <w:bCs w:val="0"/>
                      <w:color w:val="auto"/>
                      <w:kern w:val="0"/>
                      <w:vertAlign w:val="baseline"/>
                      <w:lang w:bidi="ar"/>
                    </w:rPr>
                    <w:t>包括全氧、富氧、低氮燃烧</w:t>
                  </w:r>
                  <w:r>
                    <w:rPr>
                      <w:rFonts w:hint="eastAsia"/>
                      <w:b w:val="0"/>
                      <w:bCs w:val="0"/>
                      <w:color w:val="auto"/>
                      <w:kern w:val="0"/>
                      <w:vertAlign w:val="baseline"/>
                      <w:lang w:eastAsia="zh-CN" w:bidi="ar"/>
                    </w:rPr>
                    <w:t>）</w:t>
                  </w:r>
                  <w:r>
                    <w:rPr>
                      <w:rFonts w:hint="eastAsia"/>
                      <w:b w:val="0"/>
                      <w:bCs w:val="0"/>
                      <w:color w:val="auto"/>
                      <w:kern w:val="0"/>
                      <w:vertAlign w:val="baseline"/>
                      <w:lang w:bidi="ar"/>
                    </w:rPr>
                    <w:t>的除外。</w:t>
                  </w:r>
                </w:p>
              </w:tc>
              <w:tc>
                <w:tcPr>
                  <w:tcW w:w="1161" w:type="dxa"/>
                  <w:vMerge w:val="continue"/>
                  <w:tcBorders>
                    <w:tl2br w:val="nil"/>
                    <w:tr2bl w:val="nil"/>
                  </w:tcBorders>
                  <w:vAlign w:val="center"/>
                </w:tcPr>
                <w:p w14:paraId="0F7BF8DC">
                  <w:pPr>
                    <w:widowControl/>
                    <w:adjustRightInd w:val="0"/>
                    <w:snapToGrid w:val="0"/>
                    <w:jc w:val="center"/>
                    <w:rPr>
                      <w:b w:val="0"/>
                      <w:bCs w:val="0"/>
                      <w:color w:val="auto"/>
                      <w:kern w:val="0"/>
                      <w:vertAlign w:val="baseline"/>
                      <w:lang w:bidi="ar"/>
                    </w:rPr>
                  </w:pPr>
                </w:p>
              </w:tc>
            </w:tr>
            <w:tr w14:paraId="0EA690B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1096" w:type="dxa"/>
                  <w:vMerge w:val="continue"/>
                  <w:tcBorders>
                    <w:tl2br w:val="nil"/>
                    <w:tr2bl w:val="nil"/>
                  </w:tcBorders>
                  <w:vAlign w:val="center"/>
                </w:tcPr>
                <w:p w14:paraId="212A7A1F">
                  <w:pPr>
                    <w:widowControl/>
                    <w:adjustRightInd w:val="0"/>
                    <w:snapToGrid w:val="0"/>
                    <w:jc w:val="center"/>
                    <w:rPr>
                      <w:b w:val="0"/>
                      <w:bCs w:val="0"/>
                      <w:color w:val="auto"/>
                      <w:kern w:val="0"/>
                      <w:vertAlign w:val="baseline"/>
                      <w:lang w:bidi="ar"/>
                    </w:rPr>
                  </w:pPr>
                </w:p>
              </w:tc>
              <w:tc>
                <w:tcPr>
                  <w:tcW w:w="2927" w:type="dxa"/>
                  <w:tcBorders>
                    <w:tl2br w:val="nil"/>
                    <w:tr2bl w:val="nil"/>
                  </w:tcBorders>
                  <w:vAlign w:val="center"/>
                </w:tcPr>
                <w:p w14:paraId="678131E2">
                  <w:pPr>
                    <w:widowControl/>
                    <w:adjustRightInd w:val="0"/>
                    <w:snapToGrid w:val="0"/>
                    <w:jc w:val="center"/>
                    <w:rPr>
                      <w:rFonts w:hint="default"/>
                      <w:b w:val="0"/>
                      <w:bCs w:val="0"/>
                      <w:color w:val="auto"/>
                      <w:kern w:val="0"/>
                      <w:vertAlign w:val="baseline"/>
                      <w:lang w:val="en-US" w:eastAsia="zh-CN" w:bidi="ar"/>
                    </w:rPr>
                  </w:pPr>
                  <w:r>
                    <w:rPr>
                      <w:rFonts w:hint="eastAsia"/>
                      <w:b w:val="0"/>
                      <w:bCs w:val="0"/>
                      <w:color w:val="auto"/>
                      <w:kern w:val="0"/>
                      <w:vertAlign w:val="baseline"/>
                      <w:lang w:val="en-US" w:eastAsia="zh-CN" w:bidi="ar"/>
                    </w:rPr>
                    <w:t>铁合金冶炼（3140）</w:t>
                  </w:r>
                </w:p>
              </w:tc>
              <w:tc>
                <w:tcPr>
                  <w:tcW w:w="2863" w:type="dxa"/>
                  <w:tcBorders>
                    <w:tl2br w:val="nil"/>
                    <w:tr2bl w:val="nil"/>
                  </w:tcBorders>
                  <w:vAlign w:val="center"/>
                </w:tcPr>
                <w:p w14:paraId="2B204F36">
                  <w:pPr>
                    <w:widowControl/>
                    <w:adjustRightInd w:val="0"/>
                    <w:snapToGrid w:val="0"/>
                    <w:jc w:val="center"/>
                    <w:rPr>
                      <w:rFonts w:hint="default" w:eastAsia="宋体"/>
                      <w:b w:val="0"/>
                      <w:bCs w:val="0"/>
                      <w:color w:val="auto"/>
                      <w:kern w:val="0"/>
                      <w:vertAlign w:val="baseline"/>
                      <w:lang w:val="en-US" w:eastAsia="zh-CN" w:bidi="ar"/>
                    </w:rPr>
                  </w:pPr>
                  <w:r>
                    <w:rPr>
                      <w:rFonts w:hint="eastAsia"/>
                      <w:b w:val="0"/>
                      <w:bCs w:val="0"/>
                      <w:color w:val="auto"/>
                      <w:kern w:val="0"/>
                      <w:vertAlign w:val="baseline"/>
                      <w:lang w:val="en-US" w:eastAsia="zh-CN" w:bidi="ar"/>
                    </w:rPr>
                    <w:t>铁基合金粉末（航空领域）冶炼除外。</w:t>
                  </w:r>
                </w:p>
              </w:tc>
              <w:tc>
                <w:tcPr>
                  <w:tcW w:w="1161" w:type="dxa"/>
                  <w:vMerge w:val="continue"/>
                  <w:tcBorders>
                    <w:tl2br w:val="nil"/>
                    <w:tr2bl w:val="nil"/>
                  </w:tcBorders>
                  <w:vAlign w:val="center"/>
                </w:tcPr>
                <w:p w14:paraId="106D0FD6">
                  <w:pPr>
                    <w:widowControl/>
                    <w:adjustRightInd w:val="0"/>
                    <w:snapToGrid w:val="0"/>
                    <w:jc w:val="center"/>
                    <w:rPr>
                      <w:b w:val="0"/>
                      <w:bCs w:val="0"/>
                      <w:color w:val="auto"/>
                      <w:kern w:val="0"/>
                      <w:vertAlign w:val="baseline"/>
                      <w:lang w:bidi="ar"/>
                    </w:rPr>
                  </w:pPr>
                </w:p>
              </w:tc>
            </w:tr>
            <w:tr w14:paraId="23916743">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1096" w:type="dxa"/>
                  <w:vMerge w:val="restart"/>
                  <w:tcBorders>
                    <w:tl2br w:val="nil"/>
                    <w:tr2bl w:val="nil"/>
                  </w:tcBorders>
                  <w:vAlign w:val="center"/>
                </w:tcPr>
                <w:p w14:paraId="51F7B3EE">
                  <w:pPr>
                    <w:widowControl/>
                    <w:adjustRightInd w:val="0"/>
                    <w:snapToGrid w:val="0"/>
                    <w:jc w:val="center"/>
                    <w:rPr>
                      <w:rFonts w:hint="default" w:eastAsia="宋体"/>
                      <w:b w:val="0"/>
                      <w:bCs w:val="0"/>
                      <w:color w:val="auto"/>
                      <w:kern w:val="0"/>
                      <w:vertAlign w:val="baseline"/>
                      <w:lang w:val="en-US" w:eastAsia="zh-CN" w:bidi="ar"/>
                    </w:rPr>
                  </w:pPr>
                  <w:r>
                    <w:rPr>
                      <w:rFonts w:hint="eastAsia"/>
                      <w:b w:val="0"/>
                      <w:bCs w:val="0"/>
                      <w:color w:val="auto"/>
                      <w:kern w:val="0"/>
                      <w:vertAlign w:val="baseline"/>
                      <w:lang w:val="en-US" w:eastAsia="zh-CN" w:bidi="ar"/>
                    </w:rPr>
                    <w:t>有色金属冶炼和压延加工业</w:t>
                  </w:r>
                </w:p>
              </w:tc>
              <w:tc>
                <w:tcPr>
                  <w:tcW w:w="2927" w:type="dxa"/>
                  <w:tcBorders>
                    <w:tl2br w:val="nil"/>
                    <w:tr2bl w:val="nil"/>
                  </w:tcBorders>
                  <w:vAlign w:val="center"/>
                </w:tcPr>
                <w:p w14:paraId="338D5447">
                  <w:pPr>
                    <w:widowControl/>
                    <w:adjustRightInd w:val="0"/>
                    <w:snapToGrid w:val="0"/>
                    <w:jc w:val="center"/>
                    <w:rPr>
                      <w:rFonts w:hint="default"/>
                      <w:b w:val="0"/>
                      <w:bCs w:val="0"/>
                      <w:color w:val="auto"/>
                      <w:kern w:val="0"/>
                      <w:vertAlign w:val="baseline"/>
                      <w:lang w:val="en-US" w:eastAsia="zh-CN" w:bidi="ar"/>
                    </w:rPr>
                  </w:pPr>
                  <w:r>
                    <w:rPr>
                      <w:rFonts w:hint="eastAsia"/>
                      <w:b w:val="0"/>
                      <w:bCs w:val="0"/>
                      <w:color w:val="auto"/>
                      <w:kern w:val="0"/>
                      <w:vertAlign w:val="baseline"/>
                      <w:lang w:val="en-US" w:eastAsia="zh-CN" w:bidi="ar"/>
                    </w:rPr>
                    <w:t>铜冶炼（3211）</w:t>
                  </w:r>
                </w:p>
              </w:tc>
              <w:tc>
                <w:tcPr>
                  <w:tcW w:w="2863" w:type="dxa"/>
                  <w:vMerge w:val="restart"/>
                  <w:tcBorders>
                    <w:tl2br w:val="nil"/>
                    <w:tr2bl w:val="nil"/>
                  </w:tcBorders>
                  <w:vAlign w:val="center"/>
                </w:tcPr>
                <w:p w14:paraId="683493FE">
                  <w:pPr>
                    <w:widowControl/>
                    <w:adjustRightInd w:val="0"/>
                    <w:snapToGrid w:val="0"/>
                    <w:jc w:val="center"/>
                    <w:rPr>
                      <w:rFonts w:hint="default" w:eastAsia="宋体"/>
                      <w:b w:val="0"/>
                      <w:bCs w:val="0"/>
                      <w:color w:val="auto"/>
                      <w:kern w:val="0"/>
                      <w:vertAlign w:val="baseline"/>
                      <w:lang w:val="en-US" w:eastAsia="zh-CN" w:bidi="ar"/>
                    </w:rPr>
                  </w:pPr>
                  <w:r>
                    <w:rPr>
                      <w:rFonts w:hint="eastAsia"/>
                      <w:b w:val="0"/>
                      <w:bCs w:val="0"/>
                      <w:color w:val="auto"/>
                      <w:kern w:val="0"/>
                      <w:vertAlign w:val="baseline"/>
                      <w:lang w:val="en-US" w:eastAsia="zh-CN" w:bidi="ar"/>
                    </w:rPr>
                    <w:t>再生资源冶炼除外。</w:t>
                  </w:r>
                </w:p>
              </w:tc>
              <w:tc>
                <w:tcPr>
                  <w:tcW w:w="1161" w:type="dxa"/>
                  <w:vMerge w:val="continue"/>
                  <w:tcBorders>
                    <w:tl2br w:val="nil"/>
                    <w:tr2bl w:val="nil"/>
                  </w:tcBorders>
                  <w:vAlign w:val="center"/>
                </w:tcPr>
                <w:p w14:paraId="431F12D9">
                  <w:pPr>
                    <w:widowControl/>
                    <w:adjustRightInd w:val="0"/>
                    <w:snapToGrid w:val="0"/>
                    <w:jc w:val="center"/>
                    <w:rPr>
                      <w:b w:val="0"/>
                      <w:bCs w:val="0"/>
                      <w:color w:val="auto"/>
                      <w:kern w:val="0"/>
                      <w:vertAlign w:val="baseline"/>
                      <w:lang w:bidi="ar"/>
                    </w:rPr>
                  </w:pPr>
                </w:p>
              </w:tc>
            </w:tr>
            <w:tr w14:paraId="5B26901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1096" w:type="dxa"/>
                  <w:vMerge w:val="continue"/>
                  <w:tcBorders>
                    <w:tl2br w:val="nil"/>
                    <w:tr2bl w:val="nil"/>
                  </w:tcBorders>
                  <w:vAlign w:val="center"/>
                </w:tcPr>
                <w:p w14:paraId="3DC219AD">
                  <w:pPr>
                    <w:widowControl/>
                    <w:adjustRightInd w:val="0"/>
                    <w:snapToGrid w:val="0"/>
                    <w:jc w:val="center"/>
                    <w:rPr>
                      <w:b w:val="0"/>
                      <w:bCs w:val="0"/>
                      <w:color w:val="auto"/>
                      <w:kern w:val="0"/>
                      <w:vertAlign w:val="baseline"/>
                      <w:lang w:bidi="ar"/>
                    </w:rPr>
                  </w:pPr>
                </w:p>
              </w:tc>
              <w:tc>
                <w:tcPr>
                  <w:tcW w:w="2927" w:type="dxa"/>
                  <w:tcBorders>
                    <w:tl2br w:val="nil"/>
                    <w:tr2bl w:val="nil"/>
                  </w:tcBorders>
                  <w:vAlign w:val="center"/>
                </w:tcPr>
                <w:p w14:paraId="1601A383">
                  <w:pPr>
                    <w:widowControl/>
                    <w:adjustRightInd w:val="0"/>
                    <w:snapToGrid w:val="0"/>
                    <w:jc w:val="center"/>
                    <w:rPr>
                      <w:rFonts w:hint="default"/>
                      <w:b w:val="0"/>
                      <w:bCs w:val="0"/>
                      <w:color w:val="auto"/>
                      <w:kern w:val="0"/>
                      <w:vertAlign w:val="baseline"/>
                      <w:lang w:val="en-US" w:eastAsia="zh-CN" w:bidi="ar"/>
                    </w:rPr>
                  </w:pPr>
                  <w:r>
                    <w:rPr>
                      <w:rFonts w:hint="eastAsia"/>
                      <w:b w:val="0"/>
                      <w:bCs w:val="0"/>
                      <w:color w:val="auto"/>
                      <w:kern w:val="0"/>
                      <w:vertAlign w:val="baseline"/>
                      <w:lang w:val="en-US" w:eastAsia="zh-CN" w:bidi="ar"/>
                    </w:rPr>
                    <w:t>铅锌冶炼（3212）</w:t>
                  </w:r>
                </w:p>
              </w:tc>
              <w:tc>
                <w:tcPr>
                  <w:tcW w:w="2863" w:type="dxa"/>
                  <w:vMerge w:val="continue"/>
                  <w:tcBorders>
                    <w:tl2br w:val="nil"/>
                    <w:tr2bl w:val="nil"/>
                  </w:tcBorders>
                  <w:vAlign w:val="center"/>
                </w:tcPr>
                <w:p w14:paraId="7CF1E4D2">
                  <w:pPr>
                    <w:widowControl/>
                    <w:adjustRightInd w:val="0"/>
                    <w:snapToGrid w:val="0"/>
                    <w:jc w:val="center"/>
                    <w:rPr>
                      <w:b w:val="0"/>
                      <w:bCs w:val="0"/>
                      <w:color w:val="auto"/>
                      <w:kern w:val="0"/>
                      <w:vertAlign w:val="baseline"/>
                      <w:lang w:bidi="ar"/>
                    </w:rPr>
                  </w:pPr>
                </w:p>
              </w:tc>
              <w:tc>
                <w:tcPr>
                  <w:tcW w:w="1161" w:type="dxa"/>
                  <w:vMerge w:val="continue"/>
                  <w:tcBorders>
                    <w:tl2br w:val="nil"/>
                    <w:tr2bl w:val="nil"/>
                  </w:tcBorders>
                  <w:vAlign w:val="center"/>
                </w:tcPr>
                <w:p w14:paraId="6019FF9C">
                  <w:pPr>
                    <w:widowControl/>
                    <w:adjustRightInd w:val="0"/>
                    <w:snapToGrid w:val="0"/>
                    <w:jc w:val="center"/>
                    <w:rPr>
                      <w:b w:val="0"/>
                      <w:bCs w:val="0"/>
                      <w:color w:val="auto"/>
                      <w:kern w:val="0"/>
                      <w:vertAlign w:val="baseline"/>
                      <w:lang w:bidi="ar"/>
                    </w:rPr>
                  </w:pPr>
                </w:p>
              </w:tc>
            </w:tr>
            <w:tr w14:paraId="77AEFC8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1096" w:type="dxa"/>
                  <w:vMerge w:val="continue"/>
                  <w:tcBorders>
                    <w:tl2br w:val="nil"/>
                    <w:tr2bl w:val="nil"/>
                  </w:tcBorders>
                  <w:vAlign w:val="center"/>
                </w:tcPr>
                <w:p w14:paraId="39BB211B">
                  <w:pPr>
                    <w:widowControl/>
                    <w:adjustRightInd w:val="0"/>
                    <w:snapToGrid w:val="0"/>
                    <w:jc w:val="center"/>
                    <w:rPr>
                      <w:b w:val="0"/>
                      <w:bCs w:val="0"/>
                      <w:color w:val="auto"/>
                      <w:kern w:val="0"/>
                      <w:vertAlign w:val="baseline"/>
                      <w:lang w:bidi="ar"/>
                    </w:rPr>
                  </w:pPr>
                </w:p>
              </w:tc>
              <w:tc>
                <w:tcPr>
                  <w:tcW w:w="2927" w:type="dxa"/>
                  <w:tcBorders>
                    <w:tl2br w:val="nil"/>
                    <w:tr2bl w:val="nil"/>
                  </w:tcBorders>
                  <w:vAlign w:val="center"/>
                </w:tcPr>
                <w:p w14:paraId="52B1C8B3">
                  <w:pPr>
                    <w:widowControl/>
                    <w:adjustRightInd w:val="0"/>
                    <w:snapToGrid w:val="0"/>
                    <w:jc w:val="center"/>
                    <w:rPr>
                      <w:rFonts w:hint="default"/>
                      <w:b w:val="0"/>
                      <w:bCs w:val="0"/>
                      <w:color w:val="auto"/>
                      <w:kern w:val="0"/>
                      <w:vertAlign w:val="baseline"/>
                      <w:lang w:val="en-US" w:eastAsia="zh-CN" w:bidi="ar"/>
                    </w:rPr>
                  </w:pPr>
                  <w:r>
                    <w:rPr>
                      <w:rFonts w:hint="eastAsia"/>
                      <w:b w:val="0"/>
                      <w:bCs w:val="0"/>
                      <w:color w:val="auto"/>
                      <w:kern w:val="0"/>
                      <w:vertAlign w:val="baseline"/>
                      <w:lang w:val="en-US" w:eastAsia="zh-CN" w:bidi="ar"/>
                    </w:rPr>
                    <w:t>镍钴冶炼（3213）</w:t>
                  </w:r>
                </w:p>
              </w:tc>
              <w:tc>
                <w:tcPr>
                  <w:tcW w:w="2863" w:type="dxa"/>
                  <w:vMerge w:val="continue"/>
                  <w:tcBorders>
                    <w:tl2br w:val="nil"/>
                    <w:tr2bl w:val="nil"/>
                  </w:tcBorders>
                  <w:vAlign w:val="center"/>
                </w:tcPr>
                <w:p w14:paraId="7E5AB17F">
                  <w:pPr>
                    <w:widowControl/>
                    <w:adjustRightInd w:val="0"/>
                    <w:snapToGrid w:val="0"/>
                    <w:jc w:val="center"/>
                    <w:rPr>
                      <w:b w:val="0"/>
                      <w:bCs w:val="0"/>
                      <w:color w:val="auto"/>
                      <w:kern w:val="0"/>
                      <w:vertAlign w:val="baseline"/>
                      <w:lang w:bidi="ar"/>
                    </w:rPr>
                  </w:pPr>
                </w:p>
              </w:tc>
              <w:tc>
                <w:tcPr>
                  <w:tcW w:w="1161" w:type="dxa"/>
                  <w:vMerge w:val="continue"/>
                  <w:tcBorders>
                    <w:tl2br w:val="nil"/>
                    <w:tr2bl w:val="nil"/>
                  </w:tcBorders>
                  <w:vAlign w:val="center"/>
                </w:tcPr>
                <w:p w14:paraId="174A4EA7">
                  <w:pPr>
                    <w:widowControl/>
                    <w:adjustRightInd w:val="0"/>
                    <w:snapToGrid w:val="0"/>
                    <w:jc w:val="center"/>
                    <w:rPr>
                      <w:b w:val="0"/>
                      <w:bCs w:val="0"/>
                      <w:color w:val="auto"/>
                      <w:kern w:val="0"/>
                      <w:vertAlign w:val="baseline"/>
                      <w:lang w:bidi="ar"/>
                    </w:rPr>
                  </w:pPr>
                </w:p>
              </w:tc>
            </w:tr>
            <w:tr w14:paraId="0811EE8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1096" w:type="dxa"/>
                  <w:vMerge w:val="continue"/>
                  <w:tcBorders>
                    <w:tl2br w:val="nil"/>
                    <w:tr2bl w:val="nil"/>
                  </w:tcBorders>
                  <w:vAlign w:val="center"/>
                </w:tcPr>
                <w:p w14:paraId="33A0CD10">
                  <w:pPr>
                    <w:widowControl/>
                    <w:adjustRightInd w:val="0"/>
                    <w:snapToGrid w:val="0"/>
                    <w:jc w:val="center"/>
                    <w:rPr>
                      <w:b w:val="0"/>
                      <w:bCs w:val="0"/>
                      <w:color w:val="auto"/>
                      <w:kern w:val="0"/>
                      <w:vertAlign w:val="baseline"/>
                      <w:lang w:bidi="ar"/>
                    </w:rPr>
                  </w:pPr>
                </w:p>
              </w:tc>
              <w:tc>
                <w:tcPr>
                  <w:tcW w:w="2927" w:type="dxa"/>
                  <w:tcBorders>
                    <w:tl2br w:val="nil"/>
                    <w:tr2bl w:val="nil"/>
                  </w:tcBorders>
                  <w:vAlign w:val="center"/>
                </w:tcPr>
                <w:p w14:paraId="23457A7B">
                  <w:pPr>
                    <w:widowControl/>
                    <w:adjustRightInd w:val="0"/>
                    <w:snapToGrid w:val="0"/>
                    <w:jc w:val="center"/>
                    <w:rPr>
                      <w:rFonts w:hint="default"/>
                      <w:b w:val="0"/>
                      <w:bCs w:val="0"/>
                      <w:color w:val="auto"/>
                      <w:kern w:val="0"/>
                      <w:vertAlign w:val="baseline"/>
                      <w:lang w:val="en-US" w:eastAsia="zh-CN" w:bidi="ar"/>
                    </w:rPr>
                  </w:pPr>
                  <w:r>
                    <w:rPr>
                      <w:rFonts w:hint="eastAsia"/>
                      <w:b w:val="0"/>
                      <w:bCs w:val="0"/>
                      <w:color w:val="auto"/>
                      <w:kern w:val="0"/>
                      <w:vertAlign w:val="baseline"/>
                      <w:lang w:val="en-US" w:eastAsia="zh-CN" w:bidi="ar"/>
                    </w:rPr>
                    <w:t>锡冶炼（3214）</w:t>
                  </w:r>
                </w:p>
              </w:tc>
              <w:tc>
                <w:tcPr>
                  <w:tcW w:w="2863" w:type="dxa"/>
                  <w:vMerge w:val="continue"/>
                  <w:tcBorders>
                    <w:tl2br w:val="nil"/>
                    <w:tr2bl w:val="nil"/>
                  </w:tcBorders>
                  <w:vAlign w:val="center"/>
                </w:tcPr>
                <w:p w14:paraId="23A65B28">
                  <w:pPr>
                    <w:widowControl/>
                    <w:adjustRightInd w:val="0"/>
                    <w:snapToGrid w:val="0"/>
                    <w:jc w:val="center"/>
                    <w:rPr>
                      <w:b w:val="0"/>
                      <w:bCs w:val="0"/>
                      <w:color w:val="auto"/>
                      <w:kern w:val="0"/>
                      <w:vertAlign w:val="baseline"/>
                      <w:lang w:bidi="ar"/>
                    </w:rPr>
                  </w:pPr>
                </w:p>
              </w:tc>
              <w:tc>
                <w:tcPr>
                  <w:tcW w:w="1161" w:type="dxa"/>
                  <w:vMerge w:val="continue"/>
                  <w:tcBorders>
                    <w:tl2br w:val="nil"/>
                    <w:tr2bl w:val="nil"/>
                  </w:tcBorders>
                  <w:vAlign w:val="center"/>
                </w:tcPr>
                <w:p w14:paraId="614E8044">
                  <w:pPr>
                    <w:widowControl/>
                    <w:adjustRightInd w:val="0"/>
                    <w:snapToGrid w:val="0"/>
                    <w:jc w:val="center"/>
                    <w:rPr>
                      <w:b w:val="0"/>
                      <w:bCs w:val="0"/>
                      <w:color w:val="auto"/>
                      <w:kern w:val="0"/>
                      <w:vertAlign w:val="baseline"/>
                      <w:lang w:bidi="ar"/>
                    </w:rPr>
                  </w:pPr>
                </w:p>
              </w:tc>
            </w:tr>
            <w:tr w14:paraId="2545D0E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1096" w:type="dxa"/>
                  <w:vMerge w:val="continue"/>
                  <w:tcBorders>
                    <w:tl2br w:val="nil"/>
                    <w:tr2bl w:val="nil"/>
                  </w:tcBorders>
                  <w:vAlign w:val="center"/>
                </w:tcPr>
                <w:p w14:paraId="676902E5">
                  <w:pPr>
                    <w:widowControl/>
                    <w:adjustRightInd w:val="0"/>
                    <w:snapToGrid w:val="0"/>
                    <w:jc w:val="center"/>
                    <w:rPr>
                      <w:b w:val="0"/>
                      <w:bCs w:val="0"/>
                      <w:color w:val="auto"/>
                      <w:kern w:val="0"/>
                      <w:vertAlign w:val="baseline"/>
                      <w:lang w:bidi="ar"/>
                    </w:rPr>
                  </w:pPr>
                </w:p>
              </w:tc>
              <w:tc>
                <w:tcPr>
                  <w:tcW w:w="2927" w:type="dxa"/>
                  <w:tcBorders>
                    <w:tl2br w:val="nil"/>
                    <w:tr2bl w:val="nil"/>
                  </w:tcBorders>
                  <w:vAlign w:val="center"/>
                </w:tcPr>
                <w:p w14:paraId="7DE42553">
                  <w:pPr>
                    <w:widowControl/>
                    <w:adjustRightInd w:val="0"/>
                    <w:snapToGrid w:val="0"/>
                    <w:jc w:val="center"/>
                    <w:rPr>
                      <w:rFonts w:hint="default"/>
                      <w:b w:val="0"/>
                      <w:bCs w:val="0"/>
                      <w:color w:val="auto"/>
                      <w:kern w:val="0"/>
                      <w:vertAlign w:val="baseline"/>
                      <w:lang w:val="en-US" w:eastAsia="zh-CN" w:bidi="ar"/>
                    </w:rPr>
                  </w:pPr>
                  <w:r>
                    <w:rPr>
                      <w:rFonts w:hint="default"/>
                      <w:b w:val="0"/>
                      <w:bCs w:val="0"/>
                      <w:color w:val="auto"/>
                      <w:kern w:val="0"/>
                      <w:vertAlign w:val="baseline"/>
                      <w:lang w:val="en-US" w:eastAsia="zh-CN" w:bidi="ar"/>
                    </w:rPr>
                    <w:t>锑</w:t>
                  </w:r>
                  <w:r>
                    <w:rPr>
                      <w:rFonts w:hint="eastAsia"/>
                      <w:b w:val="0"/>
                      <w:bCs w:val="0"/>
                      <w:color w:val="auto"/>
                      <w:kern w:val="0"/>
                      <w:vertAlign w:val="baseline"/>
                      <w:lang w:val="en-US" w:eastAsia="zh-CN" w:bidi="ar"/>
                    </w:rPr>
                    <w:t>冶炼（3215）</w:t>
                  </w:r>
                </w:p>
              </w:tc>
              <w:tc>
                <w:tcPr>
                  <w:tcW w:w="2863" w:type="dxa"/>
                  <w:vMerge w:val="continue"/>
                  <w:tcBorders>
                    <w:tl2br w:val="nil"/>
                    <w:tr2bl w:val="nil"/>
                  </w:tcBorders>
                  <w:vAlign w:val="center"/>
                </w:tcPr>
                <w:p w14:paraId="3C0C4382">
                  <w:pPr>
                    <w:widowControl/>
                    <w:adjustRightInd w:val="0"/>
                    <w:snapToGrid w:val="0"/>
                    <w:jc w:val="center"/>
                    <w:rPr>
                      <w:b w:val="0"/>
                      <w:bCs w:val="0"/>
                      <w:color w:val="auto"/>
                      <w:kern w:val="0"/>
                      <w:vertAlign w:val="baseline"/>
                      <w:lang w:bidi="ar"/>
                    </w:rPr>
                  </w:pPr>
                </w:p>
              </w:tc>
              <w:tc>
                <w:tcPr>
                  <w:tcW w:w="1161" w:type="dxa"/>
                  <w:vMerge w:val="continue"/>
                  <w:tcBorders>
                    <w:tl2br w:val="nil"/>
                    <w:tr2bl w:val="nil"/>
                  </w:tcBorders>
                  <w:vAlign w:val="center"/>
                </w:tcPr>
                <w:p w14:paraId="35E3B20F">
                  <w:pPr>
                    <w:widowControl/>
                    <w:adjustRightInd w:val="0"/>
                    <w:snapToGrid w:val="0"/>
                    <w:jc w:val="center"/>
                    <w:rPr>
                      <w:b w:val="0"/>
                      <w:bCs w:val="0"/>
                      <w:color w:val="auto"/>
                      <w:kern w:val="0"/>
                      <w:vertAlign w:val="baseline"/>
                      <w:lang w:bidi="ar"/>
                    </w:rPr>
                  </w:pPr>
                </w:p>
              </w:tc>
            </w:tr>
            <w:tr w14:paraId="41E9CCC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1096" w:type="dxa"/>
                  <w:vMerge w:val="continue"/>
                  <w:tcBorders>
                    <w:tl2br w:val="nil"/>
                    <w:tr2bl w:val="nil"/>
                  </w:tcBorders>
                  <w:vAlign w:val="center"/>
                </w:tcPr>
                <w:p w14:paraId="244E5C54">
                  <w:pPr>
                    <w:widowControl/>
                    <w:adjustRightInd w:val="0"/>
                    <w:snapToGrid w:val="0"/>
                    <w:jc w:val="center"/>
                    <w:rPr>
                      <w:b w:val="0"/>
                      <w:bCs w:val="0"/>
                      <w:color w:val="auto"/>
                      <w:kern w:val="0"/>
                      <w:vertAlign w:val="baseline"/>
                      <w:lang w:bidi="ar"/>
                    </w:rPr>
                  </w:pPr>
                </w:p>
              </w:tc>
              <w:tc>
                <w:tcPr>
                  <w:tcW w:w="2927" w:type="dxa"/>
                  <w:tcBorders>
                    <w:tl2br w:val="nil"/>
                    <w:tr2bl w:val="nil"/>
                  </w:tcBorders>
                  <w:vAlign w:val="center"/>
                </w:tcPr>
                <w:p w14:paraId="4C80FF0B">
                  <w:pPr>
                    <w:widowControl/>
                    <w:adjustRightInd w:val="0"/>
                    <w:snapToGrid w:val="0"/>
                    <w:jc w:val="center"/>
                    <w:rPr>
                      <w:rFonts w:hint="default"/>
                      <w:b w:val="0"/>
                      <w:bCs w:val="0"/>
                      <w:color w:val="auto"/>
                      <w:kern w:val="0"/>
                      <w:vertAlign w:val="baseline"/>
                      <w:lang w:val="en-US" w:eastAsia="zh-CN" w:bidi="ar"/>
                    </w:rPr>
                  </w:pPr>
                  <w:r>
                    <w:rPr>
                      <w:rFonts w:hint="eastAsia"/>
                      <w:b w:val="0"/>
                      <w:bCs w:val="0"/>
                      <w:color w:val="auto"/>
                      <w:kern w:val="0"/>
                      <w:vertAlign w:val="baseline"/>
                      <w:lang w:val="en-US" w:eastAsia="zh-CN" w:bidi="ar"/>
                    </w:rPr>
                    <w:t>铝冶炼（3216）</w:t>
                  </w:r>
                </w:p>
              </w:tc>
              <w:tc>
                <w:tcPr>
                  <w:tcW w:w="2863" w:type="dxa"/>
                  <w:vMerge w:val="continue"/>
                  <w:tcBorders>
                    <w:tl2br w:val="nil"/>
                    <w:tr2bl w:val="nil"/>
                  </w:tcBorders>
                  <w:vAlign w:val="center"/>
                </w:tcPr>
                <w:p w14:paraId="3C565BBE">
                  <w:pPr>
                    <w:widowControl/>
                    <w:adjustRightInd w:val="0"/>
                    <w:snapToGrid w:val="0"/>
                    <w:jc w:val="center"/>
                    <w:rPr>
                      <w:b w:val="0"/>
                      <w:bCs w:val="0"/>
                      <w:color w:val="auto"/>
                      <w:kern w:val="0"/>
                      <w:vertAlign w:val="baseline"/>
                      <w:lang w:bidi="ar"/>
                    </w:rPr>
                  </w:pPr>
                </w:p>
              </w:tc>
              <w:tc>
                <w:tcPr>
                  <w:tcW w:w="1161" w:type="dxa"/>
                  <w:vMerge w:val="continue"/>
                  <w:tcBorders>
                    <w:tl2br w:val="nil"/>
                    <w:tr2bl w:val="nil"/>
                  </w:tcBorders>
                  <w:vAlign w:val="center"/>
                </w:tcPr>
                <w:p w14:paraId="12BE0F7C">
                  <w:pPr>
                    <w:widowControl/>
                    <w:adjustRightInd w:val="0"/>
                    <w:snapToGrid w:val="0"/>
                    <w:jc w:val="center"/>
                    <w:rPr>
                      <w:b w:val="0"/>
                      <w:bCs w:val="0"/>
                      <w:color w:val="auto"/>
                      <w:kern w:val="0"/>
                      <w:vertAlign w:val="baseline"/>
                      <w:lang w:bidi="ar"/>
                    </w:rPr>
                  </w:pPr>
                </w:p>
              </w:tc>
            </w:tr>
            <w:tr w14:paraId="49E0368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1096" w:type="dxa"/>
                  <w:vMerge w:val="continue"/>
                  <w:tcBorders>
                    <w:tl2br w:val="nil"/>
                    <w:tr2bl w:val="nil"/>
                  </w:tcBorders>
                  <w:vAlign w:val="center"/>
                </w:tcPr>
                <w:p w14:paraId="2A767174">
                  <w:pPr>
                    <w:widowControl/>
                    <w:adjustRightInd w:val="0"/>
                    <w:snapToGrid w:val="0"/>
                    <w:jc w:val="center"/>
                    <w:rPr>
                      <w:b w:val="0"/>
                      <w:bCs w:val="0"/>
                      <w:color w:val="auto"/>
                      <w:kern w:val="0"/>
                      <w:vertAlign w:val="baseline"/>
                      <w:lang w:bidi="ar"/>
                    </w:rPr>
                  </w:pPr>
                </w:p>
              </w:tc>
              <w:tc>
                <w:tcPr>
                  <w:tcW w:w="2927" w:type="dxa"/>
                  <w:tcBorders>
                    <w:tl2br w:val="nil"/>
                    <w:tr2bl w:val="nil"/>
                  </w:tcBorders>
                  <w:vAlign w:val="center"/>
                </w:tcPr>
                <w:p w14:paraId="5D6150C4">
                  <w:pPr>
                    <w:widowControl/>
                    <w:adjustRightInd w:val="0"/>
                    <w:snapToGrid w:val="0"/>
                    <w:jc w:val="center"/>
                    <w:rPr>
                      <w:rFonts w:hint="default"/>
                      <w:b w:val="0"/>
                      <w:bCs w:val="0"/>
                      <w:color w:val="auto"/>
                      <w:kern w:val="0"/>
                      <w:vertAlign w:val="baseline"/>
                      <w:lang w:val="en-US" w:eastAsia="zh-CN" w:bidi="ar"/>
                    </w:rPr>
                  </w:pPr>
                  <w:r>
                    <w:rPr>
                      <w:rFonts w:hint="eastAsia"/>
                      <w:b w:val="0"/>
                      <w:bCs w:val="0"/>
                      <w:color w:val="auto"/>
                      <w:kern w:val="0"/>
                      <w:vertAlign w:val="baseline"/>
                      <w:lang w:val="en-US" w:eastAsia="zh-CN" w:bidi="ar"/>
                    </w:rPr>
                    <w:t>镁冶炼（3217）</w:t>
                  </w:r>
                </w:p>
              </w:tc>
              <w:tc>
                <w:tcPr>
                  <w:tcW w:w="2863" w:type="dxa"/>
                  <w:vMerge w:val="continue"/>
                  <w:tcBorders>
                    <w:tl2br w:val="nil"/>
                    <w:tr2bl w:val="nil"/>
                  </w:tcBorders>
                  <w:vAlign w:val="center"/>
                </w:tcPr>
                <w:p w14:paraId="66C241B4">
                  <w:pPr>
                    <w:widowControl/>
                    <w:adjustRightInd w:val="0"/>
                    <w:snapToGrid w:val="0"/>
                    <w:jc w:val="center"/>
                    <w:rPr>
                      <w:b w:val="0"/>
                      <w:bCs w:val="0"/>
                      <w:color w:val="auto"/>
                      <w:kern w:val="0"/>
                      <w:vertAlign w:val="baseline"/>
                      <w:lang w:bidi="ar"/>
                    </w:rPr>
                  </w:pPr>
                </w:p>
              </w:tc>
              <w:tc>
                <w:tcPr>
                  <w:tcW w:w="1161" w:type="dxa"/>
                  <w:vMerge w:val="continue"/>
                  <w:tcBorders>
                    <w:tl2br w:val="nil"/>
                    <w:tr2bl w:val="nil"/>
                  </w:tcBorders>
                  <w:vAlign w:val="center"/>
                </w:tcPr>
                <w:p w14:paraId="374C568E">
                  <w:pPr>
                    <w:widowControl/>
                    <w:adjustRightInd w:val="0"/>
                    <w:snapToGrid w:val="0"/>
                    <w:jc w:val="center"/>
                    <w:rPr>
                      <w:b w:val="0"/>
                      <w:bCs w:val="0"/>
                      <w:color w:val="auto"/>
                      <w:kern w:val="0"/>
                      <w:vertAlign w:val="baseline"/>
                      <w:lang w:bidi="ar"/>
                    </w:rPr>
                  </w:pPr>
                </w:p>
              </w:tc>
            </w:tr>
            <w:tr w14:paraId="4A3F798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1096" w:type="dxa"/>
                  <w:vMerge w:val="continue"/>
                  <w:tcBorders>
                    <w:tl2br w:val="nil"/>
                    <w:tr2bl w:val="nil"/>
                  </w:tcBorders>
                  <w:vAlign w:val="center"/>
                </w:tcPr>
                <w:p w14:paraId="3DC255C7">
                  <w:pPr>
                    <w:widowControl/>
                    <w:adjustRightInd w:val="0"/>
                    <w:snapToGrid w:val="0"/>
                    <w:jc w:val="center"/>
                    <w:rPr>
                      <w:b w:val="0"/>
                      <w:bCs w:val="0"/>
                      <w:color w:val="auto"/>
                      <w:kern w:val="0"/>
                      <w:vertAlign w:val="baseline"/>
                      <w:lang w:bidi="ar"/>
                    </w:rPr>
                  </w:pPr>
                </w:p>
              </w:tc>
              <w:tc>
                <w:tcPr>
                  <w:tcW w:w="2927" w:type="dxa"/>
                  <w:tcBorders>
                    <w:tl2br w:val="nil"/>
                    <w:tr2bl w:val="nil"/>
                  </w:tcBorders>
                  <w:vAlign w:val="center"/>
                </w:tcPr>
                <w:p w14:paraId="2CF41735">
                  <w:pPr>
                    <w:widowControl/>
                    <w:adjustRightInd w:val="0"/>
                    <w:snapToGrid w:val="0"/>
                    <w:jc w:val="center"/>
                    <w:rPr>
                      <w:rFonts w:hint="default"/>
                      <w:b w:val="0"/>
                      <w:bCs w:val="0"/>
                      <w:color w:val="auto"/>
                      <w:kern w:val="0"/>
                      <w:vertAlign w:val="baseline"/>
                      <w:lang w:val="en-US" w:eastAsia="zh-CN" w:bidi="ar"/>
                    </w:rPr>
                  </w:pPr>
                  <w:r>
                    <w:rPr>
                      <w:rFonts w:hint="eastAsia"/>
                      <w:b w:val="0"/>
                      <w:bCs w:val="0"/>
                      <w:color w:val="auto"/>
                      <w:kern w:val="0"/>
                      <w:vertAlign w:val="baseline"/>
                      <w:lang w:val="en-US" w:eastAsia="zh-CN" w:bidi="ar"/>
                    </w:rPr>
                    <w:t>硅冶炼（3218）</w:t>
                  </w:r>
                </w:p>
              </w:tc>
              <w:tc>
                <w:tcPr>
                  <w:tcW w:w="2863" w:type="dxa"/>
                  <w:vMerge w:val="continue"/>
                  <w:tcBorders>
                    <w:tl2br w:val="nil"/>
                    <w:tr2bl w:val="nil"/>
                  </w:tcBorders>
                  <w:vAlign w:val="center"/>
                </w:tcPr>
                <w:p w14:paraId="12C582E7">
                  <w:pPr>
                    <w:widowControl/>
                    <w:adjustRightInd w:val="0"/>
                    <w:snapToGrid w:val="0"/>
                    <w:jc w:val="center"/>
                    <w:rPr>
                      <w:b w:val="0"/>
                      <w:bCs w:val="0"/>
                      <w:color w:val="auto"/>
                      <w:kern w:val="0"/>
                      <w:vertAlign w:val="baseline"/>
                      <w:lang w:bidi="ar"/>
                    </w:rPr>
                  </w:pPr>
                </w:p>
              </w:tc>
              <w:tc>
                <w:tcPr>
                  <w:tcW w:w="1161" w:type="dxa"/>
                  <w:vMerge w:val="continue"/>
                  <w:tcBorders>
                    <w:tl2br w:val="nil"/>
                    <w:tr2bl w:val="nil"/>
                  </w:tcBorders>
                  <w:vAlign w:val="center"/>
                </w:tcPr>
                <w:p w14:paraId="02585638">
                  <w:pPr>
                    <w:widowControl/>
                    <w:adjustRightInd w:val="0"/>
                    <w:snapToGrid w:val="0"/>
                    <w:jc w:val="center"/>
                    <w:rPr>
                      <w:b w:val="0"/>
                      <w:bCs w:val="0"/>
                      <w:color w:val="auto"/>
                      <w:kern w:val="0"/>
                      <w:vertAlign w:val="baseline"/>
                      <w:lang w:bidi="ar"/>
                    </w:rPr>
                  </w:pPr>
                </w:p>
              </w:tc>
            </w:tr>
            <w:tr w14:paraId="1430FA5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1096" w:type="dxa"/>
                  <w:vMerge w:val="continue"/>
                  <w:tcBorders>
                    <w:tl2br w:val="nil"/>
                    <w:tr2bl w:val="nil"/>
                  </w:tcBorders>
                  <w:vAlign w:val="center"/>
                </w:tcPr>
                <w:p w14:paraId="08EF5B86">
                  <w:pPr>
                    <w:widowControl/>
                    <w:adjustRightInd w:val="0"/>
                    <w:snapToGrid w:val="0"/>
                    <w:jc w:val="center"/>
                    <w:rPr>
                      <w:b w:val="0"/>
                      <w:bCs w:val="0"/>
                      <w:color w:val="auto"/>
                      <w:kern w:val="0"/>
                      <w:vertAlign w:val="baseline"/>
                      <w:lang w:bidi="ar"/>
                    </w:rPr>
                  </w:pPr>
                </w:p>
              </w:tc>
              <w:tc>
                <w:tcPr>
                  <w:tcW w:w="2927" w:type="dxa"/>
                  <w:tcBorders>
                    <w:tl2br w:val="nil"/>
                    <w:tr2bl w:val="nil"/>
                  </w:tcBorders>
                  <w:vAlign w:val="center"/>
                </w:tcPr>
                <w:p w14:paraId="6D668624">
                  <w:pPr>
                    <w:widowControl/>
                    <w:adjustRightInd w:val="0"/>
                    <w:snapToGrid w:val="0"/>
                    <w:jc w:val="center"/>
                    <w:rPr>
                      <w:rFonts w:hint="default"/>
                      <w:b w:val="0"/>
                      <w:bCs w:val="0"/>
                      <w:color w:val="auto"/>
                      <w:kern w:val="0"/>
                      <w:vertAlign w:val="baseline"/>
                      <w:lang w:val="en-US" w:eastAsia="zh-CN" w:bidi="ar"/>
                    </w:rPr>
                  </w:pPr>
                  <w:r>
                    <w:rPr>
                      <w:rFonts w:hint="eastAsia"/>
                      <w:b w:val="0"/>
                      <w:bCs w:val="0"/>
                      <w:color w:val="auto"/>
                      <w:kern w:val="0"/>
                      <w:vertAlign w:val="baseline"/>
                      <w:lang w:val="en-US" w:eastAsia="zh-CN" w:bidi="ar"/>
                    </w:rPr>
                    <w:t>其他常用有色金属冶炼（3219）</w:t>
                  </w:r>
                </w:p>
              </w:tc>
              <w:tc>
                <w:tcPr>
                  <w:tcW w:w="2863" w:type="dxa"/>
                  <w:vMerge w:val="continue"/>
                  <w:tcBorders>
                    <w:tl2br w:val="nil"/>
                    <w:tr2bl w:val="nil"/>
                  </w:tcBorders>
                  <w:vAlign w:val="center"/>
                </w:tcPr>
                <w:p w14:paraId="09B74592">
                  <w:pPr>
                    <w:widowControl/>
                    <w:adjustRightInd w:val="0"/>
                    <w:snapToGrid w:val="0"/>
                    <w:jc w:val="center"/>
                    <w:rPr>
                      <w:b w:val="0"/>
                      <w:bCs w:val="0"/>
                      <w:color w:val="auto"/>
                      <w:kern w:val="0"/>
                      <w:vertAlign w:val="baseline"/>
                      <w:lang w:bidi="ar"/>
                    </w:rPr>
                  </w:pPr>
                </w:p>
              </w:tc>
              <w:tc>
                <w:tcPr>
                  <w:tcW w:w="1161" w:type="dxa"/>
                  <w:vMerge w:val="continue"/>
                  <w:tcBorders>
                    <w:tl2br w:val="nil"/>
                    <w:tr2bl w:val="nil"/>
                  </w:tcBorders>
                  <w:vAlign w:val="center"/>
                </w:tcPr>
                <w:p w14:paraId="20098723">
                  <w:pPr>
                    <w:widowControl/>
                    <w:adjustRightInd w:val="0"/>
                    <w:snapToGrid w:val="0"/>
                    <w:jc w:val="center"/>
                    <w:rPr>
                      <w:b w:val="0"/>
                      <w:bCs w:val="0"/>
                      <w:color w:val="auto"/>
                      <w:kern w:val="0"/>
                      <w:vertAlign w:val="baseline"/>
                      <w:lang w:bidi="ar"/>
                    </w:rPr>
                  </w:pPr>
                </w:p>
              </w:tc>
            </w:tr>
            <w:tr w14:paraId="6443FB23">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1096" w:type="dxa"/>
                  <w:vMerge w:val="continue"/>
                  <w:tcBorders>
                    <w:tl2br w:val="nil"/>
                    <w:tr2bl w:val="nil"/>
                  </w:tcBorders>
                  <w:vAlign w:val="center"/>
                </w:tcPr>
                <w:p w14:paraId="38B03632">
                  <w:pPr>
                    <w:widowControl/>
                    <w:adjustRightInd w:val="0"/>
                    <w:snapToGrid w:val="0"/>
                    <w:jc w:val="center"/>
                    <w:rPr>
                      <w:b w:val="0"/>
                      <w:bCs w:val="0"/>
                      <w:color w:val="auto"/>
                      <w:kern w:val="0"/>
                      <w:vertAlign w:val="baseline"/>
                      <w:lang w:bidi="ar"/>
                    </w:rPr>
                  </w:pPr>
                </w:p>
              </w:tc>
              <w:tc>
                <w:tcPr>
                  <w:tcW w:w="2927" w:type="dxa"/>
                  <w:tcBorders>
                    <w:tl2br w:val="nil"/>
                    <w:tr2bl w:val="nil"/>
                  </w:tcBorders>
                  <w:vAlign w:val="center"/>
                </w:tcPr>
                <w:p w14:paraId="79DB3755">
                  <w:pPr>
                    <w:widowControl/>
                    <w:adjustRightInd w:val="0"/>
                    <w:snapToGrid w:val="0"/>
                    <w:jc w:val="center"/>
                    <w:rPr>
                      <w:rFonts w:hint="default"/>
                      <w:b w:val="0"/>
                      <w:bCs w:val="0"/>
                      <w:color w:val="auto"/>
                      <w:kern w:val="0"/>
                      <w:vertAlign w:val="baseline"/>
                      <w:lang w:val="en-US" w:eastAsia="zh-CN" w:bidi="ar"/>
                    </w:rPr>
                  </w:pPr>
                  <w:r>
                    <w:rPr>
                      <w:rFonts w:hint="eastAsia"/>
                      <w:b w:val="0"/>
                      <w:bCs w:val="0"/>
                      <w:color w:val="auto"/>
                      <w:kern w:val="0"/>
                      <w:vertAlign w:val="baseline"/>
                      <w:lang w:val="en-US" w:eastAsia="zh-CN" w:bidi="ar"/>
                    </w:rPr>
                    <w:t>金冶炼（3221）</w:t>
                  </w:r>
                </w:p>
              </w:tc>
              <w:tc>
                <w:tcPr>
                  <w:tcW w:w="2863" w:type="dxa"/>
                  <w:vMerge w:val="continue"/>
                  <w:tcBorders>
                    <w:tl2br w:val="nil"/>
                    <w:tr2bl w:val="nil"/>
                  </w:tcBorders>
                  <w:vAlign w:val="center"/>
                </w:tcPr>
                <w:p w14:paraId="61742385">
                  <w:pPr>
                    <w:widowControl/>
                    <w:adjustRightInd w:val="0"/>
                    <w:snapToGrid w:val="0"/>
                    <w:jc w:val="center"/>
                    <w:rPr>
                      <w:b w:val="0"/>
                      <w:bCs w:val="0"/>
                      <w:color w:val="auto"/>
                      <w:kern w:val="0"/>
                      <w:vertAlign w:val="baseline"/>
                      <w:lang w:bidi="ar"/>
                    </w:rPr>
                  </w:pPr>
                </w:p>
              </w:tc>
              <w:tc>
                <w:tcPr>
                  <w:tcW w:w="1161" w:type="dxa"/>
                  <w:vMerge w:val="continue"/>
                  <w:tcBorders>
                    <w:tl2br w:val="nil"/>
                    <w:tr2bl w:val="nil"/>
                  </w:tcBorders>
                  <w:vAlign w:val="center"/>
                </w:tcPr>
                <w:p w14:paraId="7B5DD1B2">
                  <w:pPr>
                    <w:widowControl/>
                    <w:adjustRightInd w:val="0"/>
                    <w:snapToGrid w:val="0"/>
                    <w:jc w:val="center"/>
                    <w:rPr>
                      <w:b w:val="0"/>
                      <w:bCs w:val="0"/>
                      <w:color w:val="auto"/>
                      <w:kern w:val="0"/>
                      <w:vertAlign w:val="baseline"/>
                      <w:lang w:bidi="ar"/>
                    </w:rPr>
                  </w:pPr>
                </w:p>
              </w:tc>
            </w:tr>
            <w:tr w14:paraId="3DE6E8C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1096" w:type="dxa"/>
                  <w:vMerge w:val="continue"/>
                  <w:tcBorders>
                    <w:tl2br w:val="nil"/>
                    <w:tr2bl w:val="nil"/>
                  </w:tcBorders>
                  <w:vAlign w:val="center"/>
                </w:tcPr>
                <w:p w14:paraId="1DCCD67D">
                  <w:pPr>
                    <w:widowControl/>
                    <w:adjustRightInd w:val="0"/>
                    <w:snapToGrid w:val="0"/>
                    <w:jc w:val="center"/>
                    <w:rPr>
                      <w:b w:val="0"/>
                      <w:bCs w:val="0"/>
                      <w:color w:val="auto"/>
                      <w:kern w:val="0"/>
                      <w:vertAlign w:val="baseline"/>
                      <w:lang w:bidi="ar"/>
                    </w:rPr>
                  </w:pPr>
                </w:p>
              </w:tc>
              <w:tc>
                <w:tcPr>
                  <w:tcW w:w="2927" w:type="dxa"/>
                  <w:tcBorders>
                    <w:tl2br w:val="nil"/>
                    <w:tr2bl w:val="nil"/>
                  </w:tcBorders>
                  <w:vAlign w:val="center"/>
                </w:tcPr>
                <w:p w14:paraId="62BFEBC2">
                  <w:pPr>
                    <w:widowControl/>
                    <w:adjustRightInd w:val="0"/>
                    <w:snapToGrid w:val="0"/>
                    <w:jc w:val="center"/>
                    <w:rPr>
                      <w:rFonts w:hint="default"/>
                      <w:b w:val="0"/>
                      <w:bCs w:val="0"/>
                      <w:color w:val="auto"/>
                      <w:kern w:val="0"/>
                      <w:vertAlign w:val="baseline"/>
                      <w:lang w:val="en-US" w:eastAsia="zh-CN" w:bidi="ar"/>
                    </w:rPr>
                  </w:pPr>
                  <w:r>
                    <w:rPr>
                      <w:rFonts w:hint="eastAsia"/>
                      <w:b w:val="0"/>
                      <w:bCs w:val="0"/>
                      <w:color w:val="auto"/>
                      <w:kern w:val="0"/>
                      <w:vertAlign w:val="baseline"/>
                      <w:lang w:val="en-US" w:eastAsia="zh-CN" w:bidi="ar"/>
                    </w:rPr>
                    <w:t>银冶炼（3222）</w:t>
                  </w:r>
                </w:p>
              </w:tc>
              <w:tc>
                <w:tcPr>
                  <w:tcW w:w="2863" w:type="dxa"/>
                  <w:vMerge w:val="continue"/>
                  <w:tcBorders>
                    <w:tl2br w:val="nil"/>
                    <w:tr2bl w:val="nil"/>
                  </w:tcBorders>
                  <w:vAlign w:val="center"/>
                </w:tcPr>
                <w:p w14:paraId="32438CCA">
                  <w:pPr>
                    <w:widowControl/>
                    <w:adjustRightInd w:val="0"/>
                    <w:snapToGrid w:val="0"/>
                    <w:jc w:val="center"/>
                    <w:rPr>
                      <w:b w:val="0"/>
                      <w:bCs w:val="0"/>
                      <w:color w:val="auto"/>
                      <w:kern w:val="0"/>
                      <w:vertAlign w:val="baseline"/>
                      <w:lang w:bidi="ar"/>
                    </w:rPr>
                  </w:pPr>
                </w:p>
              </w:tc>
              <w:tc>
                <w:tcPr>
                  <w:tcW w:w="1161" w:type="dxa"/>
                  <w:vMerge w:val="continue"/>
                  <w:tcBorders>
                    <w:tl2br w:val="nil"/>
                    <w:tr2bl w:val="nil"/>
                  </w:tcBorders>
                  <w:vAlign w:val="center"/>
                </w:tcPr>
                <w:p w14:paraId="1030CA10">
                  <w:pPr>
                    <w:widowControl/>
                    <w:adjustRightInd w:val="0"/>
                    <w:snapToGrid w:val="0"/>
                    <w:jc w:val="center"/>
                    <w:rPr>
                      <w:b w:val="0"/>
                      <w:bCs w:val="0"/>
                      <w:color w:val="auto"/>
                      <w:kern w:val="0"/>
                      <w:vertAlign w:val="baseline"/>
                      <w:lang w:bidi="ar"/>
                    </w:rPr>
                  </w:pPr>
                </w:p>
              </w:tc>
            </w:tr>
            <w:tr w14:paraId="5CA0374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1096" w:type="dxa"/>
                  <w:vMerge w:val="continue"/>
                  <w:tcBorders>
                    <w:tl2br w:val="nil"/>
                    <w:tr2bl w:val="nil"/>
                  </w:tcBorders>
                  <w:vAlign w:val="center"/>
                </w:tcPr>
                <w:p w14:paraId="0AB5FFAC">
                  <w:pPr>
                    <w:widowControl/>
                    <w:adjustRightInd w:val="0"/>
                    <w:snapToGrid w:val="0"/>
                    <w:jc w:val="center"/>
                    <w:rPr>
                      <w:b w:val="0"/>
                      <w:bCs w:val="0"/>
                      <w:color w:val="auto"/>
                      <w:kern w:val="0"/>
                      <w:vertAlign w:val="baseline"/>
                      <w:lang w:bidi="ar"/>
                    </w:rPr>
                  </w:pPr>
                </w:p>
              </w:tc>
              <w:tc>
                <w:tcPr>
                  <w:tcW w:w="2927" w:type="dxa"/>
                  <w:tcBorders>
                    <w:tl2br w:val="nil"/>
                    <w:tr2bl w:val="nil"/>
                  </w:tcBorders>
                  <w:vAlign w:val="center"/>
                </w:tcPr>
                <w:p w14:paraId="375EC192">
                  <w:pPr>
                    <w:widowControl/>
                    <w:adjustRightInd w:val="0"/>
                    <w:snapToGrid w:val="0"/>
                    <w:jc w:val="center"/>
                    <w:rPr>
                      <w:rFonts w:hint="default"/>
                      <w:b w:val="0"/>
                      <w:bCs w:val="0"/>
                      <w:color w:val="auto"/>
                      <w:kern w:val="0"/>
                      <w:vertAlign w:val="baseline"/>
                      <w:lang w:val="en-US" w:eastAsia="zh-CN" w:bidi="ar"/>
                    </w:rPr>
                  </w:pPr>
                  <w:r>
                    <w:rPr>
                      <w:rFonts w:hint="eastAsia"/>
                      <w:b w:val="0"/>
                      <w:bCs w:val="0"/>
                      <w:color w:val="auto"/>
                      <w:kern w:val="0"/>
                      <w:vertAlign w:val="baseline"/>
                      <w:lang w:val="en-US" w:eastAsia="zh-CN" w:bidi="ar"/>
                    </w:rPr>
                    <w:t>其他贵金属冶炼（3229）</w:t>
                  </w:r>
                </w:p>
              </w:tc>
              <w:tc>
                <w:tcPr>
                  <w:tcW w:w="2863" w:type="dxa"/>
                  <w:vMerge w:val="continue"/>
                  <w:tcBorders>
                    <w:tl2br w:val="nil"/>
                    <w:tr2bl w:val="nil"/>
                  </w:tcBorders>
                  <w:vAlign w:val="center"/>
                </w:tcPr>
                <w:p w14:paraId="79AC4100">
                  <w:pPr>
                    <w:widowControl/>
                    <w:adjustRightInd w:val="0"/>
                    <w:snapToGrid w:val="0"/>
                    <w:jc w:val="center"/>
                    <w:rPr>
                      <w:b w:val="0"/>
                      <w:bCs w:val="0"/>
                      <w:color w:val="auto"/>
                      <w:kern w:val="0"/>
                      <w:vertAlign w:val="baseline"/>
                      <w:lang w:bidi="ar"/>
                    </w:rPr>
                  </w:pPr>
                </w:p>
              </w:tc>
              <w:tc>
                <w:tcPr>
                  <w:tcW w:w="1161" w:type="dxa"/>
                  <w:vMerge w:val="continue"/>
                  <w:tcBorders>
                    <w:tl2br w:val="nil"/>
                    <w:tr2bl w:val="nil"/>
                  </w:tcBorders>
                  <w:vAlign w:val="center"/>
                </w:tcPr>
                <w:p w14:paraId="4B0E5CDB">
                  <w:pPr>
                    <w:widowControl/>
                    <w:adjustRightInd w:val="0"/>
                    <w:snapToGrid w:val="0"/>
                    <w:jc w:val="center"/>
                    <w:rPr>
                      <w:b w:val="0"/>
                      <w:bCs w:val="0"/>
                      <w:color w:val="auto"/>
                      <w:kern w:val="0"/>
                      <w:vertAlign w:val="baseline"/>
                      <w:lang w:bidi="ar"/>
                    </w:rPr>
                  </w:pPr>
                </w:p>
              </w:tc>
            </w:tr>
            <w:tr w14:paraId="0273BC1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87" w:hRule="atLeast"/>
              </w:trPr>
              <w:tc>
                <w:tcPr>
                  <w:tcW w:w="1096" w:type="dxa"/>
                  <w:vMerge w:val="restart"/>
                  <w:tcBorders>
                    <w:tl2br w:val="nil"/>
                    <w:tr2bl w:val="nil"/>
                  </w:tcBorders>
                  <w:vAlign w:val="center"/>
                </w:tcPr>
                <w:p w14:paraId="4BD404D3">
                  <w:pPr>
                    <w:widowControl/>
                    <w:adjustRightInd w:val="0"/>
                    <w:snapToGrid w:val="0"/>
                    <w:jc w:val="center"/>
                    <w:rPr>
                      <w:rFonts w:hint="default" w:eastAsia="宋体"/>
                      <w:b w:val="0"/>
                      <w:bCs w:val="0"/>
                      <w:color w:val="auto"/>
                      <w:kern w:val="0"/>
                      <w:vertAlign w:val="baseline"/>
                      <w:lang w:val="en-US" w:eastAsia="zh-CN" w:bidi="ar"/>
                    </w:rPr>
                  </w:pPr>
                  <w:r>
                    <w:rPr>
                      <w:rFonts w:hint="eastAsia"/>
                      <w:b w:val="0"/>
                      <w:bCs w:val="0"/>
                      <w:color w:val="auto"/>
                      <w:kern w:val="0"/>
                      <w:vertAlign w:val="baseline"/>
                      <w:lang w:val="en-US" w:eastAsia="zh-CN" w:bidi="ar"/>
                    </w:rPr>
                    <w:t>电力、热力生产和供应业</w:t>
                  </w:r>
                </w:p>
              </w:tc>
              <w:tc>
                <w:tcPr>
                  <w:tcW w:w="2927" w:type="dxa"/>
                  <w:tcBorders>
                    <w:tl2br w:val="nil"/>
                    <w:tr2bl w:val="nil"/>
                  </w:tcBorders>
                  <w:vAlign w:val="center"/>
                </w:tcPr>
                <w:p w14:paraId="6EC146D9">
                  <w:pPr>
                    <w:widowControl/>
                    <w:adjustRightInd w:val="0"/>
                    <w:snapToGrid w:val="0"/>
                    <w:jc w:val="center"/>
                    <w:rPr>
                      <w:rFonts w:hint="default"/>
                      <w:b w:val="0"/>
                      <w:bCs w:val="0"/>
                      <w:color w:val="auto"/>
                      <w:kern w:val="0"/>
                      <w:vertAlign w:val="baseline"/>
                      <w:lang w:val="en-US" w:eastAsia="zh-CN" w:bidi="ar"/>
                    </w:rPr>
                  </w:pPr>
                  <w:r>
                    <w:rPr>
                      <w:rFonts w:hint="eastAsia"/>
                      <w:b w:val="0"/>
                      <w:bCs w:val="0"/>
                      <w:color w:val="auto"/>
                      <w:kern w:val="0"/>
                      <w:vertAlign w:val="baseline"/>
                      <w:lang w:val="en-US" w:eastAsia="zh-CN" w:bidi="ar"/>
                    </w:rPr>
                    <w:t>火力发电（4411）</w:t>
                  </w:r>
                </w:p>
              </w:tc>
              <w:tc>
                <w:tcPr>
                  <w:tcW w:w="2863" w:type="dxa"/>
                  <w:tcBorders>
                    <w:tl2br w:val="nil"/>
                    <w:tr2bl w:val="nil"/>
                  </w:tcBorders>
                  <w:vAlign w:val="center"/>
                </w:tcPr>
                <w:p w14:paraId="099BFA93">
                  <w:pPr>
                    <w:widowControl/>
                    <w:adjustRightInd w:val="0"/>
                    <w:snapToGrid w:val="0"/>
                    <w:jc w:val="center"/>
                    <w:rPr>
                      <w:rFonts w:hint="eastAsia" w:eastAsia="宋体"/>
                      <w:b w:val="0"/>
                      <w:bCs w:val="0"/>
                      <w:color w:val="auto"/>
                      <w:kern w:val="0"/>
                      <w:vertAlign w:val="baseline"/>
                      <w:lang w:val="en-US" w:eastAsia="zh-CN" w:bidi="ar"/>
                    </w:rPr>
                  </w:pPr>
                  <w:r>
                    <w:rPr>
                      <w:rFonts w:hint="eastAsia"/>
                      <w:b w:val="0"/>
                      <w:bCs w:val="0"/>
                      <w:color w:val="auto"/>
                      <w:kern w:val="0"/>
                      <w:vertAlign w:val="baseline"/>
                      <w:lang w:val="en-US" w:eastAsia="zh-CN" w:bidi="ar"/>
                    </w:rPr>
                    <w:t>燃煤发电。</w:t>
                  </w:r>
                </w:p>
              </w:tc>
              <w:tc>
                <w:tcPr>
                  <w:tcW w:w="1161" w:type="dxa"/>
                  <w:vMerge w:val="continue"/>
                  <w:tcBorders>
                    <w:tl2br w:val="nil"/>
                    <w:tr2bl w:val="nil"/>
                  </w:tcBorders>
                  <w:vAlign w:val="center"/>
                </w:tcPr>
                <w:p w14:paraId="00D97515">
                  <w:pPr>
                    <w:widowControl/>
                    <w:adjustRightInd w:val="0"/>
                    <w:snapToGrid w:val="0"/>
                    <w:jc w:val="center"/>
                    <w:rPr>
                      <w:b w:val="0"/>
                      <w:bCs w:val="0"/>
                      <w:color w:val="auto"/>
                      <w:kern w:val="0"/>
                      <w:vertAlign w:val="baseline"/>
                      <w:lang w:bidi="ar"/>
                    </w:rPr>
                  </w:pPr>
                </w:p>
              </w:tc>
            </w:tr>
            <w:tr w14:paraId="7920EB33">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1096" w:type="dxa"/>
                  <w:vMerge w:val="continue"/>
                  <w:tcBorders>
                    <w:tl2br w:val="nil"/>
                    <w:tr2bl w:val="nil"/>
                  </w:tcBorders>
                  <w:vAlign w:val="center"/>
                </w:tcPr>
                <w:p w14:paraId="2BCBA66F">
                  <w:pPr>
                    <w:widowControl/>
                    <w:adjustRightInd w:val="0"/>
                    <w:snapToGrid w:val="0"/>
                    <w:jc w:val="center"/>
                    <w:rPr>
                      <w:b w:val="0"/>
                      <w:bCs w:val="0"/>
                      <w:color w:val="auto"/>
                      <w:kern w:val="0"/>
                      <w:vertAlign w:val="baseline"/>
                      <w:lang w:bidi="ar"/>
                    </w:rPr>
                  </w:pPr>
                </w:p>
              </w:tc>
              <w:tc>
                <w:tcPr>
                  <w:tcW w:w="2927" w:type="dxa"/>
                  <w:tcBorders>
                    <w:tl2br w:val="nil"/>
                    <w:tr2bl w:val="nil"/>
                  </w:tcBorders>
                  <w:vAlign w:val="center"/>
                </w:tcPr>
                <w:p w14:paraId="3505D239">
                  <w:pPr>
                    <w:widowControl/>
                    <w:adjustRightInd w:val="0"/>
                    <w:snapToGrid w:val="0"/>
                    <w:jc w:val="center"/>
                    <w:rPr>
                      <w:rFonts w:hint="default"/>
                      <w:b w:val="0"/>
                      <w:bCs w:val="0"/>
                      <w:color w:val="auto"/>
                      <w:kern w:val="0"/>
                      <w:vertAlign w:val="baseline"/>
                      <w:lang w:val="en-US" w:eastAsia="zh-CN" w:bidi="ar"/>
                    </w:rPr>
                  </w:pPr>
                  <w:r>
                    <w:rPr>
                      <w:rFonts w:hint="eastAsia"/>
                      <w:b w:val="0"/>
                      <w:bCs w:val="0"/>
                      <w:color w:val="auto"/>
                      <w:kern w:val="0"/>
                      <w:vertAlign w:val="baseline"/>
                      <w:lang w:val="en-US" w:eastAsia="zh-CN" w:bidi="ar"/>
                    </w:rPr>
                    <w:t>热电联产（4412）</w:t>
                  </w:r>
                </w:p>
              </w:tc>
              <w:tc>
                <w:tcPr>
                  <w:tcW w:w="2863" w:type="dxa"/>
                  <w:tcBorders>
                    <w:tl2br w:val="nil"/>
                    <w:tr2bl w:val="nil"/>
                  </w:tcBorders>
                  <w:vAlign w:val="center"/>
                </w:tcPr>
                <w:p w14:paraId="7171FB35">
                  <w:pPr>
                    <w:widowControl/>
                    <w:adjustRightInd w:val="0"/>
                    <w:snapToGrid w:val="0"/>
                    <w:jc w:val="center"/>
                    <w:rPr>
                      <w:rFonts w:hint="eastAsia" w:eastAsia="宋体"/>
                      <w:b w:val="0"/>
                      <w:bCs w:val="0"/>
                      <w:color w:val="auto"/>
                      <w:kern w:val="0"/>
                      <w:vertAlign w:val="baseline"/>
                      <w:lang w:val="en-US" w:eastAsia="zh-CN" w:bidi="ar"/>
                    </w:rPr>
                  </w:pPr>
                  <w:r>
                    <w:rPr>
                      <w:rFonts w:hint="eastAsia"/>
                      <w:b w:val="0"/>
                      <w:bCs w:val="0"/>
                      <w:color w:val="auto"/>
                      <w:kern w:val="0"/>
                      <w:vertAlign w:val="baseline"/>
                      <w:lang w:val="en-US" w:eastAsia="zh-CN" w:bidi="ar"/>
                    </w:rPr>
                    <w:t>燃煤热电联产。</w:t>
                  </w:r>
                </w:p>
              </w:tc>
              <w:tc>
                <w:tcPr>
                  <w:tcW w:w="1161" w:type="dxa"/>
                  <w:vMerge w:val="continue"/>
                  <w:tcBorders>
                    <w:tl2br w:val="nil"/>
                    <w:tr2bl w:val="nil"/>
                  </w:tcBorders>
                  <w:vAlign w:val="center"/>
                </w:tcPr>
                <w:p w14:paraId="7BD83DDE">
                  <w:pPr>
                    <w:widowControl/>
                    <w:adjustRightInd w:val="0"/>
                    <w:snapToGrid w:val="0"/>
                    <w:jc w:val="center"/>
                    <w:rPr>
                      <w:b w:val="0"/>
                      <w:bCs w:val="0"/>
                      <w:color w:val="auto"/>
                      <w:kern w:val="0"/>
                      <w:vertAlign w:val="baseline"/>
                      <w:lang w:bidi="ar"/>
                    </w:rPr>
                  </w:pPr>
                </w:p>
              </w:tc>
            </w:tr>
          </w:tbl>
          <w:p w14:paraId="5525871D">
            <w:pPr>
              <w:overflowPunct w:val="0"/>
              <w:adjustRightInd w:val="0"/>
              <w:snapToGrid w:val="0"/>
              <w:spacing w:line="360" w:lineRule="auto"/>
              <w:ind w:firstLine="422" w:firstLineChars="200"/>
              <w:rPr>
                <w:b/>
                <w:color w:val="auto"/>
              </w:rPr>
            </w:pPr>
            <w:r>
              <w:rPr>
                <w:rFonts w:hint="eastAsia"/>
                <w:b/>
                <w:color w:val="auto"/>
              </w:rPr>
              <w:t>2、“三线一单”符合性分析</w:t>
            </w:r>
          </w:p>
          <w:p w14:paraId="7607F6EA">
            <w:pPr>
              <w:overflowPunct w:val="0"/>
              <w:adjustRightInd w:val="0"/>
              <w:snapToGrid w:val="0"/>
              <w:spacing w:line="360" w:lineRule="auto"/>
              <w:ind w:firstLine="422" w:firstLineChars="200"/>
              <w:rPr>
                <w:b/>
                <w:color w:val="auto"/>
              </w:rPr>
            </w:pPr>
            <w:r>
              <w:rPr>
                <w:rFonts w:hint="eastAsia"/>
                <w:b/>
                <w:color w:val="auto"/>
              </w:rPr>
              <w:t>（1）“生态保护红线”符合性分析</w:t>
            </w:r>
          </w:p>
          <w:p w14:paraId="5650DCE4">
            <w:pPr>
              <w:pStyle w:val="23"/>
              <w:ind w:firstLine="420" w:firstLineChars="200"/>
              <w:rPr>
                <w:bCs/>
                <w:color w:val="auto"/>
                <w:sz w:val="21"/>
                <w:szCs w:val="21"/>
              </w:rPr>
            </w:pPr>
            <w:r>
              <w:rPr>
                <w:rFonts w:hint="eastAsia"/>
                <w:bCs/>
                <w:color w:val="auto"/>
                <w:sz w:val="21"/>
                <w:szCs w:val="21"/>
              </w:rPr>
              <w:t>根据《省政府关于印发江苏省生态空间管控区域规划的通知》（苏政发[2020]1号）和《江苏省国家级生态保护红线规划》（苏政发[2018]74号），对照江苏省生态空间保护区域分布图，项目建设区域与国家级生态保护红线范围及江苏省生态空间管控区域范围均无交集，不涉及金坛区内的生态红线区域，不会导致金坛区辖区内生态红线区域服务功能下降，故本项目的建设符合《江苏省生态空间管控区域规划》（苏政发[2020]1号）和《江苏省国家级生态保护红线规划》（苏政发[2018]74号）相关要求。</w:t>
            </w:r>
          </w:p>
          <w:p w14:paraId="2B0DC31D">
            <w:pPr>
              <w:pStyle w:val="23"/>
              <w:ind w:firstLine="422" w:firstLineChars="200"/>
              <w:rPr>
                <w:b/>
                <w:bCs/>
                <w:color w:val="auto"/>
                <w:sz w:val="21"/>
                <w:szCs w:val="21"/>
              </w:rPr>
            </w:pPr>
            <w:r>
              <w:rPr>
                <w:rFonts w:hint="eastAsia"/>
                <w:b/>
                <w:bCs/>
                <w:color w:val="auto"/>
                <w:sz w:val="21"/>
                <w:szCs w:val="21"/>
              </w:rPr>
              <w:t>（2）“环境质量底线”符合性分析</w:t>
            </w:r>
          </w:p>
          <w:p w14:paraId="087E069C">
            <w:pPr>
              <w:adjustRightInd w:val="0"/>
              <w:snapToGrid w:val="0"/>
              <w:spacing w:line="360" w:lineRule="auto"/>
              <w:ind w:firstLine="420" w:firstLineChars="200"/>
              <w:rPr>
                <w:rFonts w:hint="default" w:ascii="Times New Roman" w:hAnsi="Times New Roman" w:cs="Times New Roman"/>
                <w:color w:val="auto"/>
                <w:kern w:val="0"/>
                <w:sz w:val="21"/>
              </w:rPr>
            </w:pPr>
            <w:r>
              <w:rPr>
                <w:color w:val="auto"/>
                <w:kern w:val="0"/>
              </w:rPr>
              <w:t>环境空气：根据《202</w:t>
            </w:r>
            <w:r>
              <w:rPr>
                <w:rFonts w:hint="eastAsia"/>
                <w:color w:val="auto"/>
                <w:kern w:val="0"/>
                <w:lang w:val="en-US" w:eastAsia="zh-CN"/>
              </w:rPr>
              <w:t>4</w:t>
            </w:r>
            <w:r>
              <w:rPr>
                <w:color w:val="auto"/>
                <w:kern w:val="0"/>
              </w:rPr>
              <w:t>年常州市生态环境状况公报》，202</w:t>
            </w:r>
            <w:r>
              <w:rPr>
                <w:rFonts w:hint="eastAsia"/>
                <w:color w:val="auto"/>
                <w:kern w:val="0"/>
                <w:lang w:val="en-US" w:eastAsia="zh-CN"/>
              </w:rPr>
              <w:t>4</w:t>
            </w:r>
            <w:r>
              <w:rPr>
                <w:color w:val="auto"/>
                <w:kern w:val="0"/>
                <w:lang w:val="zh-TW"/>
              </w:rPr>
              <w:t>年，全市空气质量优良天数2</w:t>
            </w:r>
            <w:r>
              <w:rPr>
                <w:rFonts w:hint="eastAsia"/>
                <w:color w:val="auto"/>
                <w:kern w:val="0"/>
                <w:lang w:val="en-US" w:eastAsia="zh-CN"/>
              </w:rPr>
              <w:t>93</w:t>
            </w:r>
            <w:r>
              <w:rPr>
                <w:color w:val="auto"/>
                <w:kern w:val="0"/>
                <w:lang w:val="zh-TW"/>
              </w:rPr>
              <w:t>天</w:t>
            </w:r>
            <w:r>
              <w:rPr>
                <w:rFonts w:hint="eastAsia"/>
                <w:color w:val="auto"/>
                <w:kern w:val="0"/>
                <w:lang w:val="zh-TW"/>
              </w:rPr>
              <w:t>，</w:t>
            </w:r>
            <w:r>
              <w:rPr>
                <w:color w:val="auto"/>
                <w:kern w:val="0"/>
                <w:lang w:val="zh-TW"/>
              </w:rPr>
              <w:t>优良率</w:t>
            </w:r>
            <w:r>
              <w:rPr>
                <w:rFonts w:hint="eastAsia"/>
                <w:color w:val="auto"/>
                <w:kern w:val="0"/>
                <w:lang w:val="en-US" w:eastAsia="zh-CN"/>
              </w:rPr>
              <w:t>80.1</w:t>
            </w:r>
            <w:r>
              <w:rPr>
                <w:color w:val="auto"/>
                <w:kern w:val="0"/>
                <w:lang w:val="zh-TW"/>
              </w:rPr>
              <w:t>%</w:t>
            </w:r>
            <w:r>
              <w:rPr>
                <w:rFonts w:hint="eastAsia"/>
                <w:color w:val="auto"/>
                <w:kern w:val="0"/>
                <w:lang w:val="zh-TW"/>
              </w:rPr>
              <w:t>；</w:t>
            </w:r>
            <w:r>
              <w:rPr>
                <w:color w:val="auto"/>
                <w:kern w:val="0"/>
                <w:lang w:val="zh-TW"/>
              </w:rPr>
              <w:t>其中市区空气质量优良天数2</w:t>
            </w:r>
            <w:r>
              <w:rPr>
                <w:rFonts w:hint="eastAsia"/>
                <w:color w:val="auto"/>
                <w:kern w:val="0"/>
                <w:lang w:val="en-US" w:eastAsia="zh-CN"/>
              </w:rPr>
              <w:t>92</w:t>
            </w:r>
            <w:r>
              <w:rPr>
                <w:color w:val="auto"/>
                <w:kern w:val="0"/>
                <w:lang w:val="zh-TW"/>
              </w:rPr>
              <w:t>天</w:t>
            </w:r>
            <w:r>
              <w:rPr>
                <w:rFonts w:hint="eastAsia"/>
                <w:color w:val="auto"/>
                <w:kern w:val="0"/>
                <w:lang w:val="zh-TW"/>
              </w:rPr>
              <w:t>，</w:t>
            </w:r>
            <w:r>
              <w:rPr>
                <w:color w:val="auto"/>
                <w:kern w:val="0"/>
                <w:lang w:val="zh-TW"/>
              </w:rPr>
              <w:t>同比增加</w:t>
            </w:r>
            <w:r>
              <w:rPr>
                <w:rFonts w:hint="eastAsia"/>
                <w:color w:val="auto"/>
                <w:kern w:val="0"/>
                <w:lang w:val="en-US" w:eastAsia="zh-CN"/>
              </w:rPr>
              <w:t>9</w:t>
            </w:r>
            <w:r>
              <w:rPr>
                <w:color w:val="auto"/>
                <w:kern w:val="0"/>
                <w:lang w:val="zh-TW"/>
              </w:rPr>
              <w:t>天</w:t>
            </w:r>
            <w:r>
              <w:rPr>
                <w:rFonts w:hint="eastAsia"/>
                <w:color w:val="auto"/>
                <w:kern w:val="0"/>
                <w:lang w:val="zh-TW"/>
              </w:rPr>
              <w:t>，</w:t>
            </w:r>
            <w:r>
              <w:rPr>
                <w:color w:val="auto"/>
                <w:kern w:val="0"/>
                <w:lang w:val="zh-TW"/>
              </w:rPr>
              <w:t>优良率为7</w:t>
            </w:r>
            <w:r>
              <w:rPr>
                <w:rFonts w:hint="eastAsia"/>
                <w:color w:val="auto"/>
                <w:kern w:val="0"/>
                <w:lang w:val="en-US" w:eastAsia="zh-CN"/>
              </w:rPr>
              <w:t>9.8</w:t>
            </w:r>
            <w:r>
              <w:rPr>
                <w:color w:val="auto"/>
                <w:kern w:val="0"/>
                <w:lang w:val="zh-TW"/>
              </w:rPr>
              <w:t>%</w:t>
            </w:r>
            <w:r>
              <w:rPr>
                <w:rFonts w:hint="eastAsia"/>
                <w:color w:val="auto"/>
                <w:kern w:val="0"/>
                <w:lang w:val="zh-TW"/>
              </w:rPr>
              <w:t>，</w:t>
            </w:r>
            <w:r>
              <w:rPr>
                <w:color w:val="auto"/>
                <w:kern w:val="0"/>
                <w:lang w:val="zh-TW"/>
              </w:rPr>
              <w:t>同比</w:t>
            </w:r>
            <w:r>
              <w:rPr>
                <w:rFonts w:hint="eastAsia"/>
                <w:color w:val="auto"/>
                <w:kern w:val="0"/>
                <w:lang w:val="en-US" w:eastAsia="zh-CN"/>
              </w:rPr>
              <w:t>改善</w:t>
            </w:r>
            <w:r>
              <w:rPr>
                <w:color w:val="auto"/>
                <w:kern w:val="0"/>
                <w:lang w:val="zh-TW"/>
              </w:rPr>
              <w:t>2.</w:t>
            </w:r>
            <w:r>
              <w:rPr>
                <w:rFonts w:hint="eastAsia"/>
                <w:color w:val="auto"/>
                <w:kern w:val="0"/>
                <w:lang w:val="en-US" w:eastAsia="zh-CN"/>
              </w:rPr>
              <w:t>3</w:t>
            </w:r>
            <w:r>
              <w:rPr>
                <w:color w:val="auto"/>
                <w:kern w:val="0"/>
                <w:lang w:val="zh-TW"/>
              </w:rPr>
              <w:t>个百分点。全市环境空气中细颗粒物</w:t>
            </w:r>
            <w:r>
              <w:rPr>
                <w:rFonts w:hint="eastAsia"/>
                <w:color w:val="auto"/>
                <w:kern w:val="0"/>
                <w:lang w:val="zh-TW"/>
              </w:rPr>
              <w:t>（</w:t>
            </w:r>
            <w:r>
              <w:rPr>
                <w:color w:val="auto"/>
                <w:kern w:val="0"/>
                <w:lang w:val="zh-TW"/>
              </w:rPr>
              <w:t>PM</w:t>
            </w:r>
            <w:r>
              <w:rPr>
                <w:rFonts w:hint="eastAsia"/>
                <w:color w:val="auto"/>
                <w:kern w:val="0"/>
                <w:vertAlign w:val="subscript"/>
              </w:rPr>
              <w:t>2.5</w:t>
            </w:r>
            <w:r>
              <w:rPr>
                <w:rFonts w:hint="eastAsia"/>
                <w:color w:val="auto"/>
                <w:kern w:val="0"/>
                <w:lang w:val="zh-TW"/>
              </w:rPr>
              <w:t>）</w:t>
            </w:r>
            <w:r>
              <w:rPr>
                <w:color w:val="auto"/>
                <w:kern w:val="0"/>
                <w:lang w:val="zh-TW"/>
              </w:rPr>
              <w:t>、可吸入颗粒物</w:t>
            </w:r>
            <w:r>
              <w:rPr>
                <w:rFonts w:hint="eastAsia"/>
                <w:color w:val="auto"/>
                <w:kern w:val="0"/>
                <w:lang w:val="zh-TW"/>
              </w:rPr>
              <w:t>（</w:t>
            </w:r>
            <w:r>
              <w:rPr>
                <w:color w:val="auto"/>
                <w:kern w:val="0"/>
                <w:lang w:val="zh-TW"/>
              </w:rPr>
              <w:t>PM</w:t>
            </w:r>
            <w:r>
              <w:rPr>
                <w:rFonts w:hint="eastAsia"/>
                <w:color w:val="auto"/>
                <w:kern w:val="0"/>
                <w:vertAlign w:val="subscript"/>
              </w:rPr>
              <w:t>10</w:t>
            </w:r>
            <w:r>
              <w:rPr>
                <w:rFonts w:hint="eastAsia"/>
                <w:color w:val="auto"/>
                <w:kern w:val="0"/>
                <w:lang w:val="zh-TW"/>
              </w:rPr>
              <w:t>）</w:t>
            </w:r>
            <w:r>
              <w:rPr>
                <w:color w:val="auto"/>
                <w:kern w:val="0"/>
                <w:lang w:val="zh-TW"/>
              </w:rPr>
              <w:t>、二氧化硫</w:t>
            </w:r>
            <w:r>
              <w:rPr>
                <w:rFonts w:hint="eastAsia"/>
                <w:color w:val="auto"/>
                <w:kern w:val="0"/>
                <w:lang w:val="zh-TW"/>
              </w:rPr>
              <w:t>（</w:t>
            </w:r>
            <w:r>
              <w:rPr>
                <w:color w:val="auto"/>
                <w:kern w:val="0"/>
                <w:lang w:val="zh-TW"/>
              </w:rPr>
              <w:t>SO</w:t>
            </w:r>
            <w:r>
              <w:rPr>
                <w:rFonts w:hint="eastAsia"/>
                <w:color w:val="auto"/>
                <w:kern w:val="0"/>
                <w:vertAlign w:val="subscript"/>
              </w:rPr>
              <w:t>2</w:t>
            </w:r>
            <w:r>
              <w:rPr>
                <w:rFonts w:hint="eastAsia"/>
                <w:color w:val="auto"/>
                <w:kern w:val="0"/>
                <w:lang w:val="zh-TW"/>
              </w:rPr>
              <w:t>）</w:t>
            </w:r>
            <w:r>
              <w:rPr>
                <w:color w:val="auto"/>
                <w:kern w:val="0"/>
                <w:lang w:val="zh-TW"/>
              </w:rPr>
              <w:t>、二氧化氮</w:t>
            </w:r>
            <w:r>
              <w:rPr>
                <w:rFonts w:hint="eastAsia"/>
                <w:color w:val="auto"/>
                <w:kern w:val="0"/>
                <w:lang w:val="zh-TW"/>
              </w:rPr>
              <w:t>（</w:t>
            </w:r>
            <w:r>
              <w:rPr>
                <w:color w:val="auto"/>
                <w:kern w:val="0"/>
                <w:lang w:val="zh-TW"/>
              </w:rPr>
              <w:t>NO</w:t>
            </w:r>
            <w:r>
              <w:rPr>
                <w:rFonts w:hint="eastAsia"/>
                <w:color w:val="auto"/>
                <w:kern w:val="0"/>
                <w:vertAlign w:val="subscript"/>
              </w:rPr>
              <w:t>2</w:t>
            </w:r>
            <w:r>
              <w:rPr>
                <w:rFonts w:hint="eastAsia"/>
                <w:color w:val="auto"/>
                <w:kern w:val="0"/>
                <w:lang w:val="zh-TW"/>
              </w:rPr>
              <w:t>）</w:t>
            </w:r>
            <w:r>
              <w:rPr>
                <w:color w:val="auto"/>
                <w:kern w:val="0"/>
                <w:lang w:val="zh-TW"/>
              </w:rPr>
              <w:t>年均浓度分别为</w:t>
            </w:r>
            <w:r>
              <w:rPr>
                <w:rFonts w:hint="eastAsia"/>
                <w:color w:val="auto"/>
                <w:kern w:val="0"/>
                <w:lang w:val="en-US" w:eastAsia="zh-CN"/>
              </w:rPr>
              <w:t>32</w:t>
            </w:r>
            <w:r>
              <w:rPr>
                <w:color w:val="auto"/>
                <w:kern w:val="0"/>
                <w:lang w:val="zh-TW"/>
              </w:rPr>
              <w:t>微克/立方米、5</w:t>
            </w:r>
            <w:r>
              <w:rPr>
                <w:rFonts w:hint="eastAsia"/>
                <w:color w:val="auto"/>
                <w:kern w:val="0"/>
                <w:lang w:val="en-US" w:eastAsia="zh-CN"/>
              </w:rPr>
              <w:t>2</w:t>
            </w:r>
            <w:r>
              <w:rPr>
                <w:color w:val="auto"/>
                <w:kern w:val="0"/>
                <w:lang w:val="zh-TW"/>
              </w:rPr>
              <w:t>微克/立方米、8微克/立方米、</w:t>
            </w:r>
            <w:r>
              <w:rPr>
                <w:rFonts w:hint="eastAsia"/>
                <w:color w:val="auto"/>
                <w:kern w:val="0"/>
                <w:lang w:val="en-US" w:eastAsia="zh-CN"/>
              </w:rPr>
              <w:t>26</w:t>
            </w:r>
            <w:r>
              <w:rPr>
                <w:color w:val="auto"/>
                <w:kern w:val="0"/>
                <w:lang w:val="zh-TW"/>
              </w:rPr>
              <w:t>微克/立方米</w:t>
            </w:r>
            <w:r>
              <w:rPr>
                <w:rFonts w:hint="eastAsia"/>
                <w:color w:val="auto"/>
                <w:kern w:val="0"/>
                <w:lang w:val="zh-TW"/>
              </w:rPr>
              <w:t>；</w:t>
            </w:r>
            <w:r>
              <w:rPr>
                <w:color w:val="auto"/>
                <w:kern w:val="0"/>
                <w:lang w:val="zh-TW"/>
              </w:rPr>
              <w:t>一氧化碳</w:t>
            </w:r>
            <w:r>
              <w:rPr>
                <w:rFonts w:hint="eastAsia"/>
                <w:color w:val="auto"/>
                <w:kern w:val="0"/>
                <w:lang w:val="zh-TW"/>
              </w:rPr>
              <w:t>（</w:t>
            </w:r>
            <w:r>
              <w:rPr>
                <w:color w:val="auto"/>
                <w:kern w:val="0"/>
                <w:lang w:val="zh-TW"/>
              </w:rPr>
              <w:t>CO</w:t>
            </w:r>
            <w:r>
              <w:rPr>
                <w:rFonts w:hint="eastAsia"/>
                <w:color w:val="auto"/>
                <w:kern w:val="0"/>
                <w:lang w:val="zh-TW"/>
              </w:rPr>
              <w:t>）</w:t>
            </w:r>
            <w:r>
              <w:rPr>
                <w:color w:val="auto"/>
                <w:kern w:val="0"/>
                <w:lang w:val="zh-TW"/>
              </w:rPr>
              <w:t>和臭氧</w:t>
            </w:r>
            <w:r>
              <w:rPr>
                <w:rFonts w:hint="eastAsia"/>
                <w:color w:val="auto"/>
                <w:kern w:val="0"/>
                <w:lang w:val="zh-TW"/>
              </w:rPr>
              <w:t>（</w:t>
            </w:r>
            <w:r>
              <w:rPr>
                <w:rFonts w:hint="eastAsia"/>
                <w:color w:val="auto"/>
                <w:kern w:val="0"/>
              </w:rPr>
              <w:t>O</w:t>
            </w:r>
            <w:r>
              <w:rPr>
                <w:rFonts w:hint="eastAsia"/>
                <w:color w:val="auto"/>
                <w:kern w:val="0"/>
                <w:vertAlign w:val="subscript"/>
              </w:rPr>
              <w:t>3</w:t>
            </w:r>
            <w:r>
              <w:rPr>
                <w:rFonts w:hint="eastAsia"/>
                <w:color w:val="auto"/>
                <w:kern w:val="0"/>
                <w:lang w:val="zh-TW"/>
              </w:rPr>
              <w:t>）</w:t>
            </w:r>
            <w:r>
              <w:rPr>
                <w:color w:val="auto"/>
                <w:kern w:val="0"/>
                <w:lang w:val="zh-TW"/>
              </w:rPr>
              <w:t>浓度分别为1.1毫克/立方米和1</w:t>
            </w:r>
            <w:r>
              <w:rPr>
                <w:rFonts w:hint="eastAsia"/>
                <w:color w:val="auto"/>
                <w:kern w:val="0"/>
                <w:lang w:val="en-US" w:eastAsia="zh-CN"/>
              </w:rPr>
              <w:t>68</w:t>
            </w:r>
            <w:r>
              <w:rPr>
                <w:color w:val="auto"/>
                <w:kern w:val="0"/>
                <w:lang w:val="zh-TW"/>
              </w:rPr>
              <w:t>微克/立方米。与202</w:t>
            </w:r>
            <w:r>
              <w:rPr>
                <w:rFonts w:hint="eastAsia"/>
                <w:color w:val="auto"/>
                <w:kern w:val="0"/>
                <w:lang w:val="en-US" w:eastAsia="zh-CN"/>
              </w:rPr>
              <w:t>3</w:t>
            </w:r>
            <w:r>
              <w:rPr>
                <w:color w:val="auto"/>
                <w:kern w:val="0"/>
                <w:lang w:val="zh-TW"/>
              </w:rPr>
              <w:t>年相比</w:t>
            </w:r>
            <w:r>
              <w:rPr>
                <w:rFonts w:hint="eastAsia"/>
                <w:color w:val="auto"/>
                <w:kern w:val="0"/>
                <w:lang w:val="zh-TW"/>
              </w:rPr>
              <w:t>，</w:t>
            </w:r>
            <w:r>
              <w:rPr>
                <w:color w:val="auto"/>
                <w:kern w:val="0"/>
                <w:lang w:val="zh-TW"/>
              </w:rPr>
              <w:t>PM</w:t>
            </w:r>
            <w:r>
              <w:rPr>
                <w:rFonts w:hint="eastAsia"/>
                <w:color w:val="auto"/>
                <w:kern w:val="0"/>
                <w:vertAlign w:val="subscript"/>
              </w:rPr>
              <w:t>2.5</w:t>
            </w:r>
            <w:r>
              <w:rPr>
                <w:rFonts w:hint="eastAsia"/>
                <w:color w:val="auto"/>
                <w:kern w:val="0"/>
              </w:rPr>
              <w:t>、</w:t>
            </w:r>
            <w:r>
              <w:rPr>
                <w:color w:val="auto"/>
                <w:kern w:val="0"/>
                <w:lang w:val="zh-TW"/>
              </w:rPr>
              <w:t>PM</w:t>
            </w:r>
            <w:r>
              <w:rPr>
                <w:rFonts w:hint="eastAsia"/>
                <w:color w:val="auto"/>
                <w:kern w:val="0"/>
                <w:vertAlign w:val="subscript"/>
              </w:rPr>
              <w:t>10</w:t>
            </w:r>
            <w:r>
              <w:rPr>
                <w:rFonts w:hint="eastAsia"/>
                <w:color w:val="auto"/>
                <w:kern w:val="0"/>
              </w:rPr>
              <w:t>、</w:t>
            </w:r>
            <w:r>
              <w:rPr>
                <w:color w:val="auto"/>
                <w:kern w:val="0"/>
                <w:lang w:val="zh-TW"/>
              </w:rPr>
              <w:t>NO</w:t>
            </w:r>
            <w:r>
              <w:rPr>
                <w:rFonts w:hint="eastAsia"/>
                <w:color w:val="auto"/>
                <w:kern w:val="0"/>
                <w:vertAlign w:val="subscript"/>
              </w:rPr>
              <w:t>2</w:t>
            </w:r>
            <w:r>
              <w:rPr>
                <w:color w:val="auto"/>
                <w:kern w:val="0"/>
                <w:lang w:val="zh-TW"/>
              </w:rPr>
              <w:t>和</w:t>
            </w:r>
            <w:r>
              <w:rPr>
                <w:rFonts w:hint="eastAsia"/>
                <w:color w:val="auto"/>
                <w:kern w:val="0"/>
              </w:rPr>
              <w:t>O</w:t>
            </w:r>
            <w:r>
              <w:rPr>
                <w:rFonts w:hint="eastAsia"/>
                <w:color w:val="auto"/>
                <w:kern w:val="0"/>
                <w:vertAlign w:val="subscript"/>
              </w:rPr>
              <w:t>3</w:t>
            </w:r>
            <w:r>
              <w:rPr>
                <w:color w:val="auto"/>
                <w:kern w:val="0"/>
                <w:lang w:val="zh-TW"/>
              </w:rPr>
              <w:t>浓度分别</w:t>
            </w:r>
            <w:r>
              <w:rPr>
                <w:rFonts w:hint="eastAsia"/>
                <w:color w:val="auto"/>
                <w:kern w:val="0"/>
                <w:lang w:val="en-US" w:eastAsia="zh-CN"/>
              </w:rPr>
              <w:t>下降5.9</w:t>
            </w:r>
            <w:r>
              <w:rPr>
                <w:color w:val="auto"/>
                <w:kern w:val="0"/>
                <w:lang w:val="zh-TW"/>
              </w:rPr>
              <w:t>%、</w:t>
            </w:r>
            <w:r>
              <w:rPr>
                <w:rFonts w:hint="eastAsia"/>
                <w:color w:val="auto"/>
                <w:kern w:val="0"/>
                <w:lang w:val="en-US" w:eastAsia="zh-CN"/>
              </w:rPr>
              <w:t>8.8</w:t>
            </w:r>
            <w:r>
              <w:rPr>
                <w:color w:val="auto"/>
                <w:kern w:val="0"/>
                <w:lang w:val="zh-TW"/>
              </w:rPr>
              <w:t>%、</w:t>
            </w:r>
            <w:r>
              <w:rPr>
                <w:rFonts w:hint="eastAsia"/>
                <w:color w:val="auto"/>
                <w:kern w:val="0"/>
                <w:lang w:val="en-US" w:eastAsia="zh-CN"/>
              </w:rPr>
              <w:t>13.3</w:t>
            </w:r>
            <w:r>
              <w:rPr>
                <w:color w:val="auto"/>
                <w:kern w:val="0"/>
                <w:lang w:val="zh-TW"/>
              </w:rPr>
              <w:t>%、</w:t>
            </w:r>
            <w:r>
              <w:rPr>
                <w:rFonts w:hint="eastAsia"/>
                <w:color w:val="auto"/>
                <w:kern w:val="0"/>
                <w:lang w:val="en-US" w:eastAsia="zh-CN"/>
              </w:rPr>
              <w:t>3.4</w:t>
            </w:r>
            <w:r>
              <w:rPr>
                <w:color w:val="auto"/>
                <w:kern w:val="0"/>
                <w:lang w:val="zh-TW"/>
              </w:rPr>
              <w:t>%</w:t>
            </w:r>
            <w:r>
              <w:rPr>
                <w:rFonts w:hint="eastAsia"/>
                <w:color w:val="auto"/>
                <w:kern w:val="0"/>
                <w:lang w:val="zh-TW"/>
              </w:rPr>
              <w:t>，</w:t>
            </w:r>
            <w:r>
              <w:rPr>
                <w:color w:val="auto"/>
                <w:kern w:val="0"/>
                <w:lang w:val="zh-TW"/>
              </w:rPr>
              <w:t>SO</w:t>
            </w:r>
            <w:r>
              <w:rPr>
                <w:rFonts w:hint="eastAsia"/>
                <w:color w:val="auto"/>
                <w:kern w:val="0"/>
                <w:vertAlign w:val="subscript"/>
              </w:rPr>
              <w:t>2</w:t>
            </w:r>
            <w:r>
              <w:rPr>
                <w:rFonts w:hint="eastAsia"/>
                <w:color w:val="auto"/>
                <w:kern w:val="0"/>
                <w:vertAlign w:val="baseline"/>
                <w:lang w:val="en-US" w:eastAsia="zh-CN"/>
              </w:rPr>
              <w:t>和CO浓度同比持平</w:t>
            </w:r>
            <w:r>
              <w:rPr>
                <w:color w:val="auto"/>
                <w:kern w:val="0"/>
                <w:lang w:val="zh-TW"/>
              </w:rPr>
              <w:t>。</w:t>
            </w:r>
            <w:r>
              <w:rPr>
                <w:color w:val="auto"/>
                <w:kern w:val="0"/>
              </w:rPr>
              <w:t>项目所在区域202</w:t>
            </w:r>
            <w:r>
              <w:rPr>
                <w:rFonts w:hint="eastAsia"/>
                <w:color w:val="auto"/>
                <w:kern w:val="0"/>
                <w:lang w:val="en-US" w:eastAsia="zh-CN"/>
              </w:rPr>
              <w:t>4</w:t>
            </w:r>
            <w:r>
              <w:rPr>
                <w:color w:val="auto"/>
                <w:kern w:val="0"/>
              </w:rPr>
              <w:t>年环境空气质量不达标。</w:t>
            </w:r>
          </w:p>
          <w:p w14:paraId="69BA4726">
            <w:pPr>
              <w:pStyle w:val="106"/>
              <w:spacing w:line="360" w:lineRule="auto"/>
              <w:ind w:firstLine="420" w:firstLineChars="200"/>
              <w:jc w:val="both"/>
              <w:rPr>
                <w:rFonts w:ascii="Times New Roman" w:eastAsia="宋体" w:cs="Times New Roman"/>
                <w:b w:val="0"/>
                <w:bCs/>
                <w:color w:val="auto"/>
                <w:kern w:val="0"/>
                <w:sz w:val="21"/>
                <w:szCs w:val="21"/>
              </w:rPr>
            </w:pPr>
            <w:r>
              <w:rPr>
                <w:rFonts w:ascii="Times New Roman" w:eastAsia="宋体" w:cs="Times New Roman"/>
                <w:b w:val="0"/>
                <w:bCs/>
                <w:color w:val="auto"/>
                <w:kern w:val="0"/>
                <w:sz w:val="21"/>
                <w:szCs w:val="21"/>
              </w:rPr>
              <w:t>水环境：</w:t>
            </w:r>
            <w:r>
              <w:rPr>
                <w:rFonts w:hint="eastAsia" w:ascii="Times New Roman" w:eastAsia="宋体" w:cs="Times New Roman"/>
                <w:b w:val="0"/>
                <w:bCs/>
                <w:color w:val="auto"/>
                <w:kern w:val="0"/>
                <w:sz w:val="21"/>
                <w:szCs w:val="21"/>
              </w:rPr>
              <w:t>本项目建成后</w:t>
            </w:r>
            <w:r>
              <w:rPr>
                <w:rFonts w:ascii="Times New Roman" w:eastAsia="宋体" w:cs="Times New Roman"/>
                <w:b w:val="0"/>
                <w:bCs/>
                <w:color w:val="auto"/>
                <w:kern w:val="0"/>
                <w:sz w:val="21"/>
                <w:szCs w:val="21"/>
              </w:rPr>
              <w:t>污水受纳水体</w:t>
            </w:r>
            <w:r>
              <w:rPr>
                <w:rFonts w:hint="eastAsia" w:ascii="Times New Roman" w:eastAsia="宋体" w:cs="Times New Roman"/>
                <w:b w:val="0"/>
                <w:bCs/>
                <w:color w:val="auto"/>
                <w:kern w:val="0"/>
                <w:sz w:val="21"/>
                <w:szCs w:val="21"/>
              </w:rPr>
              <w:t>尧塘河</w:t>
            </w:r>
            <w:r>
              <w:rPr>
                <w:rFonts w:ascii="Times New Roman" w:eastAsia="宋体" w:cs="Times New Roman"/>
                <w:b w:val="0"/>
                <w:bCs/>
                <w:color w:val="auto"/>
                <w:kern w:val="0"/>
                <w:sz w:val="21"/>
                <w:szCs w:val="21"/>
              </w:rPr>
              <w:t>2个断面各监测因子均能满足《地表水环境质量标准》（GB3838-2002）III类水标准要求。</w:t>
            </w:r>
          </w:p>
          <w:p w14:paraId="2CFB11BF">
            <w:pPr>
              <w:pStyle w:val="705"/>
              <w:ind w:firstLine="420"/>
              <w:jc w:val="both"/>
              <w:rPr>
                <w:color w:val="auto"/>
                <w:kern w:val="0"/>
                <w:sz w:val="21"/>
              </w:rPr>
            </w:pPr>
            <w:r>
              <w:rPr>
                <w:color w:val="auto"/>
                <w:kern w:val="0"/>
                <w:sz w:val="21"/>
              </w:rPr>
              <w:t>该项目运营过程中会产生一定的污染物，如废气、污水、固废，采取相应的污染防治措施后，在达标的基础上选用处理效率和可靠性高的处理工艺。设备生产噪声在采取隔声、减振措施后厂界可达标；</w:t>
            </w:r>
            <w:r>
              <w:rPr>
                <w:rFonts w:hint="eastAsia"/>
                <w:color w:val="auto"/>
                <w:kern w:val="0"/>
                <w:sz w:val="21"/>
                <w:lang w:eastAsia="zh-CN"/>
              </w:rPr>
              <w:t>本项目喷砂、喷锌产生的颗粒物经喷砂房、喷锌房密闭收集，收集后的颗粒物进入1套“袋式除尘装置”处理后通过1根15m高的排气筒DA001排放；喷漆产生的颗粒物、非甲烷总烃经喷漆房密闭收集，收集后的颗粒物、有机废气进入1套“过滤棉+二级活性炭装置”处理后通过1根15m高的排气筒DA002排放。</w:t>
            </w:r>
            <w:r>
              <w:rPr>
                <w:color w:val="auto"/>
                <w:kern w:val="0"/>
                <w:sz w:val="21"/>
              </w:rPr>
              <w:t>污染物排放量较低，对大气环境影响较小；生活污水接管至</w:t>
            </w:r>
            <w:r>
              <w:rPr>
                <w:rFonts w:hint="eastAsia"/>
                <w:color w:val="auto"/>
                <w:kern w:val="0"/>
                <w:sz w:val="21"/>
              </w:rPr>
              <w:t>常州金坛区第二污水处理有限公司</w:t>
            </w:r>
            <w:r>
              <w:rPr>
                <w:color w:val="auto"/>
                <w:kern w:val="0"/>
                <w:sz w:val="21"/>
              </w:rPr>
              <w:t>集中处理；固体废物均按照要求委托相关单位进行妥善处置。上述措施确保拟建项目污染物排放对环境的影响降到最低，不会突破环境质量底线，改变区域环境功能区。</w:t>
            </w:r>
          </w:p>
          <w:p w14:paraId="11BB0634">
            <w:pPr>
              <w:overflowPunct w:val="0"/>
              <w:spacing w:line="360" w:lineRule="auto"/>
              <w:ind w:firstLine="422" w:firstLineChars="200"/>
              <w:rPr>
                <w:b/>
                <w:bCs/>
                <w:color w:val="auto"/>
              </w:rPr>
            </w:pPr>
            <w:r>
              <w:rPr>
                <w:rFonts w:hint="eastAsia"/>
                <w:b/>
                <w:bCs/>
                <w:color w:val="auto"/>
              </w:rPr>
              <w:t>（3）“资源利用上线”符合性分析</w:t>
            </w:r>
          </w:p>
          <w:p w14:paraId="1BCF473D">
            <w:pPr>
              <w:overflowPunct w:val="0"/>
              <w:spacing w:line="360" w:lineRule="auto"/>
              <w:ind w:firstLine="420" w:firstLineChars="200"/>
              <w:rPr>
                <w:color w:val="auto"/>
              </w:rPr>
            </w:pPr>
            <w:r>
              <w:rPr>
                <w:color w:val="auto"/>
                <w:kern w:val="0"/>
              </w:rPr>
              <w:t>本项目</w:t>
            </w:r>
            <w:r>
              <w:rPr>
                <w:rFonts w:hint="eastAsia"/>
                <w:color w:val="auto"/>
                <w:kern w:val="0"/>
              </w:rPr>
              <w:t>利用现有厂房</w:t>
            </w:r>
            <w:r>
              <w:rPr>
                <w:color w:val="auto"/>
                <w:kern w:val="0"/>
              </w:rPr>
              <w:t>进行生产</w:t>
            </w:r>
            <w:r>
              <w:rPr>
                <w:rFonts w:hint="eastAsia"/>
                <w:color w:val="auto"/>
              </w:rPr>
              <w:t>，所用的资源主要为水资源和电能，项目所在地水资源丰富，耗电量不大，不会达到资源利用上线；项目占地符合当地规划要求，亦不会达到资源利用上线。</w:t>
            </w:r>
          </w:p>
          <w:p w14:paraId="03BBB0CD">
            <w:pPr>
              <w:overflowPunct w:val="0"/>
              <w:spacing w:line="360" w:lineRule="auto"/>
              <w:ind w:firstLine="422" w:firstLineChars="200"/>
              <w:rPr>
                <w:b/>
                <w:bCs/>
                <w:color w:val="auto"/>
              </w:rPr>
            </w:pPr>
            <w:r>
              <w:rPr>
                <w:rFonts w:hint="eastAsia"/>
                <w:b/>
                <w:bCs/>
                <w:color w:val="auto"/>
              </w:rPr>
              <w:t>（4）“负面清单”符合性分析</w:t>
            </w:r>
          </w:p>
          <w:p w14:paraId="2C3C40C8">
            <w:pPr>
              <w:adjustRightInd w:val="0"/>
              <w:snapToGrid w:val="0"/>
              <w:spacing w:line="360" w:lineRule="auto"/>
              <w:ind w:firstLine="420" w:firstLineChars="200"/>
              <w:jc w:val="left"/>
              <w:rPr>
                <w:color w:val="auto"/>
              </w:rPr>
            </w:pPr>
            <w:r>
              <w:rPr>
                <w:rFonts w:hint="eastAsia"/>
                <w:color w:val="auto"/>
              </w:rPr>
              <w:t>金坛区尚未颁布环境准入负面清单，本次环评对照国家、地方相关产业政策文件分析。</w:t>
            </w:r>
          </w:p>
          <w:p w14:paraId="61EBCFA1">
            <w:pPr>
              <w:adjustRightInd w:val="0"/>
              <w:snapToGrid w:val="0"/>
              <w:spacing w:line="360" w:lineRule="auto"/>
              <w:ind w:firstLine="420" w:firstLineChars="200"/>
              <w:jc w:val="left"/>
              <w:rPr>
                <w:b/>
                <w:bCs/>
                <w:color w:val="auto"/>
              </w:rPr>
            </w:pPr>
            <w:r>
              <w:rPr>
                <w:rFonts w:hint="eastAsia"/>
                <w:color w:val="auto"/>
              </w:rPr>
              <w:t>①对照《市场准入负面清单（20</w:t>
            </w:r>
            <w:r>
              <w:rPr>
                <w:color w:val="auto"/>
              </w:rPr>
              <w:t>2</w:t>
            </w:r>
            <w:r>
              <w:rPr>
                <w:rFonts w:hint="eastAsia"/>
                <w:color w:val="auto"/>
                <w:lang w:val="en-US" w:eastAsia="zh-CN"/>
              </w:rPr>
              <w:t>5</w:t>
            </w:r>
            <w:r>
              <w:rPr>
                <w:rFonts w:hint="eastAsia"/>
                <w:color w:val="auto"/>
              </w:rPr>
              <w:t>年版）》，本项目不属于负面清单中所列项目。</w:t>
            </w:r>
          </w:p>
          <w:p w14:paraId="46943DCA">
            <w:pPr>
              <w:overflowPunct w:val="0"/>
              <w:adjustRightInd w:val="0"/>
              <w:snapToGrid w:val="0"/>
              <w:spacing w:line="360" w:lineRule="auto"/>
              <w:ind w:firstLine="420" w:firstLineChars="200"/>
              <w:rPr>
                <w:rFonts w:hint="eastAsia" w:eastAsia="宋体"/>
                <w:b/>
                <w:bCs/>
                <w:color w:val="auto"/>
                <w:lang w:eastAsia="zh-CN"/>
              </w:rPr>
            </w:pPr>
            <w:r>
              <w:rPr>
                <w:rFonts w:hint="eastAsia"/>
                <w:color w:val="auto"/>
              </w:rPr>
              <w:t>②与《&lt;长江经济带发展负面清单指南（试行，2022年版）&gt;江苏省实施细则的通知》（苏长江办发[2022]55号）相符性分析</w:t>
            </w:r>
            <w:r>
              <w:rPr>
                <w:rFonts w:hint="eastAsia"/>
                <w:color w:val="auto"/>
                <w:lang w:eastAsia="zh-CN"/>
              </w:rPr>
              <w:t>。</w:t>
            </w:r>
          </w:p>
          <w:p w14:paraId="7D1F385C">
            <w:pPr>
              <w:widowControl/>
              <w:overflowPunct w:val="0"/>
              <w:adjustRightInd w:val="0"/>
              <w:snapToGrid w:val="0"/>
              <w:jc w:val="center"/>
              <w:rPr>
                <w:b/>
                <w:bCs/>
                <w:color w:val="auto"/>
              </w:rPr>
            </w:pPr>
            <w:r>
              <w:rPr>
                <w:b/>
                <w:bCs/>
                <w:color w:val="auto"/>
              </w:rPr>
              <w:t>表1-</w:t>
            </w:r>
            <w:r>
              <w:rPr>
                <w:rFonts w:hint="eastAsia"/>
                <w:b/>
                <w:bCs/>
                <w:color w:val="auto"/>
                <w:lang w:val="en-US" w:eastAsia="zh-CN"/>
              </w:rPr>
              <w:t>5</w:t>
            </w:r>
            <w:r>
              <w:rPr>
                <w:rFonts w:hint="eastAsia"/>
                <w:b/>
                <w:bCs/>
                <w:color w:val="auto"/>
              </w:rPr>
              <w:t xml:space="preserve">   《&lt;长江经济带发展负面清单指南（试行，2022年版）&gt;江苏省实施细则的通知》（苏长江办发[2022]55号）</w:t>
            </w:r>
          </w:p>
          <w:tbl>
            <w:tblPr>
              <w:tblStyle w:val="59"/>
              <w:tblW w:w="5000"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672"/>
              <w:gridCol w:w="4331"/>
              <w:gridCol w:w="2274"/>
              <w:gridCol w:w="874"/>
            </w:tblGrid>
            <w:tr w14:paraId="2159BC3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412" w:type="pct"/>
                  <w:tcBorders>
                    <w:tl2br w:val="nil"/>
                    <w:tr2bl w:val="nil"/>
                  </w:tcBorders>
                  <w:vAlign w:val="center"/>
                </w:tcPr>
                <w:p w14:paraId="19966D8D">
                  <w:pPr>
                    <w:widowControl/>
                    <w:autoSpaceDE w:val="0"/>
                    <w:autoSpaceDN w:val="0"/>
                    <w:adjustRightInd w:val="0"/>
                    <w:snapToGrid w:val="0"/>
                    <w:jc w:val="center"/>
                    <w:textAlignment w:val="center"/>
                    <w:rPr>
                      <w:b/>
                      <w:bCs/>
                      <w:color w:val="auto"/>
                      <w:kern w:val="0"/>
                    </w:rPr>
                  </w:pPr>
                  <w:r>
                    <w:rPr>
                      <w:rFonts w:hint="eastAsia"/>
                      <w:b/>
                      <w:bCs/>
                      <w:color w:val="auto"/>
                      <w:kern w:val="0"/>
                    </w:rPr>
                    <w:t>条款</w:t>
                  </w:r>
                </w:p>
              </w:tc>
              <w:tc>
                <w:tcPr>
                  <w:tcW w:w="2656" w:type="pct"/>
                  <w:tcBorders>
                    <w:tl2br w:val="nil"/>
                    <w:tr2bl w:val="nil"/>
                  </w:tcBorders>
                  <w:vAlign w:val="center"/>
                </w:tcPr>
                <w:p w14:paraId="471DD3DE">
                  <w:pPr>
                    <w:widowControl/>
                    <w:autoSpaceDE w:val="0"/>
                    <w:autoSpaceDN w:val="0"/>
                    <w:adjustRightInd w:val="0"/>
                    <w:snapToGrid w:val="0"/>
                    <w:jc w:val="center"/>
                    <w:textAlignment w:val="center"/>
                    <w:rPr>
                      <w:b/>
                      <w:bCs/>
                      <w:color w:val="auto"/>
                      <w:kern w:val="0"/>
                    </w:rPr>
                  </w:pPr>
                  <w:r>
                    <w:rPr>
                      <w:b/>
                      <w:bCs/>
                      <w:color w:val="auto"/>
                      <w:kern w:val="0"/>
                    </w:rPr>
                    <w:t>相关要求</w:t>
                  </w:r>
                </w:p>
              </w:tc>
              <w:tc>
                <w:tcPr>
                  <w:tcW w:w="1394" w:type="pct"/>
                  <w:tcBorders>
                    <w:tl2br w:val="nil"/>
                    <w:tr2bl w:val="nil"/>
                  </w:tcBorders>
                  <w:vAlign w:val="center"/>
                </w:tcPr>
                <w:p w14:paraId="64C4E159">
                  <w:pPr>
                    <w:widowControl/>
                    <w:autoSpaceDE w:val="0"/>
                    <w:autoSpaceDN w:val="0"/>
                    <w:adjustRightInd w:val="0"/>
                    <w:snapToGrid w:val="0"/>
                    <w:jc w:val="center"/>
                    <w:textAlignment w:val="center"/>
                    <w:rPr>
                      <w:b/>
                      <w:bCs/>
                      <w:color w:val="auto"/>
                      <w:kern w:val="0"/>
                    </w:rPr>
                  </w:pPr>
                  <w:r>
                    <w:rPr>
                      <w:b/>
                      <w:bCs/>
                      <w:color w:val="auto"/>
                      <w:kern w:val="0"/>
                    </w:rPr>
                    <w:t>企业情况</w:t>
                  </w:r>
                </w:p>
              </w:tc>
              <w:tc>
                <w:tcPr>
                  <w:tcW w:w="536" w:type="pct"/>
                  <w:tcBorders>
                    <w:tl2br w:val="nil"/>
                    <w:tr2bl w:val="nil"/>
                  </w:tcBorders>
                  <w:vAlign w:val="center"/>
                </w:tcPr>
                <w:p w14:paraId="5364A4B9">
                  <w:pPr>
                    <w:widowControl/>
                    <w:autoSpaceDE w:val="0"/>
                    <w:autoSpaceDN w:val="0"/>
                    <w:adjustRightInd w:val="0"/>
                    <w:snapToGrid w:val="0"/>
                    <w:jc w:val="center"/>
                    <w:textAlignment w:val="center"/>
                    <w:rPr>
                      <w:b/>
                      <w:bCs/>
                      <w:color w:val="auto"/>
                      <w:kern w:val="0"/>
                    </w:rPr>
                  </w:pPr>
                  <w:r>
                    <w:rPr>
                      <w:b/>
                      <w:bCs/>
                      <w:color w:val="auto"/>
                      <w:kern w:val="0"/>
                    </w:rPr>
                    <w:t>相符性</w:t>
                  </w:r>
                </w:p>
              </w:tc>
            </w:tr>
            <w:tr w14:paraId="5099D94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412" w:type="pct"/>
                  <w:vMerge w:val="restart"/>
                  <w:tcBorders>
                    <w:tl2br w:val="nil"/>
                    <w:tr2bl w:val="nil"/>
                  </w:tcBorders>
                  <w:vAlign w:val="center"/>
                </w:tcPr>
                <w:p w14:paraId="1481F7E5">
                  <w:pPr>
                    <w:widowControl/>
                    <w:autoSpaceDE w:val="0"/>
                    <w:autoSpaceDN w:val="0"/>
                    <w:adjustRightInd w:val="0"/>
                    <w:snapToGrid w:val="0"/>
                    <w:jc w:val="center"/>
                    <w:textAlignment w:val="center"/>
                    <w:rPr>
                      <w:color w:val="auto"/>
                      <w:kern w:val="0"/>
                    </w:rPr>
                  </w:pPr>
                  <w:r>
                    <w:rPr>
                      <w:rFonts w:hint="eastAsia"/>
                      <w:color w:val="auto"/>
                      <w:kern w:val="0"/>
                    </w:rPr>
                    <w:t>一、河段利用和岸线开发</w:t>
                  </w:r>
                </w:p>
              </w:tc>
              <w:tc>
                <w:tcPr>
                  <w:tcW w:w="2656" w:type="pct"/>
                  <w:tcBorders>
                    <w:tl2br w:val="nil"/>
                    <w:tr2bl w:val="nil"/>
                  </w:tcBorders>
                  <w:vAlign w:val="center"/>
                </w:tcPr>
                <w:p w14:paraId="154CFA42">
                  <w:pPr>
                    <w:widowControl/>
                    <w:autoSpaceDE w:val="0"/>
                    <w:autoSpaceDN w:val="0"/>
                    <w:adjustRightInd w:val="0"/>
                    <w:snapToGrid w:val="0"/>
                    <w:jc w:val="center"/>
                    <w:textAlignment w:val="center"/>
                    <w:rPr>
                      <w:color w:val="auto"/>
                      <w:kern w:val="0"/>
                    </w:rPr>
                  </w:pPr>
                  <w:r>
                    <w:rPr>
                      <w:rFonts w:hint="eastAsia"/>
                      <w:color w:val="auto"/>
                      <w:kern w:val="0"/>
                    </w:rPr>
                    <w:t>1.禁止建设不符合国家港口布局规划和《江苏省沿江沿海港口布局规划（2015-2030年）》《江苏省内河港口布局规划（2017-2035年）》以及我省有关港口总体规划的码头项目，禁止建设未纳入《长江干线过江通道布局规划》的过长江通道项目。</w:t>
                  </w:r>
                </w:p>
              </w:tc>
              <w:tc>
                <w:tcPr>
                  <w:tcW w:w="1394" w:type="pct"/>
                  <w:tcBorders>
                    <w:tl2br w:val="nil"/>
                    <w:tr2bl w:val="nil"/>
                  </w:tcBorders>
                  <w:vAlign w:val="center"/>
                </w:tcPr>
                <w:p w14:paraId="77AA1132">
                  <w:pPr>
                    <w:widowControl/>
                    <w:autoSpaceDE w:val="0"/>
                    <w:autoSpaceDN w:val="0"/>
                    <w:adjustRightInd w:val="0"/>
                    <w:snapToGrid w:val="0"/>
                    <w:jc w:val="center"/>
                    <w:textAlignment w:val="center"/>
                    <w:rPr>
                      <w:color w:val="auto"/>
                      <w:kern w:val="0"/>
                    </w:rPr>
                  </w:pPr>
                  <w:r>
                    <w:rPr>
                      <w:color w:val="auto"/>
                      <w:kern w:val="0"/>
                    </w:rPr>
                    <w:t>本项目不属于码头项目，也不属于过长江通道项目</w:t>
                  </w:r>
                </w:p>
              </w:tc>
              <w:tc>
                <w:tcPr>
                  <w:tcW w:w="536" w:type="pct"/>
                  <w:tcBorders>
                    <w:tl2br w:val="nil"/>
                    <w:tr2bl w:val="nil"/>
                  </w:tcBorders>
                  <w:vAlign w:val="center"/>
                </w:tcPr>
                <w:p w14:paraId="3A5C623F">
                  <w:pPr>
                    <w:widowControl/>
                    <w:autoSpaceDE w:val="0"/>
                    <w:autoSpaceDN w:val="0"/>
                    <w:adjustRightInd w:val="0"/>
                    <w:snapToGrid w:val="0"/>
                    <w:jc w:val="center"/>
                    <w:textAlignment w:val="center"/>
                    <w:rPr>
                      <w:color w:val="auto"/>
                      <w:kern w:val="0"/>
                    </w:rPr>
                  </w:pPr>
                  <w:r>
                    <w:rPr>
                      <w:color w:val="auto"/>
                      <w:kern w:val="0"/>
                    </w:rPr>
                    <w:t>相符</w:t>
                  </w:r>
                </w:p>
              </w:tc>
            </w:tr>
            <w:tr w14:paraId="76DF9B9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412" w:type="pct"/>
                  <w:vMerge w:val="continue"/>
                  <w:tcBorders>
                    <w:tl2br w:val="nil"/>
                    <w:tr2bl w:val="nil"/>
                  </w:tcBorders>
                  <w:vAlign w:val="center"/>
                </w:tcPr>
                <w:p w14:paraId="198A81FC">
                  <w:pPr>
                    <w:widowControl/>
                    <w:autoSpaceDE w:val="0"/>
                    <w:autoSpaceDN w:val="0"/>
                    <w:adjustRightInd w:val="0"/>
                    <w:snapToGrid w:val="0"/>
                    <w:jc w:val="center"/>
                    <w:textAlignment w:val="center"/>
                    <w:rPr>
                      <w:color w:val="auto"/>
                      <w:kern w:val="0"/>
                    </w:rPr>
                  </w:pPr>
                </w:p>
              </w:tc>
              <w:tc>
                <w:tcPr>
                  <w:tcW w:w="2656" w:type="pct"/>
                  <w:tcBorders>
                    <w:tl2br w:val="nil"/>
                    <w:tr2bl w:val="nil"/>
                  </w:tcBorders>
                  <w:vAlign w:val="center"/>
                </w:tcPr>
                <w:p w14:paraId="1BAB0B31">
                  <w:pPr>
                    <w:widowControl/>
                    <w:autoSpaceDE w:val="0"/>
                    <w:autoSpaceDN w:val="0"/>
                    <w:adjustRightInd w:val="0"/>
                    <w:snapToGrid w:val="0"/>
                    <w:jc w:val="center"/>
                    <w:textAlignment w:val="center"/>
                    <w:rPr>
                      <w:color w:val="auto"/>
                      <w:kern w:val="0"/>
                    </w:rPr>
                  </w:pPr>
                  <w:r>
                    <w:rPr>
                      <w:rFonts w:hint="eastAsia"/>
                      <w:color w:val="auto"/>
                      <w:kern w:val="0"/>
                    </w:rPr>
                    <w:t>2.严格执行《中华人民共和国自然保护区条例》，禁止在自然保护区核心区、缓冲区的岸线和河段范围内投资.建设旅游和生产经营项目。严格执行《风景名胜区条例》《江苏省风景名胜区管理条例》，禁止在国家级和省级风景名胜区核心景区的岸线和河段范围内投资建设与风景名胜资源保护无关的项目。</w:t>
                  </w:r>
                </w:p>
              </w:tc>
              <w:tc>
                <w:tcPr>
                  <w:tcW w:w="1394" w:type="pct"/>
                  <w:tcBorders>
                    <w:tl2br w:val="nil"/>
                    <w:tr2bl w:val="nil"/>
                  </w:tcBorders>
                  <w:vAlign w:val="center"/>
                </w:tcPr>
                <w:p w14:paraId="714A2C19">
                  <w:pPr>
                    <w:widowControl/>
                    <w:autoSpaceDE w:val="0"/>
                    <w:autoSpaceDN w:val="0"/>
                    <w:adjustRightInd w:val="0"/>
                    <w:snapToGrid w:val="0"/>
                    <w:jc w:val="center"/>
                    <w:textAlignment w:val="center"/>
                    <w:rPr>
                      <w:color w:val="auto"/>
                      <w:kern w:val="0"/>
                    </w:rPr>
                  </w:pPr>
                  <w:r>
                    <w:rPr>
                      <w:rFonts w:hint="eastAsia"/>
                      <w:color w:val="auto"/>
                      <w:kern w:val="0"/>
                    </w:rPr>
                    <w:t>本项目不在自然保护区核心区、缓冲区的岸线和河段范围内，亦不在风景名胜区核心景区的岸线和河段范围内</w:t>
                  </w:r>
                </w:p>
              </w:tc>
              <w:tc>
                <w:tcPr>
                  <w:tcW w:w="536" w:type="pct"/>
                  <w:tcBorders>
                    <w:tl2br w:val="nil"/>
                    <w:tr2bl w:val="nil"/>
                  </w:tcBorders>
                  <w:vAlign w:val="center"/>
                </w:tcPr>
                <w:p w14:paraId="2C63A911">
                  <w:pPr>
                    <w:widowControl/>
                    <w:autoSpaceDE w:val="0"/>
                    <w:autoSpaceDN w:val="0"/>
                    <w:adjustRightInd w:val="0"/>
                    <w:snapToGrid w:val="0"/>
                    <w:jc w:val="center"/>
                    <w:textAlignment w:val="center"/>
                    <w:rPr>
                      <w:color w:val="auto"/>
                      <w:kern w:val="0"/>
                    </w:rPr>
                  </w:pPr>
                  <w:r>
                    <w:rPr>
                      <w:color w:val="auto"/>
                      <w:kern w:val="0"/>
                    </w:rPr>
                    <w:t>相符</w:t>
                  </w:r>
                </w:p>
              </w:tc>
            </w:tr>
            <w:tr w14:paraId="715602A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412" w:type="pct"/>
                  <w:vMerge w:val="continue"/>
                  <w:tcBorders>
                    <w:tl2br w:val="nil"/>
                    <w:tr2bl w:val="nil"/>
                  </w:tcBorders>
                  <w:vAlign w:val="center"/>
                </w:tcPr>
                <w:p w14:paraId="02AFB2A9">
                  <w:pPr>
                    <w:widowControl/>
                    <w:autoSpaceDE w:val="0"/>
                    <w:autoSpaceDN w:val="0"/>
                    <w:adjustRightInd w:val="0"/>
                    <w:snapToGrid w:val="0"/>
                    <w:jc w:val="center"/>
                    <w:textAlignment w:val="center"/>
                    <w:rPr>
                      <w:color w:val="auto"/>
                      <w:kern w:val="0"/>
                    </w:rPr>
                  </w:pPr>
                </w:p>
              </w:tc>
              <w:tc>
                <w:tcPr>
                  <w:tcW w:w="2656" w:type="pct"/>
                  <w:tcBorders>
                    <w:tl2br w:val="nil"/>
                    <w:tr2bl w:val="nil"/>
                  </w:tcBorders>
                  <w:vAlign w:val="center"/>
                </w:tcPr>
                <w:p w14:paraId="3A42774E">
                  <w:pPr>
                    <w:widowControl/>
                    <w:autoSpaceDE w:val="0"/>
                    <w:autoSpaceDN w:val="0"/>
                    <w:adjustRightInd w:val="0"/>
                    <w:snapToGrid w:val="0"/>
                    <w:jc w:val="center"/>
                    <w:textAlignment w:val="center"/>
                    <w:rPr>
                      <w:color w:val="auto"/>
                      <w:kern w:val="0"/>
                    </w:rPr>
                  </w:pPr>
                  <w:r>
                    <w:rPr>
                      <w:rFonts w:hint="eastAsia"/>
                      <w:color w:val="auto"/>
                      <w:kern w:val="0"/>
                    </w:rPr>
                    <w:t>3.严格执行《中华人民共和国水污染防治法》《江苏省人民代表大会常务委员会关于加强饮用水源地保护的决定》《江苏省水污染防治条例》，禁止在饮用水水源一级保护区的岸线和河段范围内新建、改建、扩建与供水设施和保护水源无关的项目，以及网箱养殖、畜禽养殖、旅游等可能污染饮用水水体的投资建设项目；禁止在饮用水水源二级保护区的岸线和河段范围内新建、改建、扩建排放污染物的投资建设项目；禁止在饮用水水源准保护区的岸线和河段范围内新建、扩建对水体污染严重的投资建设项目，改建项目应当消减排污量。饮用水水源一级保护区、二级保护区、准保护区由省生态环境厅会同水利等有关方面界定并落实管控责任。</w:t>
                  </w:r>
                </w:p>
              </w:tc>
              <w:tc>
                <w:tcPr>
                  <w:tcW w:w="1394" w:type="pct"/>
                  <w:tcBorders>
                    <w:tl2br w:val="nil"/>
                    <w:tr2bl w:val="nil"/>
                  </w:tcBorders>
                  <w:vAlign w:val="center"/>
                </w:tcPr>
                <w:p w14:paraId="3492AF43">
                  <w:pPr>
                    <w:widowControl/>
                    <w:autoSpaceDE w:val="0"/>
                    <w:autoSpaceDN w:val="0"/>
                    <w:adjustRightInd w:val="0"/>
                    <w:snapToGrid w:val="0"/>
                    <w:jc w:val="center"/>
                    <w:textAlignment w:val="center"/>
                    <w:rPr>
                      <w:color w:val="auto"/>
                      <w:kern w:val="0"/>
                    </w:rPr>
                  </w:pPr>
                  <w:r>
                    <w:rPr>
                      <w:rFonts w:hint="eastAsia"/>
                      <w:color w:val="auto"/>
                      <w:kern w:val="0"/>
                    </w:rPr>
                    <w:t>本项目不在饮用水水源一级保护区、二级保护区和准保护区范围内</w:t>
                  </w:r>
                </w:p>
              </w:tc>
              <w:tc>
                <w:tcPr>
                  <w:tcW w:w="536" w:type="pct"/>
                  <w:tcBorders>
                    <w:tl2br w:val="nil"/>
                    <w:tr2bl w:val="nil"/>
                  </w:tcBorders>
                  <w:vAlign w:val="center"/>
                </w:tcPr>
                <w:p w14:paraId="1B75B193">
                  <w:pPr>
                    <w:widowControl/>
                    <w:autoSpaceDE w:val="0"/>
                    <w:autoSpaceDN w:val="0"/>
                    <w:adjustRightInd w:val="0"/>
                    <w:snapToGrid w:val="0"/>
                    <w:jc w:val="center"/>
                    <w:textAlignment w:val="center"/>
                    <w:rPr>
                      <w:color w:val="auto"/>
                      <w:kern w:val="0"/>
                    </w:rPr>
                  </w:pPr>
                  <w:r>
                    <w:rPr>
                      <w:color w:val="auto"/>
                      <w:kern w:val="0"/>
                    </w:rPr>
                    <w:t>相符</w:t>
                  </w:r>
                </w:p>
              </w:tc>
            </w:tr>
            <w:tr w14:paraId="6BC1E75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412" w:type="pct"/>
                  <w:vMerge w:val="continue"/>
                  <w:tcBorders>
                    <w:tl2br w:val="nil"/>
                    <w:tr2bl w:val="nil"/>
                  </w:tcBorders>
                  <w:vAlign w:val="center"/>
                </w:tcPr>
                <w:p w14:paraId="04607C6F">
                  <w:pPr>
                    <w:widowControl/>
                    <w:autoSpaceDE w:val="0"/>
                    <w:autoSpaceDN w:val="0"/>
                    <w:adjustRightInd w:val="0"/>
                    <w:snapToGrid w:val="0"/>
                    <w:jc w:val="center"/>
                    <w:textAlignment w:val="center"/>
                    <w:rPr>
                      <w:color w:val="auto"/>
                      <w:kern w:val="0"/>
                    </w:rPr>
                  </w:pPr>
                </w:p>
              </w:tc>
              <w:tc>
                <w:tcPr>
                  <w:tcW w:w="2656" w:type="pct"/>
                  <w:tcBorders>
                    <w:tl2br w:val="nil"/>
                    <w:tr2bl w:val="nil"/>
                  </w:tcBorders>
                  <w:vAlign w:val="center"/>
                </w:tcPr>
                <w:p w14:paraId="69BC50C0">
                  <w:pPr>
                    <w:widowControl/>
                    <w:autoSpaceDE w:val="0"/>
                    <w:autoSpaceDN w:val="0"/>
                    <w:adjustRightInd w:val="0"/>
                    <w:snapToGrid w:val="0"/>
                    <w:jc w:val="center"/>
                    <w:textAlignment w:val="center"/>
                    <w:rPr>
                      <w:color w:val="auto"/>
                      <w:kern w:val="0"/>
                    </w:rPr>
                  </w:pPr>
                  <w:r>
                    <w:rPr>
                      <w:rFonts w:hint="eastAsia"/>
                      <w:color w:val="auto"/>
                      <w:kern w:val="0"/>
                    </w:rPr>
                    <w:t>4.严格执行《水产种质资源保护区管理暂行办法》，禁止在国家级和省级水产种质资源保护区的岸线和河段范围内新建围湖造田、围海造地或围填海等投资建设项目。严格执行《中华人民共和国湿地保护法》《江苏省湿地保护条例》，禁止在国家湿地公园的岸线和河段范围内挖沙、采矿，以及任何不符合主体功能定位的投资建设项目。</w:t>
                  </w:r>
                </w:p>
              </w:tc>
              <w:tc>
                <w:tcPr>
                  <w:tcW w:w="1394" w:type="pct"/>
                  <w:tcBorders>
                    <w:tl2br w:val="nil"/>
                    <w:tr2bl w:val="nil"/>
                  </w:tcBorders>
                  <w:vAlign w:val="center"/>
                </w:tcPr>
                <w:p w14:paraId="1ACA7ED2">
                  <w:pPr>
                    <w:widowControl/>
                    <w:autoSpaceDE w:val="0"/>
                    <w:autoSpaceDN w:val="0"/>
                    <w:adjustRightInd w:val="0"/>
                    <w:snapToGrid w:val="0"/>
                    <w:jc w:val="center"/>
                    <w:textAlignment w:val="center"/>
                    <w:rPr>
                      <w:color w:val="auto"/>
                      <w:kern w:val="0"/>
                    </w:rPr>
                  </w:pPr>
                  <w:r>
                    <w:rPr>
                      <w:color w:val="auto"/>
                      <w:kern w:val="0"/>
                    </w:rPr>
                    <w:t>本项目未在水产种</w:t>
                  </w:r>
                  <w:r>
                    <w:rPr>
                      <w:rFonts w:hint="eastAsia"/>
                      <w:color w:val="auto"/>
                      <w:kern w:val="0"/>
                    </w:rPr>
                    <w:t>质</w:t>
                  </w:r>
                  <w:r>
                    <w:rPr>
                      <w:color w:val="auto"/>
                      <w:kern w:val="0"/>
                    </w:rPr>
                    <w:t>资源保护区的岸线和河段范围内新建排污口，未有围湖造田、围海造地或围填海，不在国家湿地公园的岸线和河段范围内</w:t>
                  </w:r>
                </w:p>
              </w:tc>
              <w:tc>
                <w:tcPr>
                  <w:tcW w:w="536" w:type="pct"/>
                  <w:tcBorders>
                    <w:tl2br w:val="nil"/>
                    <w:tr2bl w:val="nil"/>
                  </w:tcBorders>
                  <w:vAlign w:val="center"/>
                </w:tcPr>
                <w:p w14:paraId="1D237B2C">
                  <w:pPr>
                    <w:widowControl/>
                    <w:autoSpaceDE w:val="0"/>
                    <w:autoSpaceDN w:val="0"/>
                    <w:adjustRightInd w:val="0"/>
                    <w:snapToGrid w:val="0"/>
                    <w:jc w:val="center"/>
                    <w:textAlignment w:val="center"/>
                    <w:rPr>
                      <w:color w:val="auto"/>
                      <w:kern w:val="0"/>
                    </w:rPr>
                  </w:pPr>
                  <w:r>
                    <w:rPr>
                      <w:color w:val="auto"/>
                      <w:kern w:val="0"/>
                    </w:rPr>
                    <w:t>相符</w:t>
                  </w:r>
                </w:p>
              </w:tc>
            </w:tr>
            <w:tr w14:paraId="631969F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412" w:type="pct"/>
                  <w:vMerge w:val="continue"/>
                  <w:tcBorders>
                    <w:tl2br w:val="nil"/>
                    <w:tr2bl w:val="nil"/>
                  </w:tcBorders>
                  <w:vAlign w:val="center"/>
                </w:tcPr>
                <w:p w14:paraId="094812F5">
                  <w:pPr>
                    <w:widowControl/>
                    <w:autoSpaceDE w:val="0"/>
                    <w:autoSpaceDN w:val="0"/>
                    <w:adjustRightInd w:val="0"/>
                    <w:snapToGrid w:val="0"/>
                    <w:jc w:val="center"/>
                    <w:textAlignment w:val="center"/>
                    <w:rPr>
                      <w:color w:val="auto"/>
                      <w:kern w:val="0"/>
                    </w:rPr>
                  </w:pPr>
                </w:p>
              </w:tc>
              <w:tc>
                <w:tcPr>
                  <w:tcW w:w="2656" w:type="pct"/>
                  <w:tcBorders>
                    <w:tl2br w:val="nil"/>
                    <w:tr2bl w:val="nil"/>
                  </w:tcBorders>
                  <w:vAlign w:val="center"/>
                </w:tcPr>
                <w:p w14:paraId="77510E2A">
                  <w:pPr>
                    <w:widowControl/>
                    <w:autoSpaceDE w:val="0"/>
                    <w:autoSpaceDN w:val="0"/>
                    <w:adjustRightInd w:val="0"/>
                    <w:snapToGrid w:val="0"/>
                    <w:jc w:val="center"/>
                    <w:textAlignment w:val="center"/>
                    <w:rPr>
                      <w:color w:val="auto"/>
                      <w:kern w:val="0"/>
                    </w:rPr>
                  </w:pPr>
                  <w:r>
                    <w:rPr>
                      <w:rFonts w:hint="eastAsia"/>
                      <w:color w:val="auto"/>
                      <w:kern w:val="0"/>
                    </w:rPr>
                    <w:t>5.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长江干支流基础设施项目应按照《长江岸线保护和开发利用总体规划》和生态环境保护、岸线保护等要求，按规定开展项目前期论证并办理相关手续。禁止在《全国重要江河湖泊水功能区划》划定的河段及湖泊保护区、保留区内投资建设不利于水资源及自然生态保护的项目。</w:t>
                  </w:r>
                </w:p>
              </w:tc>
              <w:tc>
                <w:tcPr>
                  <w:tcW w:w="1394" w:type="pct"/>
                  <w:tcBorders>
                    <w:tl2br w:val="nil"/>
                    <w:tr2bl w:val="nil"/>
                  </w:tcBorders>
                  <w:vAlign w:val="center"/>
                </w:tcPr>
                <w:p w14:paraId="25119444">
                  <w:pPr>
                    <w:widowControl/>
                    <w:autoSpaceDE w:val="0"/>
                    <w:autoSpaceDN w:val="0"/>
                    <w:adjustRightInd w:val="0"/>
                    <w:snapToGrid w:val="0"/>
                    <w:jc w:val="center"/>
                    <w:textAlignment w:val="center"/>
                    <w:rPr>
                      <w:color w:val="auto"/>
                      <w:kern w:val="0"/>
                    </w:rPr>
                  </w:pPr>
                  <w:r>
                    <w:rPr>
                      <w:rFonts w:hint="eastAsia"/>
                      <w:color w:val="auto"/>
                      <w:kern w:val="0"/>
                    </w:rPr>
                    <w:t>本</w:t>
                  </w:r>
                  <w:r>
                    <w:rPr>
                      <w:color w:val="auto"/>
                      <w:kern w:val="0"/>
                    </w:rPr>
                    <w:t>项目不在《长江岸线保护和开发利用总体规划》划定的岸线保护区内，也不在岸线保留区；项目不在《全国重要江河湖泊水功能区划》划定的河段保护区、保留区内</w:t>
                  </w:r>
                </w:p>
              </w:tc>
              <w:tc>
                <w:tcPr>
                  <w:tcW w:w="536" w:type="pct"/>
                  <w:tcBorders>
                    <w:tl2br w:val="nil"/>
                    <w:tr2bl w:val="nil"/>
                  </w:tcBorders>
                  <w:vAlign w:val="center"/>
                </w:tcPr>
                <w:p w14:paraId="61A97E95">
                  <w:pPr>
                    <w:widowControl/>
                    <w:autoSpaceDE w:val="0"/>
                    <w:autoSpaceDN w:val="0"/>
                    <w:adjustRightInd w:val="0"/>
                    <w:snapToGrid w:val="0"/>
                    <w:jc w:val="center"/>
                    <w:textAlignment w:val="center"/>
                    <w:rPr>
                      <w:color w:val="auto"/>
                      <w:kern w:val="0"/>
                    </w:rPr>
                  </w:pPr>
                  <w:r>
                    <w:rPr>
                      <w:color w:val="auto"/>
                      <w:kern w:val="0"/>
                    </w:rPr>
                    <w:t>相符</w:t>
                  </w:r>
                </w:p>
              </w:tc>
            </w:tr>
            <w:tr w14:paraId="0B0C4F6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412" w:type="pct"/>
                  <w:vMerge w:val="continue"/>
                  <w:tcBorders>
                    <w:tl2br w:val="nil"/>
                    <w:tr2bl w:val="nil"/>
                  </w:tcBorders>
                  <w:vAlign w:val="center"/>
                </w:tcPr>
                <w:p w14:paraId="00ECEA63">
                  <w:pPr>
                    <w:widowControl/>
                    <w:autoSpaceDE w:val="0"/>
                    <w:autoSpaceDN w:val="0"/>
                    <w:adjustRightInd w:val="0"/>
                    <w:snapToGrid w:val="0"/>
                    <w:jc w:val="center"/>
                    <w:textAlignment w:val="center"/>
                    <w:rPr>
                      <w:color w:val="auto"/>
                      <w:kern w:val="0"/>
                    </w:rPr>
                  </w:pPr>
                </w:p>
              </w:tc>
              <w:tc>
                <w:tcPr>
                  <w:tcW w:w="2656" w:type="pct"/>
                  <w:tcBorders>
                    <w:tl2br w:val="nil"/>
                    <w:tr2bl w:val="nil"/>
                  </w:tcBorders>
                  <w:vAlign w:val="center"/>
                </w:tcPr>
                <w:p w14:paraId="62A6E925">
                  <w:pPr>
                    <w:widowControl/>
                    <w:autoSpaceDE w:val="0"/>
                    <w:autoSpaceDN w:val="0"/>
                    <w:adjustRightInd w:val="0"/>
                    <w:snapToGrid w:val="0"/>
                    <w:jc w:val="center"/>
                    <w:textAlignment w:val="center"/>
                    <w:rPr>
                      <w:color w:val="auto"/>
                      <w:kern w:val="0"/>
                    </w:rPr>
                  </w:pPr>
                  <w:r>
                    <w:rPr>
                      <w:rFonts w:hint="eastAsia"/>
                      <w:color w:val="auto"/>
                      <w:kern w:val="0"/>
                    </w:rPr>
                    <w:t>6.禁止未经许可在长江干支流及湖泊新设、改设或扩大排污口。</w:t>
                  </w:r>
                </w:p>
              </w:tc>
              <w:tc>
                <w:tcPr>
                  <w:tcW w:w="1394" w:type="pct"/>
                  <w:tcBorders>
                    <w:tl2br w:val="nil"/>
                    <w:tr2bl w:val="nil"/>
                  </w:tcBorders>
                  <w:vAlign w:val="center"/>
                </w:tcPr>
                <w:p w14:paraId="6224BC81">
                  <w:pPr>
                    <w:widowControl/>
                    <w:autoSpaceDE w:val="0"/>
                    <w:autoSpaceDN w:val="0"/>
                    <w:adjustRightInd w:val="0"/>
                    <w:snapToGrid w:val="0"/>
                    <w:jc w:val="center"/>
                    <w:textAlignment w:val="center"/>
                    <w:rPr>
                      <w:color w:val="auto"/>
                      <w:kern w:val="0"/>
                    </w:rPr>
                  </w:pPr>
                  <w:r>
                    <w:rPr>
                      <w:rFonts w:hint="eastAsia"/>
                      <w:color w:val="auto"/>
                      <w:kern w:val="0"/>
                    </w:rPr>
                    <w:t>本</w:t>
                  </w:r>
                  <w:r>
                    <w:rPr>
                      <w:color w:val="auto"/>
                      <w:kern w:val="0"/>
                    </w:rPr>
                    <w:t>项目不</w:t>
                  </w:r>
                  <w:r>
                    <w:rPr>
                      <w:rFonts w:hint="eastAsia"/>
                      <w:color w:val="auto"/>
                      <w:kern w:val="0"/>
                    </w:rPr>
                    <w:t>在长江干支流及湖泊新设、改设或扩大排污口</w:t>
                  </w:r>
                </w:p>
              </w:tc>
              <w:tc>
                <w:tcPr>
                  <w:tcW w:w="536" w:type="pct"/>
                  <w:tcBorders>
                    <w:tl2br w:val="nil"/>
                    <w:tr2bl w:val="nil"/>
                  </w:tcBorders>
                  <w:vAlign w:val="center"/>
                </w:tcPr>
                <w:p w14:paraId="1F14A366">
                  <w:pPr>
                    <w:widowControl/>
                    <w:autoSpaceDE w:val="0"/>
                    <w:autoSpaceDN w:val="0"/>
                    <w:adjustRightInd w:val="0"/>
                    <w:snapToGrid w:val="0"/>
                    <w:jc w:val="center"/>
                    <w:textAlignment w:val="center"/>
                    <w:rPr>
                      <w:color w:val="auto"/>
                      <w:kern w:val="0"/>
                    </w:rPr>
                  </w:pPr>
                  <w:r>
                    <w:rPr>
                      <w:color w:val="auto"/>
                      <w:kern w:val="0"/>
                    </w:rPr>
                    <w:t>相符</w:t>
                  </w:r>
                </w:p>
              </w:tc>
            </w:tr>
            <w:tr w14:paraId="6F04464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412" w:type="pct"/>
                  <w:vMerge w:val="restart"/>
                  <w:tcBorders>
                    <w:tl2br w:val="nil"/>
                    <w:tr2bl w:val="nil"/>
                  </w:tcBorders>
                  <w:vAlign w:val="center"/>
                </w:tcPr>
                <w:p w14:paraId="2AC484BF">
                  <w:pPr>
                    <w:widowControl/>
                    <w:autoSpaceDE w:val="0"/>
                    <w:autoSpaceDN w:val="0"/>
                    <w:adjustRightInd w:val="0"/>
                    <w:snapToGrid w:val="0"/>
                    <w:jc w:val="center"/>
                    <w:textAlignment w:val="center"/>
                    <w:rPr>
                      <w:color w:val="auto"/>
                      <w:kern w:val="0"/>
                    </w:rPr>
                  </w:pPr>
                  <w:r>
                    <w:rPr>
                      <w:rFonts w:hint="eastAsia"/>
                      <w:color w:val="auto"/>
                      <w:kern w:val="0"/>
                    </w:rPr>
                    <w:t>二、区域活动</w:t>
                  </w:r>
                </w:p>
              </w:tc>
              <w:tc>
                <w:tcPr>
                  <w:tcW w:w="2656" w:type="pct"/>
                  <w:tcBorders>
                    <w:tl2br w:val="nil"/>
                    <w:tr2bl w:val="nil"/>
                  </w:tcBorders>
                  <w:vAlign w:val="center"/>
                </w:tcPr>
                <w:p w14:paraId="69C03667">
                  <w:pPr>
                    <w:widowControl/>
                    <w:autoSpaceDE w:val="0"/>
                    <w:autoSpaceDN w:val="0"/>
                    <w:adjustRightInd w:val="0"/>
                    <w:snapToGrid w:val="0"/>
                    <w:jc w:val="center"/>
                    <w:textAlignment w:val="center"/>
                    <w:rPr>
                      <w:color w:val="auto"/>
                      <w:kern w:val="0"/>
                    </w:rPr>
                  </w:pPr>
                  <w:r>
                    <w:rPr>
                      <w:rFonts w:hint="eastAsia"/>
                      <w:color w:val="auto"/>
                      <w:kern w:val="0"/>
                    </w:rPr>
                    <w:t>7.禁止长江干流、长江口、34个列入《率先全面禁捕的长江流域水生生物保护区名录》的水生生物保护区以及省规定的其它禁渔水域开展生产性捕捞。</w:t>
                  </w:r>
                </w:p>
              </w:tc>
              <w:tc>
                <w:tcPr>
                  <w:tcW w:w="1394" w:type="pct"/>
                  <w:tcBorders>
                    <w:tl2br w:val="nil"/>
                    <w:tr2bl w:val="nil"/>
                  </w:tcBorders>
                  <w:vAlign w:val="center"/>
                </w:tcPr>
                <w:p w14:paraId="177AC7AF">
                  <w:pPr>
                    <w:widowControl/>
                    <w:autoSpaceDE w:val="0"/>
                    <w:autoSpaceDN w:val="0"/>
                    <w:adjustRightInd w:val="0"/>
                    <w:snapToGrid w:val="0"/>
                    <w:jc w:val="center"/>
                    <w:textAlignment w:val="center"/>
                    <w:rPr>
                      <w:color w:val="auto"/>
                      <w:kern w:val="0"/>
                    </w:rPr>
                  </w:pPr>
                  <w:r>
                    <w:rPr>
                      <w:rFonts w:hint="eastAsia"/>
                      <w:color w:val="auto"/>
                      <w:kern w:val="0"/>
                    </w:rPr>
                    <w:t>本项目不开展生产性捕捞活动</w:t>
                  </w:r>
                </w:p>
              </w:tc>
              <w:tc>
                <w:tcPr>
                  <w:tcW w:w="536" w:type="pct"/>
                  <w:tcBorders>
                    <w:tl2br w:val="nil"/>
                    <w:tr2bl w:val="nil"/>
                  </w:tcBorders>
                  <w:vAlign w:val="center"/>
                </w:tcPr>
                <w:p w14:paraId="6A46324D">
                  <w:pPr>
                    <w:widowControl/>
                    <w:autoSpaceDE w:val="0"/>
                    <w:autoSpaceDN w:val="0"/>
                    <w:adjustRightInd w:val="0"/>
                    <w:snapToGrid w:val="0"/>
                    <w:jc w:val="center"/>
                    <w:textAlignment w:val="center"/>
                    <w:rPr>
                      <w:color w:val="auto"/>
                      <w:kern w:val="0"/>
                    </w:rPr>
                  </w:pPr>
                  <w:r>
                    <w:rPr>
                      <w:color w:val="auto"/>
                      <w:kern w:val="0"/>
                    </w:rPr>
                    <w:t>相符</w:t>
                  </w:r>
                </w:p>
              </w:tc>
            </w:tr>
            <w:tr w14:paraId="6D57B87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412" w:type="pct"/>
                  <w:vMerge w:val="continue"/>
                  <w:tcBorders>
                    <w:tl2br w:val="nil"/>
                    <w:tr2bl w:val="nil"/>
                  </w:tcBorders>
                  <w:vAlign w:val="center"/>
                </w:tcPr>
                <w:p w14:paraId="38A61AC4">
                  <w:pPr>
                    <w:widowControl/>
                    <w:autoSpaceDE w:val="0"/>
                    <w:autoSpaceDN w:val="0"/>
                    <w:adjustRightInd w:val="0"/>
                    <w:snapToGrid w:val="0"/>
                    <w:jc w:val="center"/>
                    <w:textAlignment w:val="center"/>
                    <w:rPr>
                      <w:color w:val="auto"/>
                      <w:kern w:val="0"/>
                    </w:rPr>
                  </w:pPr>
                </w:p>
              </w:tc>
              <w:tc>
                <w:tcPr>
                  <w:tcW w:w="2656" w:type="pct"/>
                  <w:tcBorders>
                    <w:tl2br w:val="nil"/>
                    <w:tr2bl w:val="nil"/>
                  </w:tcBorders>
                  <w:vAlign w:val="center"/>
                </w:tcPr>
                <w:p w14:paraId="17121C51">
                  <w:pPr>
                    <w:widowControl/>
                    <w:autoSpaceDE w:val="0"/>
                    <w:autoSpaceDN w:val="0"/>
                    <w:adjustRightInd w:val="0"/>
                    <w:snapToGrid w:val="0"/>
                    <w:jc w:val="center"/>
                    <w:textAlignment w:val="center"/>
                    <w:rPr>
                      <w:color w:val="auto"/>
                      <w:kern w:val="0"/>
                    </w:rPr>
                  </w:pPr>
                  <w:r>
                    <w:rPr>
                      <w:rFonts w:hint="eastAsia"/>
                      <w:color w:val="auto"/>
                      <w:kern w:val="0"/>
                    </w:rPr>
                    <w:t>8.禁止在距离长江干支流岸线一公里范围内新建、扩建化工园区和化工项目。长江干支流一公里按照长江干支流岸线边界（即水利部门河道管理范围边界）向陆域纵深一公里执行。</w:t>
                  </w:r>
                </w:p>
              </w:tc>
              <w:tc>
                <w:tcPr>
                  <w:tcW w:w="1394" w:type="pct"/>
                  <w:tcBorders>
                    <w:tl2br w:val="nil"/>
                    <w:tr2bl w:val="nil"/>
                  </w:tcBorders>
                  <w:vAlign w:val="center"/>
                </w:tcPr>
                <w:p w14:paraId="6F7F68FD">
                  <w:pPr>
                    <w:widowControl/>
                    <w:autoSpaceDE w:val="0"/>
                    <w:autoSpaceDN w:val="0"/>
                    <w:adjustRightInd w:val="0"/>
                    <w:snapToGrid w:val="0"/>
                    <w:jc w:val="center"/>
                    <w:textAlignment w:val="center"/>
                    <w:rPr>
                      <w:color w:val="auto"/>
                      <w:kern w:val="0"/>
                    </w:rPr>
                  </w:pPr>
                  <w:r>
                    <w:rPr>
                      <w:rFonts w:hint="eastAsia"/>
                      <w:color w:val="auto"/>
                      <w:kern w:val="0"/>
                    </w:rPr>
                    <w:t>本项目不在长江干支流岸线一公里范围内</w:t>
                  </w:r>
                </w:p>
              </w:tc>
              <w:tc>
                <w:tcPr>
                  <w:tcW w:w="536" w:type="pct"/>
                  <w:tcBorders>
                    <w:tl2br w:val="nil"/>
                    <w:tr2bl w:val="nil"/>
                  </w:tcBorders>
                  <w:vAlign w:val="center"/>
                </w:tcPr>
                <w:p w14:paraId="15DB4BB3">
                  <w:pPr>
                    <w:widowControl/>
                    <w:autoSpaceDE w:val="0"/>
                    <w:autoSpaceDN w:val="0"/>
                    <w:adjustRightInd w:val="0"/>
                    <w:snapToGrid w:val="0"/>
                    <w:jc w:val="center"/>
                    <w:textAlignment w:val="center"/>
                    <w:rPr>
                      <w:color w:val="auto"/>
                      <w:kern w:val="0"/>
                    </w:rPr>
                  </w:pPr>
                  <w:r>
                    <w:rPr>
                      <w:color w:val="auto"/>
                      <w:kern w:val="0"/>
                    </w:rPr>
                    <w:t>相符</w:t>
                  </w:r>
                </w:p>
              </w:tc>
            </w:tr>
            <w:tr w14:paraId="11E44E1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412" w:type="pct"/>
                  <w:vMerge w:val="continue"/>
                  <w:tcBorders>
                    <w:tl2br w:val="nil"/>
                    <w:tr2bl w:val="nil"/>
                  </w:tcBorders>
                  <w:vAlign w:val="center"/>
                </w:tcPr>
                <w:p w14:paraId="09F2A9D1">
                  <w:pPr>
                    <w:widowControl/>
                    <w:autoSpaceDE w:val="0"/>
                    <w:autoSpaceDN w:val="0"/>
                    <w:adjustRightInd w:val="0"/>
                    <w:snapToGrid w:val="0"/>
                    <w:jc w:val="center"/>
                    <w:textAlignment w:val="center"/>
                    <w:rPr>
                      <w:color w:val="auto"/>
                      <w:kern w:val="0"/>
                    </w:rPr>
                  </w:pPr>
                </w:p>
              </w:tc>
              <w:tc>
                <w:tcPr>
                  <w:tcW w:w="2656" w:type="pct"/>
                  <w:tcBorders>
                    <w:tl2br w:val="nil"/>
                    <w:tr2bl w:val="nil"/>
                  </w:tcBorders>
                  <w:vAlign w:val="center"/>
                </w:tcPr>
                <w:p w14:paraId="46334284">
                  <w:pPr>
                    <w:widowControl/>
                    <w:autoSpaceDE w:val="0"/>
                    <w:autoSpaceDN w:val="0"/>
                    <w:adjustRightInd w:val="0"/>
                    <w:snapToGrid w:val="0"/>
                    <w:jc w:val="center"/>
                    <w:textAlignment w:val="center"/>
                    <w:rPr>
                      <w:color w:val="auto"/>
                      <w:kern w:val="0"/>
                    </w:rPr>
                  </w:pPr>
                  <w:r>
                    <w:rPr>
                      <w:rFonts w:hint="eastAsia"/>
                      <w:color w:val="auto"/>
                      <w:kern w:val="0"/>
                    </w:rPr>
                    <w:t>9.禁止在长江干流岸线三公里范围内新建、改建、扩建尾矿库、冶炼渣库和磷石膏库，以提升安全、生态环境保护水平为目的的改建除外。</w:t>
                  </w:r>
                </w:p>
              </w:tc>
              <w:tc>
                <w:tcPr>
                  <w:tcW w:w="1394" w:type="pct"/>
                  <w:tcBorders>
                    <w:tl2br w:val="nil"/>
                    <w:tr2bl w:val="nil"/>
                  </w:tcBorders>
                  <w:vAlign w:val="center"/>
                </w:tcPr>
                <w:p w14:paraId="1969EEC2">
                  <w:pPr>
                    <w:widowControl/>
                    <w:autoSpaceDE w:val="0"/>
                    <w:autoSpaceDN w:val="0"/>
                    <w:adjustRightInd w:val="0"/>
                    <w:snapToGrid w:val="0"/>
                    <w:jc w:val="center"/>
                    <w:textAlignment w:val="center"/>
                    <w:rPr>
                      <w:color w:val="auto"/>
                      <w:kern w:val="0"/>
                    </w:rPr>
                  </w:pPr>
                  <w:r>
                    <w:rPr>
                      <w:rFonts w:hint="eastAsia"/>
                      <w:color w:val="auto"/>
                      <w:kern w:val="0"/>
                    </w:rPr>
                    <w:t>本项目不在长江干流岸线三公里范围内</w:t>
                  </w:r>
                </w:p>
              </w:tc>
              <w:tc>
                <w:tcPr>
                  <w:tcW w:w="536" w:type="pct"/>
                  <w:tcBorders>
                    <w:tl2br w:val="nil"/>
                    <w:tr2bl w:val="nil"/>
                  </w:tcBorders>
                  <w:vAlign w:val="center"/>
                </w:tcPr>
                <w:p w14:paraId="308848E0">
                  <w:pPr>
                    <w:widowControl/>
                    <w:autoSpaceDE w:val="0"/>
                    <w:autoSpaceDN w:val="0"/>
                    <w:adjustRightInd w:val="0"/>
                    <w:snapToGrid w:val="0"/>
                    <w:jc w:val="center"/>
                    <w:textAlignment w:val="center"/>
                    <w:rPr>
                      <w:color w:val="auto"/>
                      <w:kern w:val="0"/>
                    </w:rPr>
                  </w:pPr>
                  <w:r>
                    <w:rPr>
                      <w:color w:val="auto"/>
                      <w:kern w:val="0"/>
                    </w:rPr>
                    <w:t>相符</w:t>
                  </w:r>
                </w:p>
              </w:tc>
            </w:tr>
            <w:tr w14:paraId="0D9A603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412" w:type="pct"/>
                  <w:vMerge w:val="continue"/>
                  <w:tcBorders>
                    <w:tl2br w:val="nil"/>
                    <w:tr2bl w:val="nil"/>
                  </w:tcBorders>
                  <w:vAlign w:val="center"/>
                </w:tcPr>
                <w:p w14:paraId="01A086C2">
                  <w:pPr>
                    <w:widowControl/>
                    <w:autoSpaceDE w:val="0"/>
                    <w:autoSpaceDN w:val="0"/>
                    <w:adjustRightInd w:val="0"/>
                    <w:snapToGrid w:val="0"/>
                    <w:jc w:val="center"/>
                    <w:textAlignment w:val="center"/>
                    <w:rPr>
                      <w:color w:val="auto"/>
                      <w:kern w:val="0"/>
                    </w:rPr>
                  </w:pPr>
                </w:p>
              </w:tc>
              <w:tc>
                <w:tcPr>
                  <w:tcW w:w="2656" w:type="pct"/>
                  <w:tcBorders>
                    <w:tl2br w:val="nil"/>
                    <w:tr2bl w:val="nil"/>
                  </w:tcBorders>
                  <w:vAlign w:val="center"/>
                </w:tcPr>
                <w:p w14:paraId="6D930682">
                  <w:pPr>
                    <w:widowControl/>
                    <w:autoSpaceDE w:val="0"/>
                    <w:autoSpaceDN w:val="0"/>
                    <w:adjustRightInd w:val="0"/>
                    <w:snapToGrid w:val="0"/>
                    <w:jc w:val="center"/>
                    <w:textAlignment w:val="center"/>
                    <w:rPr>
                      <w:color w:val="auto"/>
                      <w:kern w:val="0"/>
                    </w:rPr>
                  </w:pPr>
                  <w:r>
                    <w:rPr>
                      <w:rFonts w:hint="eastAsia"/>
                      <w:color w:val="auto"/>
                      <w:kern w:val="0"/>
                    </w:rPr>
                    <w:t>10.禁止在太湖流域一、二、三级保护区内开展《江苏省太湖水污染防治条例》禁止的投资建设活动。</w:t>
                  </w:r>
                </w:p>
              </w:tc>
              <w:tc>
                <w:tcPr>
                  <w:tcW w:w="1394" w:type="pct"/>
                  <w:tcBorders>
                    <w:tl2br w:val="nil"/>
                    <w:tr2bl w:val="nil"/>
                  </w:tcBorders>
                  <w:vAlign w:val="center"/>
                </w:tcPr>
                <w:p w14:paraId="4E0FBF57">
                  <w:pPr>
                    <w:widowControl/>
                    <w:autoSpaceDE w:val="0"/>
                    <w:autoSpaceDN w:val="0"/>
                    <w:adjustRightInd w:val="0"/>
                    <w:snapToGrid w:val="0"/>
                    <w:jc w:val="center"/>
                    <w:textAlignment w:val="center"/>
                    <w:rPr>
                      <w:color w:val="auto"/>
                      <w:kern w:val="0"/>
                    </w:rPr>
                  </w:pPr>
                  <w:r>
                    <w:rPr>
                      <w:rFonts w:hint="eastAsia"/>
                      <w:color w:val="auto"/>
                      <w:kern w:val="0"/>
                    </w:rPr>
                    <w:t>本项目不属于太湖流域保护区范围</w:t>
                  </w:r>
                </w:p>
              </w:tc>
              <w:tc>
                <w:tcPr>
                  <w:tcW w:w="536" w:type="pct"/>
                  <w:tcBorders>
                    <w:tl2br w:val="nil"/>
                    <w:tr2bl w:val="nil"/>
                  </w:tcBorders>
                  <w:vAlign w:val="center"/>
                </w:tcPr>
                <w:p w14:paraId="65D9CEA2">
                  <w:pPr>
                    <w:widowControl/>
                    <w:autoSpaceDE w:val="0"/>
                    <w:autoSpaceDN w:val="0"/>
                    <w:adjustRightInd w:val="0"/>
                    <w:snapToGrid w:val="0"/>
                    <w:jc w:val="center"/>
                    <w:textAlignment w:val="center"/>
                    <w:rPr>
                      <w:color w:val="auto"/>
                      <w:kern w:val="0"/>
                    </w:rPr>
                  </w:pPr>
                  <w:r>
                    <w:rPr>
                      <w:color w:val="auto"/>
                      <w:kern w:val="0"/>
                    </w:rPr>
                    <w:t>相符</w:t>
                  </w:r>
                </w:p>
              </w:tc>
            </w:tr>
            <w:tr w14:paraId="09C6FAD7">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412" w:type="pct"/>
                  <w:vMerge w:val="continue"/>
                  <w:tcBorders>
                    <w:tl2br w:val="nil"/>
                    <w:tr2bl w:val="nil"/>
                  </w:tcBorders>
                  <w:vAlign w:val="center"/>
                </w:tcPr>
                <w:p w14:paraId="4CC232E2">
                  <w:pPr>
                    <w:widowControl/>
                    <w:autoSpaceDE w:val="0"/>
                    <w:autoSpaceDN w:val="0"/>
                    <w:adjustRightInd w:val="0"/>
                    <w:snapToGrid w:val="0"/>
                    <w:jc w:val="center"/>
                    <w:textAlignment w:val="center"/>
                    <w:rPr>
                      <w:color w:val="auto"/>
                      <w:kern w:val="0"/>
                    </w:rPr>
                  </w:pPr>
                </w:p>
              </w:tc>
              <w:tc>
                <w:tcPr>
                  <w:tcW w:w="2656" w:type="pct"/>
                  <w:tcBorders>
                    <w:tl2br w:val="nil"/>
                    <w:tr2bl w:val="nil"/>
                  </w:tcBorders>
                  <w:vAlign w:val="center"/>
                </w:tcPr>
                <w:p w14:paraId="3034434E">
                  <w:pPr>
                    <w:widowControl/>
                    <w:autoSpaceDE w:val="0"/>
                    <w:autoSpaceDN w:val="0"/>
                    <w:adjustRightInd w:val="0"/>
                    <w:snapToGrid w:val="0"/>
                    <w:jc w:val="center"/>
                    <w:textAlignment w:val="center"/>
                    <w:rPr>
                      <w:color w:val="auto"/>
                      <w:kern w:val="0"/>
                    </w:rPr>
                  </w:pPr>
                  <w:r>
                    <w:rPr>
                      <w:rFonts w:hint="eastAsia"/>
                      <w:color w:val="auto"/>
                      <w:kern w:val="0"/>
                    </w:rPr>
                    <w:t>11.禁止在沿江地区新建、扩建未纳入国家和省布局规划的燃煤发电项目。</w:t>
                  </w:r>
                </w:p>
              </w:tc>
              <w:tc>
                <w:tcPr>
                  <w:tcW w:w="1394" w:type="pct"/>
                  <w:tcBorders>
                    <w:tl2br w:val="nil"/>
                    <w:tr2bl w:val="nil"/>
                  </w:tcBorders>
                  <w:vAlign w:val="center"/>
                </w:tcPr>
                <w:p w14:paraId="33A8B4AD">
                  <w:pPr>
                    <w:widowControl/>
                    <w:autoSpaceDE w:val="0"/>
                    <w:autoSpaceDN w:val="0"/>
                    <w:adjustRightInd w:val="0"/>
                    <w:snapToGrid w:val="0"/>
                    <w:jc w:val="center"/>
                    <w:textAlignment w:val="center"/>
                    <w:rPr>
                      <w:color w:val="auto"/>
                      <w:kern w:val="0"/>
                    </w:rPr>
                  </w:pPr>
                  <w:r>
                    <w:rPr>
                      <w:rFonts w:hint="eastAsia"/>
                      <w:color w:val="auto"/>
                      <w:kern w:val="0"/>
                    </w:rPr>
                    <w:t>本项目不属于燃煤发电项目</w:t>
                  </w:r>
                </w:p>
              </w:tc>
              <w:tc>
                <w:tcPr>
                  <w:tcW w:w="536" w:type="pct"/>
                  <w:tcBorders>
                    <w:tl2br w:val="nil"/>
                    <w:tr2bl w:val="nil"/>
                  </w:tcBorders>
                  <w:vAlign w:val="center"/>
                </w:tcPr>
                <w:p w14:paraId="1E0EB80F">
                  <w:pPr>
                    <w:widowControl/>
                    <w:autoSpaceDE w:val="0"/>
                    <w:autoSpaceDN w:val="0"/>
                    <w:adjustRightInd w:val="0"/>
                    <w:snapToGrid w:val="0"/>
                    <w:jc w:val="center"/>
                    <w:textAlignment w:val="center"/>
                    <w:rPr>
                      <w:color w:val="auto"/>
                      <w:kern w:val="0"/>
                    </w:rPr>
                  </w:pPr>
                  <w:r>
                    <w:rPr>
                      <w:color w:val="auto"/>
                      <w:kern w:val="0"/>
                    </w:rPr>
                    <w:t>相符</w:t>
                  </w:r>
                </w:p>
              </w:tc>
            </w:tr>
            <w:tr w14:paraId="33637B27">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412" w:type="pct"/>
                  <w:vMerge w:val="continue"/>
                  <w:tcBorders>
                    <w:tl2br w:val="nil"/>
                    <w:tr2bl w:val="nil"/>
                  </w:tcBorders>
                  <w:vAlign w:val="center"/>
                </w:tcPr>
                <w:p w14:paraId="45390D83">
                  <w:pPr>
                    <w:widowControl/>
                    <w:autoSpaceDE w:val="0"/>
                    <w:autoSpaceDN w:val="0"/>
                    <w:adjustRightInd w:val="0"/>
                    <w:snapToGrid w:val="0"/>
                    <w:jc w:val="center"/>
                    <w:textAlignment w:val="center"/>
                    <w:rPr>
                      <w:color w:val="auto"/>
                      <w:kern w:val="0"/>
                    </w:rPr>
                  </w:pPr>
                </w:p>
              </w:tc>
              <w:tc>
                <w:tcPr>
                  <w:tcW w:w="2656" w:type="pct"/>
                  <w:tcBorders>
                    <w:tl2br w:val="nil"/>
                    <w:tr2bl w:val="nil"/>
                  </w:tcBorders>
                  <w:vAlign w:val="center"/>
                </w:tcPr>
                <w:p w14:paraId="6A077AD6">
                  <w:pPr>
                    <w:widowControl/>
                    <w:autoSpaceDE w:val="0"/>
                    <w:autoSpaceDN w:val="0"/>
                    <w:adjustRightInd w:val="0"/>
                    <w:snapToGrid w:val="0"/>
                    <w:jc w:val="center"/>
                    <w:textAlignment w:val="center"/>
                    <w:rPr>
                      <w:color w:val="auto"/>
                      <w:kern w:val="0"/>
                    </w:rPr>
                  </w:pPr>
                  <w:r>
                    <w:rPr>
                      <w:rFonts w:hint="eastAsia"/>
                      <w:color w:val="auto"/>
                      <w:kern w:val="0"/>
                    </w:rPr>
                    <w:t>12.禁止在合规园区外新建、扩建钢铁、石化、化工、焦化、建材、有色、制浆造纸等高污染项目。合规园区名录按照《〈长江经济带发展负面清单指南（试行，2022年版）&gt;江苏省实施细则合规园区名录》执行。</w:t>
                  </w:r>
                </w:p>
              </w:tc>
              <w:tc>
                <w:tcPr>
                  <w:tcW w:w="1394" w:type="pct"/>
                  <w:tcBorders>
                    <w:tl2br w:val="nil"/>
                    <w:tr2bl w:val="nil"/>
                  </w:tcBorders>
                  <w:vAlign w:val="center"/>
                </w:tcPr>
                <w:p w14:paraId="2CF37E9F">
                  <w:pPr>
                    <w:widowControl/>
                    <w:autoSpaceDE w:val="0"/>
                    <w:autoSpaceDN w:val="0"/>
                    <w:adjustRightInd w:val="0"/>
                    <w:snapToGrid w:val="0"/>
                    <w:jc w:val="center"/>
                    <w:textAlignment w:val="center"/>
                    <w:rPr>
                      <w:color w:val="auto"/>
                      <w:kern w:val="0"/>
                    </w:rPr>
                  </w:pPr>
                  <w:r>
                    <w:rPr>
                      <w:rFonts w:hint="eastAsia"/>
                      <w:color w:val="auto"/>
                      <w:kern w:val="0"/>
                    </w:rPr>
                    <w:t>本项目不属于钢铁、石化、化工、焦化、建材、有色、制浆造纸等高污染项目</w:t>
                  </w:r>
                </w:p>
              </w:tc>
              <w:tc>
                <w:tcPr>
                  <w:tcW w:w="536" w:type="pct"/>
                  <w:tcBorders>
                    <w:tl2br w:val="nil"/>
                    <w:tr2bl w:val="nil"/>
                  </w:tcBorders>
                  <w:vAlign w:val="center"/>
                </w:tcPr>
                <w:p w14:paraId="0E24EF48">
                  <w:pPr>
                    <w:widowControl/>
                    <w:autoSpaceDE w:val="0"/>
                    <w:autoSpaceDN w:val="0"/>
                    <w:adjustRightInd w:val="0"/>
                    <w:snapToGrid w:val="0"/>
                    <w:jc w:val="center"/>
                    <w:textAlignment w:val="center"/>
                    <w:rPr>
                      <w:color w:val="auto"/>
                      <w:kern w:val="0"/>
                    </w:rPr>
                  </w:pPr>
                  <w:r>
                    <w:rPr>
                      <w:color w:val="auto"/>
                      <w:kern w:val="0"/>
                    </w:rPr>
                    <w:t>相符</w:t>
                  </w:r>
                </w:p>
              </w:tc>
            </w:tr>
            <w:tr w14:paraId="4AE9112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412" w:type="pct"/>
                  <w:vMerge w:val="continue"/>
                  <w:tcBorders>
                    <w:tl2br w:val="nil"/>
                    <w:tr2bl w:val="nil"/>
                  </w:tcBorders>
                  <w:vAlign w:val="center"/>
                </w:tcPr>
                <w:p w14:paraId="3C2ECEEC">
                  <w:pPr>
                    <w:widowControl/>
                    <w:autoSpaceDE w:val="0"/>
                    <w:autoSpaceDN w:val="0"/>
                    <w:adjustRightInd w:val="0"/>
                    <w:snapToGrid w:val="0"/>
                    <w:jc w:val="center"/>
                    <w:textAlignment w:val="center"/>
                    <w:rPr>
                      <w:color w:val="auto"/>
                      <w:kern w:val="0"/>
                    </w:rPr>
                  </w:pPr>
                </w:p>
              </w:tc>
              <w:tc>
                <w:tcPr>
                  <w:tcW w:w="2656" w:type="pct"/>
                  <w:tcBorders>
                    <w:tl2br w:val="nil"/>
                    <w:tr2bl w:val="nil"/>
                  </w:tcBorders>
                  <w:vAlign w:val="center"/>
                </w:tcPr>
                <w:p w14:paraId="50AFF793">
                  <w:pPr>
                    <w:widowControl/>
                    <w:autoSpaceDE w:val="0"/>
                    <w:autoSpaceDN w:val="0"/>
                    <w:adjustRightInd w:val="0"/>
                    <w:snapToGrid w:val="0"/>
                    <w:jc w:val="center"/>
                    <w:textAlignment w:val="center"/>
                    <w:rPr>
                      <w:color w:val="auto"/>
                      <w:kern w:val="0"/>
                    </w:rPr>
                  </w:pPr>
                  <w:r>
                    <w:rPr>
                      <w:rFonts w:hint="eastAsia"/>
                      <w:color w:val="auto"/>
                      <w:kern w:val="0"/>
                    </w:rPr>
                    <w:t>13.禁止在取消化工定位的园区（集中区）内新建化工项目。</w:t>
                  </w:r>
                </w:p>
              </w:tc>
              <w:tc>
                <w:tcPr>
                  <w:tcW w:w="1394" w:type="pct"/>
                  <w:tcBorders>
                    <w:tl2br w:val="nil"/>
                    <w:tr2bl w:val="nil"/>
                  </w:tcBorders>
                  <w:vAlign w:val="center"/>
                </w:tcPr>
                <w:p w14:paraId="0D750497">
                  <w:pPr>
                    <w:widowControl/>
                    <w:autoSpaceDE w:val="0"/>
                    <w:autoSpaceDN w:val="0"/>
                    <w:adjustRightInd w:val="0"/>
                    <w:snapToGrid w:val="0"/>
                    <w:jc w:val="center"/>
                    <w:textAlignment w:val="center"/>
                    <w:rPr>
                      <w:color w:val="auto"/>
                      <w:kern w:val="0"/>
                    </w:rPr>
                  </w:pPr>
                  <w:r>
                    <w:rPr>
                      <w:rFonts w:hint="eastAsia"/>
                      <w:color w:val="auto"/>
                      <w:kern w:val="0"/>
                    </w:rPr>
                    <w:t>本项目不属于化工项目</w:t>
                  </w:r>
                </w:p>
              </w:tc>
              <w:tc>
                <w:tcPr>
                  <w:tcW w:w="536" w:type="pct"/>
                  <w:tcBorders>
                    <w:tl2br w:val="nil"/>
                    <w:tr2bl w:val="nil"/>
                  </w:tcBorders>
                  <w:vAlign w:val="center"/>
                </w:tcPr>
                <w:p w14:paraId="777E4DE1">
                  <w:pPr>
                    <w:widowControl/>
                    <w:autoSpaceDE w:val="0"/>
                    <w:autoSpaceDN w:val="0"/>
                    <w:adjustRightInd w:val="0"/>
                    <w:snapToGrid w:val="0"/>
                    <w:jc w:val="center"/>
                    <w:textAlignment w:val="center"/>
                    <w:rPr>
                      <w:color w:val="auto"/>
                      <w:kern w:val="0"/>
                    </w:rPr>
                  </w:pPr>
                  <w:r>
                    <w:rPr>
                      <w:color w:val="auto"/>
                      <w:kern w:val="0"/>
                    </w:rPr>
                    <w:t>相符</w:t>
                  </w:r>
                </w:p>
              </w:tc>
            </w:tr>
            <w:tr w14:paraId="1F0B0A0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412" w:type="pct"/>
                  <w:vMerge w:val="continue"/>
                  <w:tcBorders>
                    <w:tl2br w:val="nil"/>
                    <w:tr2bl w:val="nil"/>
                  </w:tcBorders>
                  <w:vAlign w:val="center"/>
                </w:tcPr>
                <w:p w14:paraId="37F6516D">
                  <w:pPr>
                    <w:widowControl/>
                    <w:autoSpaceDE w:val="0"/>
                    <w:autoSpaceDN w:val="0"/>
                    <w:adjustRightInd w:val="0"/>
                    <w:snapToGrid w:val="0"/>
                    <w:jc w:val="center"/>
                    <w:textAlignment w:val="center"/>
                    <w:rPr>
                      <w:color w:val="auto"/>
                      <w:kern w:val="0"/>
                    </w:rPr>
                  </w:pPr>
                </w:p>
              </w:tc>
              <w:tc>
                <w:tcPr>
                  <w:tcW w:w="2656" w:type="pct"/>
                  <w:tcBorders>
                    <w:tl2br w:val="nil"/>
                    <w:tr2bl w:val="nil"/>
                  </w:tcBorders>
                  <w:vAlign w:val="center"/>
                </w:tcPr>
                <w:p w14:paraId="71E8DD3E">
                  <w:pPr>
                    <w:widowControl/>
                    <w:autoSpaceDE w:val="0"/>
                    <w:autoSpaceDN w:val="0"/>
                    <w:adjustRightInd w:val="0"/>
                    <w:snapToGrid w:val="0"/>
                    <w:jc w:val="center"/>
                    <w:textAlignment w:val="center"/>
                    <w:rPr>
                      <w:color w:val="auto"/>
                      <w:kern w:val="0"/>
                    </w:rPr>
                  </w:pPr>
                  <w:r>
                    <w:rPr>
                      <w:rFonts w:hint="eastAsia"/>
                      <w:color w:val="auto"/>
                      <w:kern w:val="0"/>
                    </w:rPr>
                    <w:t>14.禁止在化工企业周边建设不符合安全距离规定的劳动密集型的非化工项目和其他人员密集的公共设施项目。</w:t>
                  </w:r>
                </w:p>
              </w:tc>
              <w:tc>
                <w:tcPr>
                  <w:tcW w:w="1394" w:type="pct"/>
                  <w:tcBorders>
                    <w:tl2br w:val="nil"/>
                    <w:tr2bl w:val="nil"/>
                  </w:tcBorders>
                  <w:vAlign w:val="center"/>
                </w:tcPr>
                <w:p w14:paraId="403E70F5">
                  <w:pPr>
                    <w:widowControl/>
                    <w:autoSpaceDE w:val="0"/>
                    <w:autoSpaceDN w:val="0"/>
                    <w:adjustRightInd w:val="0"/>
                    <w:snapToGrid w:val="0"/>
                    <w:jc w:val="center"/>
                    <w:textAlignment w:val="center"/>
                    <w:rPr>
                      <w:color w:val="auto"/>
                      <w:kern w:val="0"/>
                    </w:rPr>
                  </w:pPr>
                  <w:r>
                    <w:rPr>
                      <w:rFonts w:hint="eastAsia"/>
                      <w:color w:val="auto"/>
                      <w:kern w:val="0"/>
                    </w:rPr>
                    <w:t>本项目周边数百米范围内无劳动密集型的非化工项目和其他人员密集的公共设施项目</w:t>
                  </w:r>
                </w:p>
              </w:tc>
              <w:tc>
                <w:tcPr>
                  <w:tcW w:w="536" w:type="pct"/>
                  <w:tcBorders>
                    <w:tl2br w:val="nil"/>
                    <w:tr2bl w:val="nil"/>
                  </w:tcBorders>
                  <w:vAlign w:val="center"/>
                </w:tcPr>
                <w:p w14:paraId="1D66DEF9">
                  <w:pPr>
                    <w:widowControl/>
                    <w:autoSpaceDE w:val="0"/>
                    <w:autoSpaceDN w:val="0"/>
                    <w:adjustRightInd w:val="0"/>
                    <w:snapToGrid w:val="0"/>
                    <w:jc w:val="center"/>
                    <w:textAlignment w:val="center"/>
                    <w:rPr>
                      <w:color w:val="auto"/>
                      <w:kern w:val="0"/>
                    </w:rPr>
                  </w:pPr>
                  <w:r>
                    <w:rPr>
                      <w:color w:val="auto"/>
                      <w:kern w:val="0"/>
                    </w:rPr>
                    <w:t>相符</w:t>
                  </w:r>
                </w:p>
              </w:tc>
            </w:tr>
            <w:tr w14:paraId="2D24B20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412" w:type="pct"/>
                  <w:vMerge w:val="restart"/>
                  <w:tcBorders>
                    <w:tl2br w:val="nil"/>
                    <w:tr2bl w:val="nil"/>
                  </w:tcBorders>
                  <w:vAlign w:val="center"/>
                </w:tcPr>
                <w:p w14:paraId="1674B7FB">
                  <w:pPr>
                    <w:widowControl/>
                    <w:autoSpaceDE w:val="0"/>
                    <w:autoSpaceDN w:val="0"/>
                    <w:adjustRightInd w:val="0"/>
                    <w:snapToGrid w:val="0"/>
                    <w:jc w:val="center"/>
                    <w:textAlignment w:val="center"/>
                    <w:rPr>
                      <w:color w:val="auto"/>
                      <w:kern w:val="0"/>
                    </w:rPr>
                  </w:pPr>
                  <w:r>
                    <w:rPr>
                      <w:rFonts w:hint="eastAsia"/>
                      <w:color w:val="auto"/>
                      <w:kern w:val="0"/>
                    </w:rPr>
                    <w:t>三、产业发展</w:t>
                  </w:r>
                </w:p>
              </w:tc>
              <w:tc>
                <w:tcPr>
                  <w:tcW w:w="2656" w:type="pct"/>
                  <w:tcBorders>
                    <w:tl2br w:val="nil"/>
                    <w:tr2bl w:val="nil"/>
                  </w:tcBorders>
                  <w:vAlign w:val="center"/>
                </w:tcPr>
                <w:p w14:paraId="35C50777">
                  <w:pPr>
                    <w:widowControl/>
                    <w:autoSpaceDE w:val="0"/>
                    <w:autoSpaceDN w:val="0"/>
                    <w:adjustRightInd w:val="0"/>
                    <w:snapToGrid w:val="0"/>
                    <w:jc w:val="center"/>
                    <w:textAlignment w:val="center"/>
                    <w:rPr>
                      <w:color w:val="auto"/>
                      <w:kern w:val="0"/>
                    </w:rPr>
                  </w:pPr>
                  <w:r>
                    <w:rPr>
                      <w:rFonts w:hint="eastAsia"/>
                      <w:color w:val="auto"/>
                      <w:kern w:val="0"/>
                    </w:rPr>
                    <w:t>15.禁止新建、扩建不符合国家和省产业政策的尿素、磷铵、电石、烧碱、聚氯乙烯、纯碱等行业新增产能项目。</w:t>
                  </w:r>
                </w:p>
              </w:tc>
              <w:tc>
                <w:tcPr>
                  <w:tcW w:w="1394" w:type="pct"/>
                  <w:tcBorders>
                    <w:tl2br w:val="nil"/>
                    <w:tr2bl w:val="nil"/>
                  </w:tcBorders>
                  <w:vAlign w:val="center"/>
                </w:tcPr>
                <w:p w14:paraId="507D10F5">
                  <w:pPr>
                    <w:widowControl/>
                    <w:autoSpaceDE w:val="0"/>
                    <w:autoSpaceDN w:val="0"/>
                    <w:adjustRightInd w:val="0"/>
                    <w:snapToGrid w:val="0"/>
                    <w:jc w:val="center"/>
                    <w:textAlignment w:val="center"/>
                    <w:rPr>
                      <w:color w:val="auto"/>
                      <w:kern w:val="0"/>
                    </w:rPr>
                  </w:pPr>
                  <w:r>
                    <w:rPr>
                      <w:rFonts w:hint="eastAsia"/>
                      <w:color w:val="auto"/>
                      <w:kern w:val="0"/>
                    </w:rPr>
                    <w:t>本项目不属于尿素、磷铵、电石、烧碱、聚氯乙烯、纯碱等行业</w:t>
                  </w:r>
                </w:p>
              </w:tc>
              <w:tc>
                <w:tcPr>
                  <w:tcW w:w="536" w:type="pct"/>
                  <w:tcBorders>
                    <w:tl2br w:val="nil"/>
                    <w:tr2bl w:val="nil"/>
                  </w:tcBorders>
                  <w:vAlign w:val="center"/>
                </w:tcPr>
                <w:p w14:paraId="246323D1">
                  <w:pPr>
                    <w:widowControl/>
                    <w:autoSpaceDE w:val="0"/>
                    <w:autoSpaceDN w:val="0"/>
                    <w:adjustRightInd w:val="0"/>
                    <w:snapToGrid w:val="0"/>
                    <w:jc w:val="center"/>
                    <w:textAlignment w:val="center"/>
                    <w:rPr>
                      <w:color w:val="auto"/>
                      <w:kern w:val="0"/>
                    </w:rPr>
                  </w:pPr>
                  <w:r>
                    <w:rPr>
                      <w:color w:val="auto"/>
                      <w:kern w:val="0"/>
                    </w:rPr>
                    <w:t>相符</w:t>
                  </w:r>
                </w:p>
              </w:tc>
            </w:tr>
            <w:tr w14:paraId="6462A1B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412" w:type="pct"/>
                  <w:vMerge w:val="continue"/>
                  <w:tcBorders>
                    <w:tl2br w:val="nil"/>
                    <w:tr2bl w:val="nil"/>
                  </w:tcBorders>
                  <w:vAlign w:val="center"/>
                </w:tcPr>
                <w:p w14:paraId="6FF4D2BA">
                  <w:pPr>
                    <w:widowControl/>
                    <w:autoSpaceDE w:val="0"/>
                    <w:autoSpaceDN w:val="0"/>
                    <w:adjustRightInd w:val="0"/>
                    <w:snapToGrid w:val="0"/>
                    <w:jc w:val="center"/>
                    <w:textAlignment w:val="center"/>
                    <w:rPr>
                      <w:color w:val="auto"/>
                      <w:kern w:val="0"/>
                    </w:rPr>
                  </w:pPr>
                </w:p>
              </w:tc>
              <w:tc>
                <w:tcPr>
                  <w:tcW w:w="2656" w:type="pct"/>
                  <w:tcBorders>
                    <w:tl2br w:val="nil"/>
                    <w:tr2bl w:val="nil"/>
                  </w:tcBorders>
                  <w:vAlign w:val="center"/>
                </w:tcPr>
                <w:p w14:paraId="5091E2BD">
                  <w:pPr>
                    <w:widowControl/>
                    <w:autoSpaceDE w:val="0"/>
                    <w:autoSpaceDN w:val="0"/>
                    <w:adjustRightInd w:val="0"/>
                    <w:snapToGrid w:val="0"/>
                    <w:jc w:val="center"/>
                    <w:textAlignment w:val="center"/>
                    <w:rPr>
                      <w:color w:val="auto"/>
                      <w:kern w:val="0"/>
                    </w:rPr>
                  </w:pPr>
                  <w:r>
                    <w:rPr>
                      <w:rFonts w:hint="eastAsia"/>
                      <w:color w:val="auto"/>
                      <w:kern w:val="0"/>
                    </w:rPr>
                    <w:t>16.禁止新建、改建、扩建高毒、高残留以及对环境影响大的农药原药（化学合成类）项目，禁止新建、扩建不符合国家和省产业政策的农药、医药和染料中间体化工项目。</w:t>
                  </w:r>
                </w:p>
              </w:tc>
              <w:tc>
                <w:tcPr>
                  <w:tcW w:w="1394" w:type="pct"/>
                  <w:tcBorders>
                    <w:tl2br w:val="nil"/>
                    <w:tr2bl w:val="nil"/>
                  </w:tcBorders>
                  <w:vAlign w:val="center"/>
                </w:tcPr>
                <w:p w14:paraId="2DD41B1E">
                  <w:pPr>
                    <w:widowControl/>
                    <w:autoSpaceDE w:val="0"/>
                    <w:autoSpaceDN w:val="0"/>
                    <w:adjustRightInd w:val="0"/>
                    <w:snapToGrid w:val="0"/>
                    <w:jc w:val="center"/>
                    <w:textAlignment w:val="center"/>
                    <w:rPr>
                      <w:color w:val="auto"/>
                      <w:kern w:val="0"/>
                    </w:rPr>
                  </w:pPr>
                  <w:r>
                    <w:rPr>
                      <w:rFonts w:hint="eastAsia"/>
                      <w:color w:val="auto"/>
                      <w:kern w:val="0"/>
                    </w:rPr>
                    <w:t>本项目不属于农药原药（化学合成类）项目，不属于农药、医药和染料中间体化工项目</w:t>
                  </w:r>
                </w:p>
              </w:tc>
              <w:tc>
                <w:tcPr>
                  <w:tcW w:w="536" w:type="pct"/>
                  <w:tcBorders>
                    <w:tl2br w:val="nil"/>
                    <w:tr2bl w:val="nil"/>
                  </w:tcBorders>
                  <w:vAlign w:val="center"/>
                </w:tcPr>
                <w:p w14:paraId="29EA1E65">
                  <w:pPr>
                    <w:widowControl/>
                    <w:autoSpaceDE w:val="0"/>
                    <w:autoSpaceDN w:val="0"/>
                    <w:adjustRightInd w:val="0"/>
                    <w:snapToGrid w:val="0"/>
                    <w:jc w:val="center"/>
                    <w:textAlignment w:val="center"/>
                    <w:rPr>
                      <w:color w:val="auto"/>
                      <w:kern w:val="0"/>
                    </w:rPr>
                  </w:pPr>
                  <w:r>
                    <w:rPr>
                      <w:color w:val="auto"/>
                      <w:kern w:val="0"/>
                    </w:rPr>
                    <w:t>相符</w:t>
                  </w:r>
                </w:p>
              </w:tc>
            </w:tr>
            <w:tr w14:paraId="0F6E91F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412" w:type="pct"/>
                  <w:vMerge w:val="continue"/>
                  <w:tcBorders>
                    <w:tl2br w:val="nil"/>
                    <w:tr2bl w:val="nil"/>
                  </w:tcBorders>
                  <w:vAlign w:val="center"/>
                </w:tcPr>
                <w:p w14:paraId="0345F4A3">
                  <w:pPr>
                    <w:widowControl/>
                    <w:autoSpaceDE w:val="0"/>
                    <w:autoSpaceDN w:val="0"/>
                    <w:adjustRightInd w:val="0"/>
                    <w:snapToGrid w:val="0"/>
                    <w:jc w:val="center"/>
                    <w:textAlignment w:val="center"/>
                    <w:rPr>
                      <w:color w:val="auto"/>
                      <w:kern w:val="0"/>
                    </w:rPr>
                  </w:pPr>
                </w:p>
              </w:tc>
              <w:tc>
                <w:tcPr>
                  <w:tcW w:w="2656" w:type="pct"/>
                  <w:tcBorders>
                    <w:tl2br w:val="nil"/>
                    <w:tr2bl w:val="nil"/>
                  </w:tcBorders>
                  <w:vAlign w:val="center"/>
                </w:tcPr>
                <w:p w14:paraId="5CA3A223">
                  <w:pPr>
                    <w:widowControl/>
                    <w:autoSpaceDE w:val="0"/>
                    <w:autoSpaceDN w:val="0"/>
                    <w:adjustRightInd w:val="0"/>
                    <w:snapToGrid w:val="0"/>
                    <w:jc w:val="center"/>
                    <w:textAlignment w:val="center"/>
                    <w:rPr>
                      <w:color w:val="auto"/>
                      <w:kern w:val="0"/>
                    </w:rPr>
                  </w:pPr>
                  <w:r>
                    <w:rPr>
                      <w:rFonts w:hint="eastAsia"/>
                      <w:color w:val="auto"/>
                      <w:kern w:val="0"/>
                    </w:rPr>
                    <w:t>17.禁止新建、扩建不符合国家石化、现代煤化工等产业布局规划的项目，禁止新建独立焦化项目。</w:t>
                  </w:r>
                </w:p>
              </w:tc>
              <w:tc>
                <w:tcPr>
                  <w:tcW w:w="1394" w:type="pct"/>
                  <w:tcBorders>
                    <w:tl2br w:val="nil"/>
                    <w:tr2bl w:val="nil"/>
                  </w:tcBorders>
                  <w:vAlign w:val="center"/>
                </w:tcPr>
                <w:p w14:paraId="5951583D">
                  <w:pPr>
                    <w:widowControl/>
                    <w:autoSpaceDE w:val="0"/>
                    <w:autoSpaceDN w:val="0"/>
                    <w:adjustRightInd w:val="0"/>
                    <w:snapToGrid w:val="0"/>
                    <w:jc w:val="center"/>
                    <w:textAlignment w:val="center"/>
                    <w:rPr>
                      <w:color w:val="auto"/>
                      <w:kern w:val="0"/>
                    </w:rPr>
                  </w:pPr>
                  <w:r>
                    <w:rPr>
                      <w:rFonts w:hint="eastAsia"/>
                      <w:color w:val="auto"/>
                      <w:kern w:val="0"/>
                    </w:rPr>
                    <w:t>本项目不属于石化、现代煤化工、独立焦化项目</w:t>
                  </w:r>
                </w:p>
              </w:tc>
              <w:tc>
                <w:tcPr>
                  <w:tcW w:w="536" w:type="pct"/>
                  <w:tcBorders>
                    <w:tl2br w:val="nil"/>
                    <w:tr2bl w:val="nil"/>
                  </w:tcBorders>
                  <w:vAlign w:val="center"/>
                </w:tcPr>
                <w:p w14:paraId="26438601">
                  <w:pPr>
                    <w:widowControl/>
                    <w:autoSpaceDE w:val="0"/>
                    <w:autoSpaceDN w:val="0"/>
                    <w:adjustRightInd w:val="0"/>
                    <w:snapToGrid w:val="0"/>
                    <w:jc w:val="center"/>
                    <w:textAlignment w:val="center"/>
                    <w:rPr>
                      <w:color w:val="auto"/>
                      <w:kern w:val="0"/>
                    </w:rPr>
                  </w:pPr>
                  <w:r>
                    <w:rPr>
                      <w:color w:val="auto"/>
                      <w:kern w:val="0"/>
                    </w:rPr>
                    <w:t>相符</w:t>
                  </w:r>
                </w:p>
              </w:tc>
            </w:tr>
            <w:tr w14:paraId="6CB69DB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412" w:type="pct"/>
                  <w:vMerge w:val="continue"/>
                  <w:tcBorders>
                    <w:tl2br w:val="nil"/>
                    <w:tr2bl w:val="nil"/>
                  </w:tcBorders>
                  <w:vAlign w:val="center"/>
                </w:tcPr>
                <w:p w14:paraId="3A0779C3">
                  <w:pPr>
                    <w:widowControl/>
                    <w:autoSpaceDE w:val="0"/>
                    <w:autoSpaceDN w:val="0"/>
                    <w:adjustRightInd w:val="0"/>
                    <w:snapToGrid w:val="0"/>
                    <w:jc w:val="center"/>
                    <w:textAlignment w:val="center"/>
                    <w:rPr>
                      <w:color w:val="auto"/>
                      <w:kern w:val="0"/>
                    </w:rPr>
                  </w:pPr>
                </w:p>
              </w:tc>
              <w:tc>
                <w:tcPr>
                  <w:tcW w:w="2656" w:type="pct"/>
                  <w:tcBorders>
                    <w:tl2br w:val="nil"/>
                    <w:tr2bl w:val="nil"/>
                  </w:tcBorders>
                  <w:vAlign w:val="center"/>
                </w:tcPr>
                <w:p w14:paraId="294345DA">
                  <w:pPr>
                    <w:widowControl/>
                    <w:autoSpaceDE w:val="0"/>
                    <w:autoSpaceDN w:val="0"/>
                    <w:adjustRightInd w:val="0"/>
                    <w:snapToGrid w:val="0"/>
                    <w:jc w:val="center"/>
                    <w:textAlignment w:val="center"/>
                    <w:rPr>
                      <w:color w:val="auto"/>
                      <w:kern w:val="0"/>
                    </w:rPr>
                  </w:pPr>
                  <w:r>
                    <w:rPr>
                      <w:rFonts w:hint="eastAsia"/>
                      <w:color w:val="auto"/>
                      <w:kern w:val="0"/>
                    </w:rPr>
                    <w:t>18.禁止新建、扩建不符合国家《产业结构调整指导目录》《江苏省产业结构调整限制、淘汰和禁止目录》明确的限制类、淘汰类、禁止类项目， 法律法规和相关政策明令禁止的落后产能项目，以及明令淘汰的安全生产落后工艺及装备项目。</w:t>
                  </w:r>
                </w:p>
              </w:tc>
              <w:tc>
                <w:tcPr>
                  <w:tcW w:w="1394" w:type="pct"/>
                  <w:tcBorders>
                    <w:tl2br w:val="nil"/>
                    <w:tr2bl w:val="nil"/>
                  </w:tcBorders>
                  <w:vAlign w:val="center"/>
                </w:tcPr>
                <w:p w14:paraId="746C6D6D">
                  <w:pPr>
                    <w:widowControl/>
                    <w:autoSpaceDE w:val="0"/>
                    <w:autoSpaceDN w:val="0"/>
                    <w:adjustRightInd w:val="0"/>
                    <w:snapToGrid w:val="0"/>
                    <w:jc w:val="center"/>
                    <w:textAlignment w:val="center"/>
                    <w:rPr>
                      <w:color w:val="auto"/>
                      <w:kern w:val="0"/>
                    </w:rPr>
                  </w:pPr>
                  <w:r>
                    <w:rPr>
                      <w:rFonts w:hint="eastAsia"/>
                      <w:color w:val="auto"/>
                      <w:kern w:val="0"/>
                    </w:rPr>
                    <w:t>本项目不属于《产业结构调整指导目录》《江苏省产业结构调整限制、淘汰和禁止目录》明确的限制类、淘汰类、禁止类项目；不属于法律法规和相关政策明令禁止的落后产能项目，不属于明令淘汰的安全生产落后工艺及装备项目</w:t>
                  </w:r>
                </w:p>
              </w:tc>
              <w:tc>
                <w:tcPr>
                  <w:tcW w:w="536" w:type="pct"/>
                  <w:tcBorders>
                    <w:tl2br w:val="nil"/>
                    <w:tr2bl w:val="nil"/>
                  </w:tcBorders>
                  <w:vAlign w:val="center"/>
                </w:tcPr>
                <w:p w14:paraId="433741D6">
                  <w:pPr>
                    <w:widowControl/>
                    <w:autoSpaceDE w:val="0"/>
                    <w:autoSpaceDN w:val="0"/>
                    <w:adjustRightInd w:val="0"/>
                    <w:snapToGrid w:val="0"/>
                    <w:jc w:val="center"/>
                    <w:textAlignment w:val="center"/>
                    <w:rPr>
                      <w:color w:val="auto"/>
                      <w:kern w:val="0"/>
                    </w:rPr>
                  </w:pPr>
                  <w:r>
                    <w:rPr>
                      <w:color w:val="auto"/>
                      <w:kern w:val="0"/>
                    </w:rPr>
                    <w:t>相符</w:t>
                  </w:r>
                </w:p>
              </w:tc>
            </w:tr>
            <w:tr w14:paraId="39EEA0E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412" w:type="pct"/>
                  <w:vMerge w:val="continue"/>
                  <w:tcBorders>
                    <w:tl2br w:val="nil"/>
                    <w:tr2bl w:val="nil"/>
                  </w:tcBorders>
                  <w:vAlign w:val="center"/>
                </w:tcPr>
                <w:p w14:paraId="61607D57">
                  <w:pPr>
                    <w:widowControl/>
                    <w:autoSpaceDE w:val="0"/>
                    <w:autoSpaceDN w:val="0"/>
                    <w:adjustRightInd w:val="0"/>
                    <w:snapToGrid w:val="0"/>
                    <w:jc w:val="center"/>
                    <w:textAlignment w:val="center"/>
                    <w:rPr>
                      <w:color w:val="auto"/>
                      <w:kern w:val="0"/>
                    </w:rPr>
                  </w:pPr>
                </w:p>
              </w:tc>
              <w:tc>
                <w:tcPr>
                  <w:tcW w:w="2656" w:type="pct"/>
                  <w:tcBorders>
                    <w:tl2br w:val="nil"/>
                    <w:tr2bl w:val="nil"/>
                  </w:tcBorders>
                  <w:vAlign w:val="center"/>
                </w:tcPr>
                <w:p w14:paraId="1BFB71BB">
                  <w:pPr>
                    <w:widowControl/>
                    <w:autoSpaceDE w:val="0"/>
                    <w:autoSpaceDN w:val="0"/>
                    <w:adjustRightInd w:val="0"/>
                    <w:snapToGrid w:val="0"/>
                    <w:jc w:val="center"/>
                    <w:textAlignment w:val="center"/>
                    <w:rPr>
                      <w:color w:val="auto"/>
                      <w:kern w:val="0"/>
                    </w:rPr>
                  </w:pPr>
                  <w:r>
                    <w:rPr>
                      <w:rFonts w:hint="eastAsia"/>
                      <w:color w:val="auto"/>
                      <w:kern w:val="0"/>
                    </w:rPr>
                    <w:t>19.禁止新建、扩建不符合国家产能置换要求的严重过剩产能行业的项目。禁止新建、扩建不符合要求的高耗能高排放项目。</w:t>
                  </w:r>
                </w:p>
              </w:tc>
              <w:tc>
                <w:tcPr>
                  <w:tcW w:w="1394" w:type="pct"/>
                  <w:tcBorders>
                    <w:tl2br w:val="nil"/>
                    <w:tr2bl w:val="nil"/>
                  </w:tcBorders>
                  <w:vAlign w:val="center"/>
                </w:tcPr>
                <w:p w14:paraId="113669BE">
                  <w:pPr>
                    <w:widowControl/>
                    <w:autoSpaceDE w:val="0"/>
                    <w:autoSpaceDN w:val="0"/>
                    <w:adjustRightInd w:val="0"/>
                    <w:snapToGrid w:val="0"/>
                    <w:jc w:val="center"/>
                    <w:textAlignment w:val="center"/>
                    <w:rPr>
                      <w:color w:val="auto"/>
                      <w:kern w:val="0"/>
                    </w:rPr>
                  </w:pPr>
                  <w:r>
                    <w:rPr>
                      <w:rFonts w:hint="eastAsia"/>
                      <w:color w:val="auto"/>
                      <w:kern w:val="0"/>
                    </w:rPr>
                    <w:t>本项目不属于严重产能过剩行业，不属于高耗能高排放项目</w:t>
                  </w:r>
                </w:p>
              </w:tc>
              <w:tc>
                <w:tcPr>
                  <w:tcW w:w="536" w:type="pct"/>
                  <w:tcBorders>
                    <w:tl2br w:val="nil"/>
                    <w:tr2bl w:val="nil"/>
                  </w:tcBorders>
                  <w:vAlign w:val="center"/>
                </w:tcPr>
                <w:p w14:paraId="4451EFD7">
                  <w:pPr>
                    <w:widowControl/>
                    <w:autoSpaceDE w:val="0"/>
                    <w:autoSpaceDN w:val="0"/>
                    <w:adjustRightInd w:val="0"/>
                    <w:snapToGrid w:val="0"/>
                    <w:jc w:val="center"/>
                    <w:textAlignment w:val="center"/>
                    <w:rPr>
                      <w:color w:val="auto"/>
                      <w:kern w:val="0"/>
                    </w:rPr>
                  </w:pPr>
                  <w:r>
                    <w:rPr>
                      <w:color w:val="auto"/>
                      <w:kern w:val="0"/>
                    </w:rPr>
                    <w:t>相符</w:t>
                  </w:r>
                </w:p>
              </w:tc>
            </w:tr>
            <w:tr w14:paraId="22F627C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412" w:type="pct"/>
                  <w:vMerge w:val="continue"/>
                  <w:tcBorders>
                    <w:tl2br w:val="nil"/>
                    <w:tr2bl w:val="nil"/>
                  </w:tcBorders>
                  <w:vAlign w:val="center"/>
                </w:tcPr>
                <w:p w14:paraId="0DB49D64">
                  <w:pPr>
                    <w:widowControl/>
                    <w:autoSpaceDE w:val="0"/>
                    <w:autoSpaceDN w:val="0"/>
                    <w:adjustRightInd w:val="0"/>
                    <w:snapToGrid w:val="0"/>
                    <w:jc w:val="center"/>
                    <w:textAlignment w:val="center"/>
                    <w:rPr>
                      <w:color w:val="auto"/>
                      <w:kern w:val="0"/>
                    </w:rPr>
                  </w:pPr>
                </w:p>
              </w:tc>
              <w:tc>
                <w:tcPr>
                  <w:tcW w:w="2656" w:type="pct"/>
                  <w:tcBorders>
                    <w:tl2br w:val="nil"/>
                    <w:tr2bl w:val="nil"/>
                  </w:tcBorders>
                  <w:vAlign w:val="center"/>
                </w:tcPr>
                <w:p w14:paraId="6BC22F81">
                  <w:pPr>
                    <w:widowControl/>
                    <w:autoSpaceDE w:val="0"/>
                    <w:autoSpaceDN w:val="0"/>
                    <w:adjustRightInd w:val="0"/>
                    <w:snapToGrid w:val="0"/>
                    <w:jc w:val="center"/>
                    <w:textAlignment w:val="center"/>
                    <w:rPr>
                      <w:color w:val="auto"/>
                      <w:kern w:val="0"/>
                    </w:rPr>
                  </w:pPr>
                  <w:r>
                    <w:rPr>
                      <w:rFonts w:hint="eastAsia"/>
                      <w:color w:val="auto"/>
                      <w:kern w:val="0"/>
                    </w:rPr>
                    <w:t>20.法律法规及相关政策文件有更加严格规定的从其规定。</w:t>
                  </w:r>
                </w:p>
              </w:tc>
              <w:tc>
                <w:tcPr>
                  <w:tcW w:w="1394" w:type="pct"/>
                  <w:tcBorders>
                    <w:tl2br w:val="nil"/>
                    <w:tr2bl w:val="nil"/>
                  </w:tcBorders>
                  <w:vAlign w:val="center"/>
                </w:tcPr>
                <w:p w14:paraId="0BF513D6">
                  <w:pPr>
                    <w:widowControl/>
                    <w:autoSpaceDE w:val="0"/>
                    <w:autoSpaceDN w:val="0"/>
                    <w:adjustRightInd w:val="0"/>
                    <w:snapToGrid w:val="0"/>
                    <w:jc w:val="center"/>
                    <w:textAlignment w:val="center"/>
                    <w:rPr>
                      <w:color w:val="auto"/>
                      <w:kern w:val="0"/>
                    </w:rPr>
                  </w:pPr>
                  <w:r>
                    <w:rPr>
                      <w:rFonts w:hint="eastAsia"/>
                      <w:color w:val="auto"/>
                      <w:kern w:val="0"/>
                    </w:rPr>
                    <w:t>本项目从新、从严执行</w:t>
                  </w:r>
                </w:p>
              </w:tc>
              <w:tc>
                <w:tcPr>
                  <w:tcW w:w="536" w:type="pct"/>
                  <w:tcBorders>
                    <w:tl2br w:val="nil"/>
                    <w:tr2bl w:val="nil"/>
                  </w:tcBorders>
                  <w:vAlign w:val="center"/>
                </w:tcPr>
                <w:p w14:paraId="6B90D2B3">
                  <w:pPr>
                    <w:widowControl/>
                    <w:autoSpaceDE w:val="0"/>
                    <w:autoSpaceDN w:val="0"/>
                    <w:adjustRightInd w:val="0"/>
                    <w:snapToGrid w:val="0"/>
                    <w:jc w:val="center"/>
                    <w:textAlignment w:val="center"/>
                    <w:rPr>
                      <w:color w:val="auto"/>
                      <w:kern w:val="0"/>
                    </w:rPr>
                  </w:pPr>
                  <w:r>
                    <w:rPr>
                      <w:color w:val="auto"/>
                      <w:kern w:val="0"/>
                    </w:rPr>
                    <w:t>相符</w:t>
                  </w:r>
                </w:p>
              </w:tc>
            </w:tr>
          </w:tbl>
          <w:p w14:paraId="6425BEC8">
            <w:pPr>
              <w:overflowPunct w:val="0"/>
              <w:adjustRightInd w:val="0"/>
              <w:snapToGrid w:val="0"/>
              <w:spacing w:line="360" w:lineRule="auto"/>
              <w:ind w:firstLine="420" w:firstLineChars="200"/>
              <w:rPr>
                <w:color w:val="auto"/>
              </w:rPr>
            </w:pPr>
            <w:r>
              <w:rPr>
                <w:color w:val="auto"/>
              </w:rPr>
              <w:t>综上所述，本项目与</w:t>
            </w:r>
            <w:r>
              <w:rPr>
                <w:rFonts w:hint="eastAsia"/>
                <w:color w:val="auto"/>
              </w:rPr>
              <w:t>《&lt;长江经济带发展负面清单指南（试行，2022年版）&gt;江苏省实施细则的通知》（苏长江办发[2022]55号）</w:t>
            </w:r>
            <w:r>
              <w:rPr>
                <w:color w:val="auto"/>
              </w:rPr>
              <w:t>相符。</w:t>
            </w:r>
          </w:p>
          <w:p w14:paraId="6CA5E500">
            <w:pPr>
              <w:pStyle w:val="23"/>
              <w:ind w:firstLine="420" w:firstLineChars="200"/>
              <w:rPr>
                <w:color w:val="auto"/>
                <w:kern w:val="2"/>
                <w:sz w:val="21"/>
                <w:szCs w:val="21"/>
              </w:rPr>
            </w:pPr>
            <w:r>
              <w:rPr>
                <w:rFonts w:hint="eastAsia"/>
                <w:color w:val="auto"/>
                <w:kern w:val="2"/>
                <w:sz w:val="21"/>
                <w:szCs w:val="21"/>
              </w:rPr>
              <w:t>综上所述，本项目的建设符合“三线一单”中的相关要求。</w:t>
            </w:r>
          </w:p>
          <w:p w14:paraId="50257557">
            <w:pPr>
              <w:overflowPunct w:val="0"/>
              <w:adjustRightInd w:val="0"/>
              <w:snapToGrid w:val="0"/>
              <w:spacing w:line="360" w:lineRule="auto"/>
              <w:ind w:firstLine="422" w:firstLineChars="200"/>
              <w:rPr>
                <w:b/>
                <w:color w:val="auto"/>
              </w:rPr>
            </w:pPr>
            <w:r>
              <w:rPr>
                <w:rFonts w:hint="eastAsia"/>
                <w:b/>
                <w:color w:val="auto"/>
              </w:rPr>
              <w:t>3、技术政策相符性</w:t>
            </w:r>
          </w:p>
          <w:p w14:paraId="33F1F818">
            <w:pPr>
              <w:adjustRightInd w:val="0"/>
              <w:snapToGrid w:val="0"/>
              <w:spacing w:line="360" w:lineRule="auto"/>
              <w:ind w:firstLine="422" w:firstLineChars="200"/>
              <w:rPr>
                <w:b/>
                <w:bCs/>
                <w:color w:val="auto"/>
              </w:rPr>
            </w:pPr>
            <w:r>
              <w:rPr>
                <w:b/>
                <w:bCs/>
                <w:color w:val="auto"/>
              </w:rPr>
              <w:t>（1）与地方文件相符性</w:t>
            </w:r>
          </w:p>
          <w:p w14:paraId="5EA18066">
            <w:pPr>
              <w:adjustRightInd w:val="0"/>
              <w:snapToGrid w:val="0"/>
              <w:spacing w:line="360" w:lineRule="auto"/>
              <w:ind w:firstLine="420" w:firstLineChars="200"/>
              <w:rPr>
                <w:b/>
                <w:bCs/>
                <w:color w:val="auto"/>
              </w:rPr>
            </w:pPr>
            <w:r>
              <w:rPr>
                <w:color w:val="auto"/>
              </w:rPr>
              <w:t>本项目建设与地方文件相符性分析见</w:t>
            </w:r>
            <w:r>
              <w:rPr>
                <w:rFonts w:hint="eastAsia"/>
                <w:color w:val="auto"/>
              </w:rPr>
              <w:t>下表</w:t>
            </w:r>
            <w:r>
              <w:rPr>
                <w:color w:val="auto"/>
              </w:rPr>
              <w:t>。</w:t>
            </w:r>
          </w:p>
          <w:p w14:paraId="0BB326B0">
            <w:pPr>
              <w:adjustRightInd w:val="0"/>
              <w:snapToGrid w:val="0"/>
              <w:jc w:val="center"/>
              <w:rPr>
                <w:b/>
                <w:bCs/>
                <w:color w:val="auto"/>
              </w:rPr>
            </w:pPr>
            <w:r>
              <w:rPr>
                <w:b/>
                <w:bCs/>
                <w:color w:val="auto"/>
              </w:rPr>
              <w:t>表1-</w:t>
            </w:r>
            <w:r>
              <w:rPr>
                <w:rFonts w:hint="eastAsia"/>
                <w:b/>
                <w:bCs/>
                <w:color w:val="auto"/>
                <w:lang w:val="en-US" w:eastAsia="zh-CN"/>
              </w:rPr>
              <w:t>6</w:t>
            </w:r>
            <w:r>
              <w:rPr>
                <w:rFonts w:hint="eastAsia"/>
                <w:b/>
                <w:bCs/>
                <w:color w:val="auto"/>
              </w:rPr>
              <w:t xml:space="preserve">   </w:t>
            </w:r>
            <w:r>
              <w:rPr>
                <w:b/>
                <w:bCs/>
                <w:color w:val="auto"/>
              </w:rPr>
              <w:t>项目与地方文件相符性分析</w:t>
            </w:r>
          </w:p>
          <w:tbl>
            <w:tblPr>
              <w:tblStyle w:val="59"/>
              <w:tblW w:w="5000"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0" w:type="dxa"/>
                <w:bottom w:w="0" w:type="dxa"/>
                <w:right w:w="0" w:type="dxa"/>
              </w:tblCellMar>
            </w:tblPr>
            <w:tblGrid>
              <w:gridCol w:w="1253"/>
              <w:gridCol w:w="963"/>
              <w:gridCol w:w="2107"/>
              <w:gridCol w:w="3037"/>
              <w:gridCol w:w="791"/>
            </w:tblGrid>
            <w:tr w14:paraId="0F37147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768" w:type="pct"/>
                  <w:tcBorders>
                    <w:tl2br w:val="nil"/>
                    <w:tr2bl w:val="nil"/>
                  </w:tcBorders>
                  <w:vAlign w:val="center"/>
                </w:tcPr>
                <w:p w14:paraId="2EC6D18F">
                  <w:pPr>
                    <w:pStyle w:val="558"/>
                    <w:keepNext w:val="0"/>
                    <w:keepLines w:val="0"/>
                    <w:pageBreakBefore w:val="0"/>
                    <w:widowControl w:val="0"/>
                    <w:kinsoku/>
                    <w:wordWrap/>
                    <w:overflowPunct/>
                    <w:topLinePunct w:val="0"/>
                    <w:autoSpaceDE/>
                    <w:autoSpaceDN/>
                    <w:bidi w:val="0"/>
                    <w:adjustRightInd w:val="0"/>
                    <w:snapToGrid w:val="0"/>
                    <w:textAlignment w:val="auto"/>
                    <w:rPr>
                      <w:b/>
                      <w:color w:val="auto"/>
                      <w:spacing w:val="0"/>
                      <w:kern w:val="0"/>
                    </w:rPr>
                  </w:pPr>
                  <w:r>
                    <w:rPr>
                      <w:b/>
                      <w:color w:val="auto"/>
                      <w:spacing w:val="0"/>
                      <w:kern w:val="0"/>
                    </w:rPr>
                    <w:t>文件</w:t>
                  </w:r>
                </w:p>
              </w:tc>
              <w:tc>
                <w:tcPr>
                  <w:tcW w:w="1883" w:type="pct"/>
                  <w:gridSpan w:val="2"/>
                  <w:tcBorders>
                    <w:tl2br w:val="nil"/>
                    <w:tr2bl w:val="nil"/>
                  </w:tcBorders>
                  <w:vAlign w:val="center"/>
                </w:tcPr>
                <w:p w14:paraId="4F082EB0">
                  <w:pPr>
                    <w:pStyle w:val="558"/>
                    <w:keepNext w:val="0"/>
                    <w:keepLines w:val="0"/>
                    <w:pageBreakBefore w:val="0"/>
                    <w:widowControl w:val="0"/>
                    <w:kinsoku/>
                    <w:wordWrap/>
                    <w:overflowPunct/>
                    <w:topLinePunct w:val="0"/>
                    <w:autoSpaceDE/>
                    <w:autoSpaceDN/>
                    <w:bidi w:val="0"/>
                    <w:adjustRightInd w:val="0"/>
                    <w:snapToGrid w:val="0"/>
                    <w:textAlignment w:val="auto"/>
                    <w:rPr>
                      <w:b/>
                      <w:color w:val="auto"/>
                      <w:spacing w:val="0"/>
                      <w:kern w:val="0"/>
                    </w:rPr>
                  </w:pPr>
                  <w:r>
                    <w:rPr>
                      <w:b/>
                      <w:color w:val="auto"/>
                      <w:spacing w:val="0"/>
                      <w:kern w:val="0"/>
                    </w:rPr>
                    <w:t>与项目相关要求</w:t>
                  </w:r>
                </w:p>
              </w:tc>
              <w:tc>
                <w:tcPr>
                  <w:tcW w:w="1862" w:type="pct"/>
                  <w:tcBorders>
                    <w:tl2br w:val="nil"/>
                    <w:tr2bl w:val="nil"/>
                  </w:tcBorders>
                  <w:vAlign w:val="center"/>
                </w:tcPr>
                <w:p w14:paraId="4C56E6B5">
                  <w:pPr>
                    <w:pStyle w:val="558"/>
                    <w:keepNext w:val="0"/>
                    <w:keepLines w:val="0"/>
                    <w:pageBreakBefore w:val="0"/>
                    <w:widowControl w:val="0"/>
                    <w:kinsoku/>
                    <w:wordWrap/>
                    <w:overflowPunct/>
                    <w:topLinePunct w:val="0"/>
                    <w:autoSpaceDE/>
                    <w:autoSpaceDN/>
                    <w:bidi w:val="0"/>
                    <w:adjustRightInd w:val="0"/>
                    <w:snapToGrid w:val="0"/>
                    <w:textAlignment w:val="auto"/>
                    <w:rPr>
                      <w:b/>
                      <w:color w:val="auto"/>
                      <w:spacing w:val="0"/>
                      <w:kern w:val="0"/>
                    </w:rPr>
                  </w:pPr>
                  <w:r>
                    <w:rPr>
                      <w:b/>
                      <w:color w:val="auto"/>
                      <w:spacing w:val="0"/>
                      <w:kern w:val="0"/>
                    </w:rPr>
                    <w:t>本项目相符性分析</w:t>
                  </w:r>
                </w:p>
              </w:tc>
              <w:tc>
                <w:tcPr>
                  <w:tcW w:w="485" w:type="pct"/>
                  <w:tcBorders>
                    <w:tl2br w:val="nil"/>
                    <w:tr2bl w:val="nil"/>
                  </w:tcBorders>
                  <w:vAlign w:val="center"/>
                </w:tcPr>
                <w:p w14:paraId="410E6E6F">
                  <w:pPr>
                    <w:pStyle w:val="558"/>
                    <w:keepNext w:val="0"/>
                    <w:keepLines w:val="0"/>
                    <w:pageBreakBefore w:val="0"/>
                    <w:widowControl w:val="0"/>
                    <w:kinsoku/>
                    <w:wordWrap/>
                    <w:overflowPunct/>
                    <w:topLinePunct w:val="0"/>
                    <w:autoSpaceDE/>
                    <w:autoSpaceDN/>
                    <w:bidi w:val="0"/>
                    <w:adjustRightInd w:val="0"/>
                    <w:snapToGrid w:val="0"/>
                    <w:textAlignment w:val="auto"/>
                    <w:rPr>
                      <w:b/>
                      <w:color w:val="auto"/>
                      <w:spacing w:val="0"/>
                      <w:kern w:val="0"/>
                    </w:rPr>
                  </w:pPr>
                  <w:r>
                    <w:rPr>
                      <w:b/>
                      <w:color w:val="auto"/>
                      <w:spacing w:val="0"/>
                      <w:kern w:val="0"/>
                    </w:rPr>
                    <w:t>是否相符</w:t>
                  </w:r>
                </w:p>
              </w:tc>
            </w:tr>
            <w:tr w14:paraId="68118AD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768" w:type="pct"/>
                  <w:vMerge w:val="restart"/>
                  <w:tcBorders>
                    <w:tl2br w:val="nil"/>
                    <w:tr2bl w:val="nil"/>
                  </w:tcBorders>
                  <w:vAlign w:val="center"/>
                </w:tcPr>
                <w:p w14:paraId="28461C13">
                  <w:pPr>
                    <w:pStyle w:val="558"/>
                    <w:keepNext w:val="0"/>
                    <w:keepLines w:val="0"/>
                    <w:pageBreakBefore w:val="0"/>
                    <w:widowControl w:val="0"/>
                    <w:kinsoku/>
                    <w:wordWrap/>
                    <w:overflowPunct/>
                    <w:topLinePunct w:val="0"/>
                    <w:autoSpaceDE/>
                    <w:autoSpaceDN/>
                    <w:bidi w:val="0"/>
                    <w:adjustRightInd w:val="0"/>
                    <w:snapToGrid w:val="0"/>
                    <w:textAlignment w:val="auto"/>
                    <w:rPr>
                      <w:b/>
                      <w:color w:val="auto"/>
                      <w:spacing w:val="0"/>
                      <w:kern w:val="0"/>
                    </w:rPr>
                  </w:pPr>
                  <w:r>
                    <w:rPr>
                      <w:b/>
                      <w:color w:val="auto"/>
                      <w:spacing w:val="0"/>
                      <w:kern w:val="0"/>
                    </w:rPr>
                    <w:t>《江苏省大气污染物防治条例》</w:t>
                  </w:r>
                </w:p>
              </w:tc>
              <w:tc>
                <w:tcPr>
                  <w:tcW w:w="1883" w:type="pct"/>
                  <w:gridSpan w:val="2"/>
                  <w:tcBorders>
                    <w:tl2br w:val="nil"/>
                    <w:tr2bl w:val="nil"/>
                  </w:tcBorders>
                  <w:vAlign w:val="center"/>
                </w:tcPr>
                <w:p w14:paraId="3BAA24D9">
                  <w:pPr>
                    <w:pStyle w:val="558"/>
                    <w:keepNext w:val="0"/>
                    <w:keepLines w:val="0"/>
                    <w:pageBreakBefore w:val="0"/>
                    <w:widowControl w:val="0"/>
                    <w:kinsoku/>
                    <w:wordWrap/>
                    <w:overflowPunct/>
                    <w:topLinePunct w:val="0"/>
                    <w:autoSpaceDE/>
                    <w:autoSpaceDN/>
                    <w:bidi w:val="0"/>
                    <w:adjustRightInd w:val="0"/>
                    <w:snapToGrid w:val="0"/>
                    <w:textAlignment w:val="auto"/>
                    <w:rPr>
                      <w:color w:val="auto"/>
                      <w:spacing w:val="0"/>
                      <w:kern w:val="0"/>
                    </w:rPr>
                  </w:pPr>
                  <w:r>
                    <w:rPr>
                      <w:color w:val="auto"/>
                      <w:spacing w:val="0"/>
                      <w:kern w:val="0"/>
                    </w:rPr>
                    <w:t>禁止使用列入淘汰名录的高污染工艺设备。淘汰的高污染工艺设备，企业不得转让给他人使用。</w:t>
                  </w:r>
                </w:p>
              </w:tc>
              <w:tc>
                <w:tcPr>
                  <w:tcW w:w="1862" w:type="pct"/>
                  <w:tcBorders>
                    <w:tl2br w:val="nil"/>
                    <w:tr2bl w:val="nil"/>
                  </w:tcBorders>
                  <w:vAlign w:val="center"/>
                </w:tcPr>
                <w:p w14:paraId="69B612A4">
                  <w:pPr>
                    <w:pStyle w:val="558"/>
                    <w:keepNext w:val="0"/>
                    <w:keepLines w:val="0"/>
                    <w:pageBreakBefore w:val="0"/>
                    <w:widowControl w:val="0"/>
                    <w:kinsoku/>
                    <w:wordWrap/>
                    <w:overflowPunct/>
                    <w:topLinePunct w:val="0"/>
                    <w:autoSpaceDE/>
                    <w:autoSpaceDN/>
                    <w:bidi w:val="0"/>
                    <w:adjustRightInd w:val="0"/>
                    <w:snapToGrid w:val="0"/>
                    <w:textAlignment w:val="auto"/>
                    <w:rPr>
                      <w:color w:val="auto"/>
                      <w:spacing w:val="0"/>
                      <w:kern w:val="0"/>
                    </w:rPr>
                  </w:pPr>
                  <w:r>
                    <w:rPr>
                      <w:color w:val="auto"/>
                      <w:spacing w:val="0"/>
                      <w:kern w:val="0"/>
                    </w:rPr>
                    <w:t>项目不使用淘汰的高污染工艺设备</w:t>
                  </w:r>
                </w:p>
              </w:tc>
              <w:tc>
                <w:tcPr>
                  <w:tcW w:w="485" w:type="pct"/>
                  <w:tcBorders>
                    <w:tl2br w:val="nil"/>
                    <w:tr2bl w:val="nil"/>
                  </w:tcBorders>
                  <w:vAlign w:val="center"/>
                </w:tcPr>
                <w:p w14:paraId="3F8A00EC">
                  <w:pPr>
                    <w:pStyle w:val="558"/>
                    <w:keepNext w:val="0"/>
                    <w:keepLines w:val="0"/>
                    <w:pageBreakBefore w:val="0"/>
                    <w:widowControl w:val="0"/>
                    <w:kinsoku/>
                    <w:wordWrap/>
                    <w:overflowPunct/>
                    <w:topLinePunct w:val="0"/>
                    <w:autoSpaceDE/>
                    <w:autoSpaceDN/>
                    <w:bidi w:val="0"/>
                    <w:adjustRightInd w:val="0"/>
                    <w:snapToGrid w:val="0"/>
                    <w:textAlignment w:val="auto"/>
                    <w:rPr>
                      <w:color w:val="auto"/>
                      <w:spacing w:val="0"/>
                      <w:kern w:val="0"/>
                    </w:rPr>
                  </w:pPr>
                  <w:r>
                    <w:rPr>
                      <w:color w:val="auto"/>
                      <w:spacing w:val="0"/>
                      <w:kern w:val="0"/>
                    </w:rPr>
                    <w:t>相符</w:t>
                  </w:r>
                </w:p>
              </w:tc>
            </w:tr>
            <w:tr w14:paraId="0F496A3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768" w:type="pct"/>
                  <w:vMerge w:val="continue"/>
                  <w:tcBorders>
                    <w:tl2br w:val="nil"/>
                    <w:tr2bl w:val="nil"/>
                  </w:tcBorders>
                  <w:vAlign w:val="center"/>
                </w:tcPr>
                <w:p w14:paraId="21561CFE">
                  <w:pPr>
                    <w:pStyle w:val="558"/>
                    <w:keepNext w:val="0"/>
                    <w:keepLines w:val="0"/>
                    <w:pageBreakBefore w:val="0"/>
                    <w:widowControl w:val="0"/>
                    <w:kinsoku/>
                    <w:wordWrap/>
                    <w:overflowPunct/>
                    <w:topLinePunct w:val="0"/>
                    <w:autoSpaceDE/>
                    <w:autoSpaceDN/>
                    <w:bidi w:val="0"/>
                    <w:adjustRightInd w:val="0"/>
                    <w:snapToGrid w:val="0"/>
                    <w:textAlignment w:val="auto"/>
                    <w:rPr>
                      <w:b/>
                      <w:color w:val="auto"/>
                      <w:spacing w:val="0"/>
                      <w:kern w:val="0"/>
                    </w:rPr>
                  </w:pPr>
                </w:p>
              </w:tc>
              <w:tc>
                <w:tcPr>
                  <w:tcW w:w="1883" w:type="pct"/>
                  <w:gridSpan w:val="2"/>
                  <w:tcBorders>
                    <w:tl2br w:val="nil"/>
                    <w:tr2bl w:val="nil"/>
                  </w:tcBorders>
                  <w:vAlign w:val="center"/>
                </w:tcPr>
                <w:p w14:paraId="4255F140">
                  <w:pPr>
                    <w:pStyle w:val="558"/>
                    <w:keepNext w:val="0"/>
                    <w:keepLines w:val="0"/>
                    <w:pageBreakBefore w:val="0"/>
                    <w:widowControl w:val="0"/>
                    <w:kinsoku/>
                    <w:wordWrap/>
                    <w:overflowPunct/>
                    <w:topLinePunct w:val="0"/>
                    <w:autoSpaceDE/>
                    <w:autoSpaceDN/>
                    <w:bidi w:val="0"/>
                    <w:adjustRightInd w:val="0"/>
                    <w:snapToGrid w:val="0"/>
                    <w:textAlignment w:val="auto"/>
                    <w:rPr>
                      <w:color w:val="auto"/>
                      <w:spacing w:val="0"/>
                      <w:kern w:val="0"/>
                    </w:rPr>
                  </w:pPr>
                  <w:r>
                    <w:rPr>
                      <w:color w:val="auto"/>
                      <w:spacing w:val="0"/>
                      <w:kern w:val="0"/>
                    </w:rPr>
                    <w:t>企业应当使用资源利用率高、污染物排放量少的工艺、设备，采用最佳实用大气污染控制技术，减少大气污染物的产生。</w:t>
                  </w:r>
                </w:p>
              </w:tc>
              <w:tc>
                <w:tcPr>
                  <w:tcW w:w="1862" w:type="pct"/>
                  <w:tcBorders>
                    <w:tl2br w:val="nil"/>
                    <w:tr2bl w:val="nil"/>
                  </w:tcBorders>
                  <w:vAlign w:val="center"/>
                </w:tcPr>
                <w:p w14:paraId="45D2A82F">
                  <w:pPr>
                    <w:pStyle w:val="558"/>
                    <w:keepNext w:val="0"/>
                    <w:keepLines w:val="0"/>
                    <w:pageBreakBefore w:val="0"/>
                    <w:widowControl w:val="0"/>
                    <w:kinsoku/>
                    <w:wordWrap/>
                    <w:overflowPunct/>
                    <w:topLinePunct w:val="0"/>
                    <w:autoSpaceDE/>
                    <w:autoSpaceDN/>
                    <w:bidi w:val="0"/>
                    <w:adjustRightInd w:val="0"/>
                    <w:snapToGrid w:val="0"/>
                    <w:textAlignment w:val="auto"/>
                    <w:rPr>
                      <w:color w:val="auto"/>
                      <w:spacing w:val="0"/>
                      <w:kern w:val="0"/>
                    </w:rPr>
                  </w:pPr>
                  <w:r>
                    <w:rPr>
                      <w:rFonts w:hint="eastAsia"/>
                      <w:bCs/>
                      <w:color w:val="auto"/>
                      <w:spacing w:val="0"/>
                      <w:kern w:val="0"/>
                      <w:lang w:eastAsia="zh-CN"/>
                    </w:rPr>
                    <w:t>项目喷砂、喷锌产生的颗粒物经喷砂房、喷锌房密闭收集，收集后的颗粒物进入1套“袋式除尘装置”处理后通过1根15m高的排气筒DA001排放；喷漆产生的颗粒物、非甲烷总烃经喷漆房密闭收集，收集后的颗粒物、有机废气进入1套“过滤棉+二级活性炭装置”处理后通过1根15m高的排气筒DA002排放。</w:t>
                  </w:r>
                  <w:r>
                    <w:rPr>
                      <w:color w:val="auto"/>
                      <w:spacing w:val="0"/>
                      <w:kern w:val="0"/>
                    </w:rPr>
                    <w:t>处理后的废气污染物排放量较少</w:t>
                  </w:r>
                </w:p>
              </w:tc>
              <w:tc>
                <w:tcPr>
                  <w:tcW w:w="485" w:type="pct"/>
                  <w:tcBorders>
                    <w:tl2br w:val="nil"/>
                    <w:tr2bl w:val="nil"/>
                  </w:tcBorders>
                  <w:vAlign w:val="center"/>
                </w:tcPr>
                <w:p w14:paraId="52746F75">
                  <w:pPr>
                    <w:keepNext w:val="0"/>
                    <w:keepLines w:val="0"/>
                    <w:pageBreakBefore w:val="0"/>
                    <w:widowControl w:val="0"/>
                    <w:kinsoku/>
                    <w:wordWrap/>
                    <w:overflowPunct/>
                    <w:topLinePunct w:val="0"/>
                    <w:autoSpaceDE/>
                    <w:autoSpaceDN/>
                    <w:bidi w:val="0"/>
                    <w:adjustRightInd w:val="0"/>
                    <w:snapToGrid w:val="0"/>
                    <w:jc w:val="center"/>
                    <w:textAlignment w:val="auto"/>
                    <w:rPr>
                      <w:color w:val="auto"/>
                      <w:spacing w:val="0"/>
                      <w:kern w:val="0"/>
                    </w:rPr>
                  </w:pPr>
                  <w:r>
                    <w:rPr>
                      <w:color w:val="auto"/>
                      <w:spacing w:val="0"/>
                      <w:kern w:val="0"/>
                    </w:rPr>
                    <w:t>相符</w:t>
                  </w:r>
                </w:p>
              </w:tc>
            </w:tr>
            <w:tr w14:paraId="0A83AA6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768" w:type="pct"/>
                  <w:vMerge w:val="continue"/>
                  <w:tcBorders>
                    <w:tl2br w:val="nil"/>
                    <w:tr2bl w:val="nil"/>
                  </w:tcBorders>
                  <w:vAlign w:val="center"/>
                </w:tcPr>
                <w:p w14:paraId="09AB17EA">
                  <w:pPr>
                    <w:pStyle w:val="558"/>
                    <w:keepNext w:val="0"/>
                    <w:keepLines w:val="0"/>
                    <w:pageBreakBefore w:val="0"/>
                    <w:widowControl w:val="0"/>
                    <w:kinsoku/>
                    <w:wordWrap/>
                    <w:overflowPunct/>
                    <w:topLinePunct w:val="0"/>
                    <w:autoSpaceDE/>
                    <w:autoSpaceDN/>
                    <w:bidi w:val="0"/>
                    <w:adjustRightInd w:val="0"/>
                    <w:snapToGrid w:val="0"/>
                    <w:textAlignment w:val="auto"/>
                    <w:rPr>
                      <w:b/>
                      <w:color w:val="auto"/>
                      <w:spacing w:val="0"/>
                      <w:kern w:val="0"/>
                    </w:rPr>
                  </w:pPr>
                </w:p>
              </w:tc>
              <w:tc>
                <w:tcPr>
                  <w:tcW w:w="1883" w:type="pct"/>
                  <w:gridSpan w:val="2"/>
                  <w:tcBorders>
                    <w:tl2br w:val="nil"/>
                    <w:tr2bl w:val="nil"/>
                  </w:tcBorders>
                  <w:vAlign w:val="center"/>
                </w:tcPr>
                <w:p w14:paraId="261A99DB">
                  <w:pPr>
                    <w:pStyle w:val="558"/>
                    <w:keepNext w:val="0"/>
                    <w:keepLines w:val="0"/>
                    <w:pageBreakBefore w:val="0"/>
                    <w:widowControl w:val="0"/>
                    <w:kinsoku/>
                    <w:wordWrap/>
                    <w:overflowPunct/>
                    <w:topLinePunct w:val="0"/>
                    <w:autoSpaceDE/>
                    <w:autoSpaceDN/>
                    <w:bidi w:val="0"/>
                    <w:adjustRightInd w:val="0"/>
                    <w:snapToGrid w:val="0"/>
                    <w:textAlignment w:val="auto"/>
                    <w:rPr>
                      <w:color w:val="auto"/>
                      <w:spacing w:val="0"/>
                      <w:kern w:val="0"/>
                    </w:rPr>
                  </w:pPr>
                  <w:r>
                    <w:rPr>
                      <w:color w:val="auto"/>
                      <w:spacing w:val="0"/>
                      <w:kern w:val="0"/>
                    </w:rPr>
                    <w:t>产生挥发性有机物废气的生产经营活动，应当在密闭空间或者设备中进行，并设置废气收集和处理系统等污染防治设施，保持其正常使用。</w:t>
                  </w:r>
                </w:p>
              </w:tc>
              <w:tc>
                <w:tcPr>
                  <w:tcW w:w="1862" w:type="pct"/>
                  <w:tcBorders>
                    <w:tl2br w:val="nil"/>
                    <w:tr2bl w:val="nil"/>
                  </w:tcBorders>
                  <w:vAlign w:val="center"/>
                </w:tcPr>
                <w:p w14:paraId="6AB83546">
                  <w:pPr>
                    <w:pStyle w:val="558"/>
                    <w:keepNext w:val="0"/>
                    <w:keepLines w:val="0"/>
                    <w:pageBreakBefore w:val="0"/>
                    <w:widowControl w:val="0"/>
                    <w:kinsoku/>
                    <w:wordWrap/>
                    <w:overflowPunct/>
                    <w:topLinePunct w:val="0"/>
                    <w:autoSpaceDE/>
                    <w:autoSpaceDN/>
                    <w:bidi w:val="0"/>
                    <w:adjustRightInd w:val="0"/>
                    <w:snapToGrid w:val="0"/>
                    <w:textAlignment w:val="auto"/>
                    <w:rPr>
                      <w:color w:val="auto"/>
                      <w:spacing w:val="0"/>
                      <w:kern w:val="0"/>
                    </w:rPr>
                  </w:pPr>
                  <w:r>
                    <w:rPr>
                      <w:rFonts w:hint="eastAsia"/>
                      <w:bCs/>
                      <w:color w:val="auto"/>
                      <w:spacing w:val="0"/>
                      <w:kern w:val="0"/>
                      <w:lang w:eastAsia="zh-CN"/>
                    </w:rPr>
                    <w:t>项目喷砂、喷锌产生的颗粒物经喷砂房、喷锌房密闭收集，收集后的颗粒物进入1套“袋式除尘装置”处理后通过1根15m高的排气筒DA001排放；喷漆产生的颗粒物、非甲烷总烃经喷漆房密闭收集，收集后的颗粒物、有机废气进入1套“过滤棉+二级活性炭装置”处理后通过1根15m高的排气筒DA002排放。</w:t>
                  </w:r>
                  <w:r>
                    <w:rPr>
                      <w:color w:val="auto"/>
                      <w:spacing w:val="0"/>
                      <w:kern w:val="0"/>
                    </w:rPr>
                    <w:t>项目在运行过程中确保废气处理装置正常使用</w:t>
                  </w:r>
                </w:p>
              </w:tc>
              <w:tc>
                <w:tcPr>
                  <w:tcW w:w="485" w:type="pct"/>
                  <w:tcBorders>
                    <w:tl2br w:val="nil"/>
                    <w:tr2bl w:val="nil"/>
                  </w:tcBorders>
                  <w:vAlign w:val="center"/>
                </w:tcPr>
                <w:p w14:paraId="6217C1CA">
                  <w:pPr>
                    <w:keepNext w:val="0"/>
                    <w:keepLines w:val="0"/>
                    <w:pageBreakBefore w:val="0"/>
                    <w:widowControl w:val="0"/>
                    <w:kinsoku/>
                    <w:wordWrap/>
                    <w:overflowPunct/>
                    <w:topLinePunct w:val="0"/>
                    <w:autoSpaceDE/>
                    <w:autoSpaceDN/>
                    <w:bidi w:val="0"/>
                    <w:adjustRightInd w:val="0"/>
                    <w:snapToGrid w:val="0"/>
                    <w:jc w:val="center"/>
                    <w:textAlignment w:val="auto"/>
                    <w:rPr>
                      <w:color w:val="auto"/>
                      <w:spacing w:val="0"/>
                      <w:kern w:val="0"/>
                    </w:rPr>
                  </w:pPr>
                  <w:r>
                    <w:rPr>
                      <w:color w:val="auto"/>
                      <w:spacing w:val="0"/>
                      <w:kern w:val="0"/>
                    </w:rPr>
                    <w:t>相符</w:t>
                  </w:r>
                </w:p>
              </w:tc>
            </w:tr>
            <w:tr w14:paraId="67BC6F9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768" w:type="pct"/>
                  <w:tcBorders>
                    <w:tl2br w:val="nil"/>
                    <w:tr2bl w:val="nil"/>
                  </w:tcBorders>
                  <w:vAlign w:val="center"/>
                </w:tcPr>
                <w:p w14:paraId="4E59011C">
                  <w:pPr>
                    <w:pStyle w:val="558"/>
                    <w:keepNext w:val="0"/>
                    <w:keepLines w:val="0"/>
                    <w:pageBreakBefore w:val="0"/>
                    <w:widowControl w:val="0"/>
                    <w:kinsoku/>
                    <w:wordWrap/>
                    <w:overflowPunct/>
                    <w:topLinePunct w:val="0"/>
                    <w:autoSpaceDE/>
                    <w:autoSpaceDN/>
                    <w:bidi w:val="0"/>
                    <w:adjustRightInd w:val="0"/>
                    <w:snapToGrid w:val="0"/>
                    <w:textAlignment w:val="auto"/>
                    <w:rPr>
                      <w:b/>
                      <w:color w:val="auto"/>
                      <w:spacing w:val="0"/>
                      <w:kern w:val="0"/>
                    </w:rPr>
                  </w:pPr>
                  <w:r>
                    <w:rPr>
                      <w:b/>
                      <w:color w:val="auto"/>
                      <w:spacing w:val="0"/>
                      <w:kern w:val="0"/>
                    </w:rPr>
                    <w:t>《江苏省重点行业挥发性有机物污染控制指南》</w:t>
                  </w:r>
                </w:p>
              </w:tc>
              <w:tc>
                <w:tcPr>
                  <w:tcW w:w="1883" w:type="pct"/>
                  <w:gridSpan w:val="2"/>
                  <w:tcBorders>
                    <w:tl2br w:val="nil"/>
                    <w:tr2bl w:val="nil"/>
                  </w:tcBorders>
                  <w:vAlign w:val="center"/>
                </w:tcPr>
                <w:p w14:paraId="2F31E440">
                  <w:pPr>
                    <w:pStyle w:val="558"/>
                    <w:keepNext w:val="0"/>
                    <w:keepLines w:val="0"/>
                    <w:pageBreakBefore w:val="0"/>
                    <w:widowControl w:val="0"/>
                    <w:kinsoku/>
                    <w:wordWrap/>
                    <w:overflowPunct/>
                    <w:topLinePunct w:val="0"/>
                    <w:autoSpaceDE/>
                    <w:autoSpaceDN/>
                    <w:bidi w:val="0"/>
                    <w:adjustRightInd w:val="0"/>
                    <w:snapToGrid w:val="0"/>
                    <w:textAlignment w:val="auto"/>
                    <w:rPr>
                      <w:color w:val="auto"/>
                      <w:spacing w:val="0"/>
                      <w:kern w:val="0"/>
                    </w:rPr>
                  </w:pPr>
                  <w:r>
                    <w:rPr>
                      <w:color w:val="auto"/>
                      <w:spacing w:val="0"/>
                      <w:kern w:val="0"/>
                    </w:rPr>
                    <w:t>对浓度、性状差异较大的废气应分类收集，并采用适宜的方式进行有效处理，确保VOCs总去除效率满足管理要求，其中有机化工、医药化工、橡胶和塑料制品（有溶剂浸胶工艺）、溶剂型涂料表面涂装、包装印刷业的VOCs总收集、净化处理率均不低于90%，其他行业原则上不低于75%。</w:t>
                  </w:r>
                </w:p>
              </w:tc>
              <w:tc>
                <w:tcPr>
                  <w:tcW w:w="1862" w:type="pct"/>
                  <w:tcBorders>
                    <w:tl2br w:val="nil"/>
                    <w:tr2bl w:val="nil"/>
                  </w:tcBorders>
                  <w:vAlign w:val="center"/>
                </w:tcPr>
                <w:p w14:paraId="46A90D0F">
                  <w:pPr>
                    <w:pStyle w:val="558"/>
                    <w:keepNext w:val="0"/>
                    <w:keepLines w:val="0"/>
                    <w:pageBreakBefore w:val="0"/>
                    <w:widowControl w:val="0"/>
                    <w:kinsoku/>
                    <w:wordWrap/>
                    <w:overflowPunct/>
                    <w:topLinePunct w:val="0"/>
                    <w:autoSpaceDE/>
                    <w:autoSpaceDN/>
                    <w:bidi w:val="0"/>
                    <w:adjustRightInd w:val="0"/>
                    <w:snapToGrid w:val="0"/>
                    <w:textAlignment w:val="auto"/>
                    <w:rPr>
                      <w:color w:val="auto"/>
                      <w:spacing w:val="0"/>
                      <w:kern w:val="0"/>
                    </w:rPr>
                  </w:pPr>
                  <w:r>
                    <w:rPr>
                      <w:bCs/>
                      <w:color w:val="auto"/>
                      <w:spacing w:val="0"/>
                      <w:kern w:val="0"/>
                    </w:rPr>
                    <w:t>项目</w:t>
                  </w:r>
                  <w:r>
                    <w:rPr>
                      <w:rFonts w:hint="eastAsia"/>
                      <w:bCs/>
                      <w:color w:val="auto"/>
                      <w:spacing w:val="0"/>
                      <w:kern w:val="0"/>
                      <w:lang w:val="en-US" w:eastAsia="zh-CN"/>
                    </w:rPr>
                    <w:t>喷砂、喷锌产生的颗粒物经喷砂房、喷锌房密闭收集（收集效率98%）；喷漆产生的颗粒物、有机废气经喷漆房密闭收集（收集效率98%）</w:t>
                  </w:r>
                  <w:r>
                    <w:rPr>
                      <w:rFonts w:hint="eastAsia"/>
                      <w:color w:val="auto"/>
                      <w:spacing w:val="0"/>
                      <w:kern w:val="0"/>
                    </w:rPr>
                    <w:t>，收集后的</w:t>
                  </w:r>
                  <w:r>
                    <w:rPr>
                      <w:rFonts w:hint="eastAsia"/>
                      <w:color w:val="auto"/>
                      <w:spacing w:val="0"/>
                      <w:kern w:val="0"/>
                      <w:lang w:val="en-US" w:eastAsia="zh-CN"/>
                    </w:rPr>
                    <w:t>喷砂、喷锌颗粒物经过风机管道等冷却后</w:t>
                  </w:r>
                  <w:r>
                    <w:rPr>
                      <w:rFonts w:hint="eastAsia"/>
                      <w:color w:val="auto"/>
                      <w:spacing w:val="0"/>
                      <w:kern w:val="0"/>
                    </w:rPr>
                    <w:t>进入</w:t>
                  </w:r>
                  <w:r>
                    <w:rPr>
                      <w:rFonts w:hint="eastAsia"/>
                      <w:color w:val="auto"/>
                      <w:spacing w:val="0"/>
                      <w:kern w:val="0"/>
                      <w:lang w:val="en-US" w:eastAsia="zh-CN"/>
                    </w:rPr>
                    <w:t>1</w:t>
                  </w:r>
                  <w:r>
                    <w:rPr>
                      <w:rFonts w:hint="eastAsia"/>
                      <w:color w:val="auto"/>
                      <w:spacing w:val="0"/>
                      <w:kern w:val="0"/>
                    </w:rPr>
                    <w:t>套</w:t>
                  </w:r>
                  <w:r>
                    <w:rPr>
                      <w:rFonts w:hint="eastAsia"/>
                      <w:bCs/>
                      <w:color w:val="auto"/>
                      <w:spacing w:val="0"/>
                      <w:kern w:val="0"/>
                    </w:rPr>
                    <w:t>“</w:t>
                  </w:r>
                  <w:r>
                    <w:rPr>
                      <w:rFonts w:hint="eastAsia"/>
                      <w:bCs/>
                      <w:color w:val="auto"/>
                      <w:spacing w:val="0"/>
                      <w:kern w:val="0"/>
                      <w:lang w:val="en-US" w:eastAsia="zh-CN"/>
                    </w:rPr>
                    <w:t>袋式除尘装置</w:t>
                  </w:r>
                  <w:r>
                    <w:rPr>
                      <w:rFonts w:hint="eastAsia"/>
                      <w:bCs/>
                      <w:color w:val="auto"/>
                      <w:spacing w:val="0"/>
                      <w:kern w:val="0"/>
                    </w:rPr>
                    <w:t>”</w:t>
                  </w:r>
                  <w:r>
                    <w:rPr>
                      <w:rFonts w:hint="eastAsia"/>
                      <w:color w:val="auto"/>
                      <w:spacing w:val="0"/>
                      <w:kern w:val="0"/>
                    </w:rPr>
                    <w:t>处理（处理效率9</w:t>
                  </w:r>
                  <w:r>
                    <w:rPr>
                      <w:rFonts w:hint="eastAsia"/>
                      <w:color w:val="auto"/>
                      <w:spacing w:val="0"/>
                      <w:kern w:val="0"/>
                      <w:lang w:val="en-US" w:eastAsia="zh-CN"/>
                    </w:rPr>
                    <w:t>5</w:t>
                  </w:r>
                  <w:r>
                    <w:rPr>
                      <w:rFonts w:hint="eastAsia"/>
                      <w:color w:val="auto"/>
                      <w:spacing w:val="0"/>
                      <w:kern w:val="0"/>
                    </w:rPr>
                    <w:t>%）</w:t>
                  </w:r>
                  <w:r>
                    <w:rPr>
                      <w:rFonts w:hint="eastAsia"/>
                      <w:color w:val="auto"/>
                      <w:spacing w:val="0"/>
                      <w:kern w:val="0"/>
                      <w:lang w:eastAsia="zh-CN"/>
                    </w:rPr>
                    <w:t>；</w:t>
                  </w:r>
                  <w:r>
                    <w:rPr>
                      <w:rFonts w:hint="eastAsia"/>
                      <w:color w:val="auto"/>
                      <w:spacing w:val="0"/>
                      <w:kern w:val="0"/>
                      <w:lang w:val="en-US" w:eastAsia="zh-CN"/>
                    </w:rPr>
                    <w:t>喷漆颗粒物、有机废气经过风机管道等冷却后</w:t>
                  </w:r>
                  <w:r>
                    <w:rPr>
                      <w:rFonts w:hint="eastAsia"/>
                      <w:color w:val="auto"/>
                      <w:spacing w:val="0"/>
                      <w:kern w:val="0"/>
                    </w:rPr>
                    <w:t>进入</w:t>
                  </w:r>
                  <w:r>
                    <w:rPr>
                      <w:rFonts w:hint="eastAsia"/>
                      <w:color w:val="auto"/>
                      <w:spacing w:val="0"/>
                      <w:kern w:val="0"/>
                      <w:lang w:val="en-US" w:eastAsia="zh-CN"/>
                    </w:rPr>
                    <w:t>1</w:t>
                  </w:r>
                  <w:r>
                    <w:rPr>
                      <w:rFonts w:hint="eastAsia"/>
                      <w:color w:val="auto"/>
                      <w:spacing w:val="0"/>
                      <w:kern w:val="0"/>
                    </w:rPr>
                    <w:t>套</w:t>
                  </w:r>
                  <w:r>
                    <w:rPr>
                      <w:rFonts w:hint="eastAsia"/>
                      <w:bCs/>
                      <w:color w:val="auto"/>
                      <w:spacing w:val="0"/>
                      <w:kern w:val="0"/>
                    </w:rPr>
                    <w:t>“</w:t>
                  </w:r>
                  <w:r>
                    <w:rPr>
                      <w:rFonts w:hint="eastAsia"/>
                      <w:bCs/>
                      <w:color w:val="auto"/>
                      <w:spacing w:val="0"/>
                      <w:kern w:val="0"/>
                      <w:lang w:val="en-US" w:eastAsia="zh-CN"/>
                    </w:rPr>
                    <w:t>过滤棉+二级活性炭装置</w:t>
                  </w:r>
                  <w:r>
                    <w:rPr>
                      <w:rFonts w:hint="eastAsia"/>
                      <w:bCs/>
                      <w:color w:val="auto"/>
                      <w:spacing w:val="0"/>
                      <w:kern w:val="0"/>
                    </w:rPr>
                    <w:t>”</w:t>
                  </w:r>
                  <w:r>
                    <w:rPr>
                      <w:rFonts w:hint="eastAsia"/>
                      <w:color w:val="auto"/>
                      <w:spacing w:val="0"/>
                      <w:kern w:val="0"/>
                    </w:rPr>
                    <w:t>处理（处理效率9</w:t>
                  </w:r>
                  <w:r>
                    <w:rPr>
                      <w:rFonts w:hint="eastAsia"/>
                      <w:color w:val="auto"/>
                      <w:spacing w:val="0"/>
                      <w:kern w:val="0"/>
                      <w:lang w:val="en-US" w:eastAsia="zh-CN"/>
                    </w:rPr>
                    <w:t>0</w:t>
                  </w:r>
                  <w:r>
                    <w:rPr>
                      <w:rFonts w:hint="eastAsia"/>
                      <w:color w:val="auto"/>
                      <w:spacing w:val="0"/>
                      <w:kern w:val="0"/>
                    </w:rPr>
                    <w:t>%）</w:t>
                  </w:r>
                  <w:r>
                    <w:rPr>
                      <w:rFonts w:hint="eastAsia"/>
                      <w:color w:val="auto"/>
                      <w:spacing w:val="0"/>
                      <w:kern w:val="0"/>
                      <w:lang w:eastAsia="zh-CN"/>
                    </w:rPr>
                    <w:t>，</w:t>
                  </w:r>
                  <w:r>
                    <w:rPr>
                      <w:color w:val="auto"/>
                      <w:spacing w:val="0"/>
                      <w:kern w:val="0"/>
                    </w:rPr>
                    <w:t>满足不低于75%要求。</w:t>
                  </w:r>
                </w:p>
              </w:tc>
              <w:tc>
                <w:tcPr>
                  <w:tcW w:w="485" w:type="pct"/>
                  <w:tcBorders>
                    <w:tl2br w:val="nil"/>
                    <w:tr2bl w:val="nil"/>
                  </w:tcBorders>
                  <w:vAlign w:val="center"/>
                </w:tcPr>
                <w:p w14:paraId="3592FFF7">
                  <w:pPr>
                    <w:pStyle w:val="558"/>
                    <w:keepNext w:val="0"/>
                    <w:keepLines w:val="0"/>
                    <w:pageBreakBefore w:val="0"/>
                    <w:widowControl w:val="0"/>
                    <w:kinsoku/>
                    <w:wordWrap/>
                    <w:overflowPunct/>
                    <w:topLinePunct w:val="0"/>
                    <w:autoSpaceDE/>
                    <w:autoSpaceDN/>
                    <w:bidi w:val="0"/>
                    <w:adjustRightInd w:val="0"/>
                    <w:snapToGrid w:val="0"/>
                    <w:textAlignment w:val="auto"/>
                    <w:rPr>
                      <w:color w:val="auto"/>
                      <w:spacing w:val="0"/>
                      <w:kern w:val="0"/>
                    </w:rPr>
                  </w:pPr>
                  <w:r>
                    <w:rPr>
                      <w:color w:val="auto"/>
                      <w:spacing w:val="0"/>
                      <w:kern w:val="0"/>
                    </w:rPr>
                    <w:t>相符</w:t>
                  </w:r>
                </w:p>
              </w:tc>
            </w:tr>
            <w:tr w14:paraId="6D8BC5F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768" w:type="pct"/>
                  <w:tcBorders>
                    <w:tl2br w:val="nil"/>
                    <w:tr2bl w:val="nil"/>
                  </w:tcBorders>
                  <w:vAlign w:val="center"/>
                </w:tcPr>
                <w:p w14:paraId="4FA02D39">
                  <w:pPr>
                    <w:pStyle w:val="558"/>
                    <w:keepNext w:val="0"/>
                    <w:keepLines w:val="0"/>
                    <w:pageBreakBefore w:val="0"/>
                    <w:widowControl w:val="0"/>
                    <w:kinsoku/>
                    <w:wordWrap/>
                    <w:overflowPunct/>
                    <w:topLinePunct w:val="0"/>
                    <w:autoSpaceDE/>
                    <w:autoSpaceDN/>
                    <w:bidi w:val="0"/>
                    <w:adjustRightInd w:val="0"/>
                    <w:snapToGrid w:val="0"/>
                    <w:textAlignment w:val="auto"/>
                    <w:rPr>
                      <w:b/>
                      <w:color w:val="auto"/>
                      <w:spacing w:val="0"/>
                      <w:kern w:val="0"/>
                    </w:rPr>
                  </w:pPr>
                  <w:r>
                    <w:rPr>
                      <w:b/>
                      <w:bCs/>
                      <w:color w:val="auto"/>
                      <w:spacing w:val="0"/>
                      <w:kern w:val="0"/>
                    </w:rPr>
                    <w:t>《重点行业挥发性有机物综合治理方案》</w:t>
                  </w:r>
                </w:p>
              </w:tc>
              <w:tc>
                <w:tcPr>
                  <w:tcW w:w="1883" w:type="pct"/>
                  <w:gridSpan w:val="2"/>
                  <w:tcBorders>
                    <w:tl2br w:val="nil"/>
                    <w:tr2bl w:val="nil"/>
                  </w:tcBorders>
                  <w:vAlign w:val="center"/>
                </w:tcPr>
                <w:p w14:paraId="404F0758">
                  <w:pPr>
                    <w:pStyle w:val="558"/>
                    <w:keepNext w:val="0"/>
                    <w:keepLines w:val="0"/>
                    <w:pageBreakBefore w:val="0"/>
                    <w:widowControl w:val="0"/>
                    <w:kinsoku/>
                    <w:wordWrap/>
                    <w:overflowPunct/>
                    <w:topLinePunct w:val="0"/>
                    <w:autoSpaceDE/>
                    <w:autoSpaceDN/>
                    <w:bidi w:val="0"/>
                    <w:adjustRightInd w:val="0"/>
                    <w:snapToGrid w:val="0"/>
                    <w:textAlignment w:val="auto"/>
                    <w:rPr>
                      <w:color w:val="auto"/>
                      <w:spacing w:val="0"/>
                      <w:kern w:val="0"/>
                    </w:rPr>
                  </w:pPr>
                  <w:r>
                    <w:rPr>
                      <w:color w:val="auto"/>
                      <w:spacing w:val="0"/>
                      <w:kern w:val="0"/>
                    </w:rPr>
                    <w:t>通过采用全密闭、连续化、自动化等生产技术，以及高效工艺与设备等，减少工艺过程无组织排放。遵循</w:t>
                  </w:r>
                  <w:r>
                    <w:rPr>
                      <w:rFonts w:hint="eastAsia"/>
                      <w:color w:val="auto"/>
                      <w:spacing w:val="0"/>
                      <w:kern w:val="0"/>
                    </w:rPr>
                    <w:t>“</w:t>
                  </w:r>
                  <w:r>
                    <w:rPr>
                      <w:color w:val="auto"/>
                      <w:spacing w:val="0"/>
                      <w:kern w:val="0"/>
                    </w:rPr>
                    <w:t>应收尽收、分质收集</w:t>
                  </w:r>
                  <w:r>
                    <w:rPr>
                      <w:rFonts w:hint="eastAsia"/>
                      <w:color w:val="auto"/>
                      <w:spacing w:val="0"/>
                      <w:kern w:val="0"/>
                    </w:rPr>
                    <w:t>”</w:t>
                  </w:r>
                  <w:r>
                    <w:rPr>
                      <w:color w:val="auto"/>
                      <w:spacing w:val="0"/>
                      <w:kern w:val="0"/>
                    </w:rPr>
                    <w:t>的原则，科学设计废气收集系统，将无组织排放转变为有组织排放进行控制。</w:t>
                  </w:r>
                </w:p>
              </w:tc>
              <w:tc>
                <w:tcPr>
                  <w:tcW w:w="1862" w:type="pct"/>
                  <w:tcBorders>
                    <w:tl2br w:val="nil"/>
                    <w:tr2bl w:val="nil"/>
                  </w:tcBorders>
                  <w:vAlign w:val="center"/>
                </w:tcPr>
                <w:p w14:paraId="12EFF580">
                  <w:pPr>
                    <w:pStyle w:val="558"/>
                    <w:keepNext w:val="0"/>
                    <w:keepLines w:val="0"/>
                    <w:pageBreakBefore w:val="0"/>
                    <w:widowControl w:val="0"/>
                    <w:kinsoku/>
                    <w:wordWrap/>
                    <w:overflowPunct/>
                    <w:topLinePunct w:val="0"/>
                    <w:autoSpaceDE/>
                    <w:autoSpaceDN/>
                    <w:bidi w:val="0"/>
                    <w:adjustRightInd w:val="0"/>
                    <w:snapToGrid w:val="0"/>
                    <w:textAlignment w:val="auto"/>
                    <w:rPr>
                      <w:color w:val="auto"/>
                      <w:spacing w:val="0"/>
                      <w:kern w:val="0"/>
                    </w:rPr>
                  </w:pPr>
                  <w:r>
                    <w:rPr>
                      <w:rFonts w:hint="eastAsia"/>
                      <w:bCs/>
                      <w:color w:val="auto"/>
                      <w:spacing w:val="0"/>
                      <w:kern w:val="0"/>
                      <w:lang w:eastAsia="zh-CN"/>
                    </w:rPr>
                    <w:t>项目喷砂、喷锌产生的颗粒物经喷砂房、喷锌房密闭收集，收集后的颗粒物进入1套“袋式除尘装置”处理后通过1根15m高的排气筒DA001排放；喷漆产生的颗粒物、非甲烷总烃经喷漆房密闭收集，收集后的颗粒物、有机废气进入1套“过滤棉+二级活性炭装置”处理后通过1根15m高的排气筒DA002排放。</w:t>
                  </w:r>
                  <w:r>
                    <w:rPr>
                      <w:color w:val="auto"/>
                      <w:spacing w:val="0"/>
                      <w:kern w:val="0"/>
                    </w:rPr>
                    <w:t>能够有效减少废气无组织排放量</w:t>
                  </w:r>
                </w:p>
              </w:tc>
              <w:tc>
                <w:tcPr>
                  <w:tcW w:w="485" w:type="pct"/>
                  <w:tcBorders>
                    <w:tl2br w:val="nil"/>
                    <w:tr2bl w:val="nil"/>
                  </w:tcBorders>
                  <w:vAlign w:val="center"/>
                </w:tcPr>
                <w:p w14:paraId="1EF1D666">
                  <w:pPr>
                    <w:pStyle w:val="558"/>
                    <w:keepNext w:val="0"/>
                    <w:keepLines w:val="0"/>
                    <w:pageBreakBefore w:val="0"/>
                    <w:widowControl w:val="0"/>
                    <w:kinsoku/>
                    <w:wordWrap/>
                    <w:overflowPunct/>
                    <w:topLinePunct w:val="0"/>
                    <w:autoSpaceDE/>
                    <w:autoSpaceDN/>
                    <w:bidi w:val="0"/>
                    <w:adjustRightInd w:val="0"/>
                    <w:snapToGrid w:val="0"/>
                    <w:textAlignment w:val="auto"/>
                    <w:rPr>
                      <w:color w:val="auto"/>
                      <w:spacing w:val="0"/>
                      <w:kern w:val="0"/>
                    </w:rPr>
                  </w:pPr>
                  <w:r>
                    <w:rPr>
                      <w:color w:val="auto"/>
                      <w:spacing w:val="0"/>
                      <w:kern w:val="0"/>
                    </w:rPr>
                    <w:t>相符</w:t>
                  </w:r>
                </w:p>
              </w:tc>
            </w:tr>
            <w:tr w14:paraId="20B5774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768" w:type="pct"/>
                  <w:vMerge w:val="restart"/>
                  <w:tcBorders>
                    <w:tl2br w:val="nil"/>
                    <w:tr2bl w:val="nil"/>
                  </w:tcBorders>
                  <w:vAlign w:val="center"/>
                </w:tcPr>
                <w:p w14:paraId="1EFB390D">
                  <w:pPr>
                    <w:pStyle w:val="558"/>
                    <w:keepNext w:val="0"/>
                    <w:keepLines w:val="0"/>
                    <w:pageBreakBefore w:val="0"/>
                    <w:widowControl w:val="0"/>
                    <w:kinsoku/>
                    <w:wordWrap/>
                    <w:overflowPunct/>
                    <w:topLinePunct w:val="0"/>
                    <w:autoSpaceDE/>
                    <w:autoSpaceDN/>
                    <w:bidi w:val="0"/>
                    <w:adjustRightInd w:val="0"/>
                    <w:snapToGrid w:val="0"/>
                    <w:textAlignment w:val="auto"/>
                    <w:rPr>
                      <w:b/>
                      <w:bCs/>
                      <w:color w:val="auto"/>
                      <w:spacing w:val="0"/>
                      <w:kern w:val="0"/>
                    </w:rPr>
                  </w:pPr>
                  <w:r>
                    <w:rPr>
                      <w:rFonts w:hint="eastAsia" w:cs="宋体"/>
                      <w:b/>
                      <w:bCs/>
                      <w:color w:val="auto"/>
                      <w:spacing w:val="0"/>
                      <w:kern w:val="0"/>
                    </w:rPr>
                    <w:t>《低挥发性有机化合物含量涂料产品技术要求》（GB/T 38597-2020）</w:t>
                  </w:r>
                </w:p>
              </w:tc>
              <w:tc>
                <w:tcPr>
                  <w:tcW w:w="1883" w:type="pct"/>
                  <w:gridSpan w:val="2"/>
                  <w:tcBorders>
                    <w:tl2br w:val="nil"/>
                    <w:tr2bl w:val="nil"/>
                  </w:tcBorders>
                  <w:vAlign w:val="center"/>
                </w:tcPr>
                <w:p w14:paraId="24F789B0">
                  <w:pPr>
                    <w:pStyle w:val="558"/>
                    <w:keepNext w:val="0"/>
                    <w:keepLines w:val="0"/>
                    <w:pageBreakBefore w:val="0"/>
                    <w:widowControl w:val="0"/>
                    <w:kinsoku/>
                    <w:wordWrap/>
                    <w:overflowPunct/>
                    <w:topLinePunct w:val="0"/>
                    <w:autoSpaceDE/>
                    <w:autoSpaceDN/>
                    <w:bidi w:val="0"/>
                    <w:adjustRightInd w:val="0"/>
                    <w:snapToGrid w:val="0"/>
                    <w:textAlignment w:val="auto"/>
                    <w:rPr>
                      <w:color w:val="auto"/>
                      <w:spacing w:val="0"/>
                      <w:kern w:val="0"/>
                    </w:rPr>
                  </w:pPr>
                  <w:r>
                    <w:rPr>
                      <w:rFonts w:hint="eastAsia" w:cs="宋体"/>
                      <w:color w:val="auto"/>
                      <w:spacing w:val="0"/>
                      <w:kern w:val="0"/>
                    </w:rPr>
                    <w:t>“表1 水性涂料中VOC含量的要求”中“</w:t>
                  </w:r>
                  <w:r>
                    <w:rPr>
                      <w:rFonts w:hint="eastAsia" w:cs="宋体"/>
                      <w:color w:val="auto"/>
                      <w:spacing w:val="0"/>
                      <w:kern w:val="0"/>
                      <w:lang w:val="en-US" w:eastAsia="zh-CN"/>
                    </w:rPr>
                    <w:t>工业防护涂料</w:t>
                  </w:r>
                  <w:r>
                    <w:rPr>
                      <w:rFonts w:hint="eastAsia" w:cs="宋体"/>
                      <w:color w:val="auto"/>
                      <w:spacing w:val="0"/>
                      <w:kern w:val="0"/>
                    </w:rPr>
                    <w:t>-</w:t>
                  </w:r>
                  <w:r>
                    <w:rPr>
                      <w:rFonts w:hint="eastAsia" w:cs="宋体"/>
                      <w:color w:val="auto"/>
                      <w:spacing w:val="0"/>
                      <w:kern w:val="0"/>
                      <w:lang w:val="en-US" w:eastAsia="zh-CN"/>
                    </w:rPr>
                    <w:t>机械设备涂料-工程机械和农业机械涂料（含零部件涂料）</w:t>
                  </w:r>
                  <w:r>
                    <w:rPr>
                      <w:rFonts w:hint="eastAsia" w:cs="宋体"/>
                      <w:color w:val="auto"/>
                      <w:spacing w:val="0"/>
                      <w:kern w:val="0"/>
                    </w:rPr>
                    <w:t>”（底漆喷涂限值为</w:t>
                  </w:r>
                  <w:r>
                    <w:rPr>
                      <w:rFonts w:hint="eastAsia" w:cs="宋体"/>
                      <w:color w:val="auto"/>
                      <w:spacing w:val="0"/>
                      <w:kern w:val="0"/>
                      <w:lang w:val="en-US" w:eastAsia="zh-CN"/>
                    </w:rPr>
                    <w:t>250</w:t>
                  </w:r>
                  <w:r>
                    <w:rPr>
                      <w:rFonts w:hint="eastAsia" w:cs="宋体"/>
                      <w:color w:val="auto"/>
                      <w:spacing w:val="0"/>
                      <w:kern w:val="0"/>
                    </w:rPr>
                    <w:t>g/L，面漆喷涂限值为3</w:t>
                  </w:r>
                  <w:r>
                    <w:rPr>
                      <w:rFonts w:hint="eastAsia" w:cs="宋体"/>
                      <w:color w:val="auto"/>
                      <w:spacing w:val="0"/>
                      <w:kern w:val="0"/>
                      <w:lang w:val="en-US" w:eastAsia="zh-CN"/>
                    </w:rPr>
                    <w:t>0</w:t>
                  </w:r>
                  <w:r>
                    <w:rPr>
                      <w:rFonts w:hint="eastAsia" w:cs="宋体"/>
                      <w:color w:val="auto"/>
                      <w:spacing w:val="0"/>
                      <w:kern w:val="0"/>
                    </w:rPr>
                    <w:t>0g/L）</w:t>
                  </w:r>
                </w:p>
              </w:tc>
              <w:tc>
                <w:tcPr>
                  <w:tcW w:w="1862" w:type="pct"/>
                  <w:tcBorders>
                    <w:tl2br w:val="nil"/>
                    <w:tr2bl w:val="nil"/>
                  </w:tcBorders>
                  <w:vAlign w:val="center"/>
                </w:tcPr>
                <w:p w14:paraId="5664B6FC">
                  <w:pPr>
                    <w:pStyle w:val="558"/>
                    <w:keepNext w:val="0"/>
                    <w:keepLines w:val="0"/>
                    <w:pageBreakBefore w:val="0"/>
                    <w:widowControl w:val="0"/>
                    <w:kinsoku/>
                    <w:wordWrap/>
                    <w:overflowPunct/>
                    <w:topLinePunct w:val="0"/>
                    <w:autoSpaceDE/>
                    <w:autoSpaceDN/>
                    <w:bidi w:val="0"/>
                    <w:adjustRightInd w:val="0"/>
                    <w:snapToGrid w:val="0"/>
                    <w:textAlignment w:val="auto"/>
                    <w:rPr>
                      <w:rFonts w:hint="default"/>
                      <w:bCs/>
                      <w:color w:val="auto"/>
                      <w:spacing w:val="0"/>
                      <w:kern w:val="0"/>
                      <w:lang w:val="en-US" w:eastAsia="zh-CN"/>
                    </w:rPr>
                  </w:pPr>
                  <w:r>
                    <w:rPr>
                      <w:rFonts w:hint="eastAsia"/>
                      <w:bCs/>
                      <w:color w:val="auto"/>
                      <w:spacing w:val="0"/>
                      <w:kern w:val="0"/>
                      <w:lang w:val="en-US" w:eastAsia="zh-CN"/>
                    </w:rPr>
                    <w:t>水性环氧底漆VOC含量为28.6g/L，水性聚氨酯面漆VOC含量为52.3g/L，可满足限值要求</w:t>
                  </w:r>
                </w:p>
              </w:tc>
              <w:tc>
                <w:tcPr>
                  <w:tcW w:w="485" w:type="pct"/>
                  <w:tcBorders>
                    <w:tl2br w:val="nil"/>
                    <w:tr2bl w:val="nil"/>
                  </w:tcBorders>
                  <w:vAlign w:val="center"/>
                </w:tcPr>
                <w:p w14:paraId="4CB1335F">
                  <w:pPr>
                    <w:keepNext w:val="0"/>
                    <w:keepLines w:val="0"/>
                    <w:pageBreakBefore w:val="0"/>
                    <w:widowControl w:val="0"/>
                    <w:kinsoku/>
                    <w:wordWrap/>
                    <w:overflowPunct/>
                    <w:topLinePunct w:val="0"/>
                    <w:autoSpaceDE/>
                    <w:autoSpaceDN/>
                    <w:bidi w:val="0"/>
                    <w:adjustRightInd w:val="0"/>
                    <w:snapToGrid w:val="0"/>
                    <w:jc w:val="center"/>
                    <w:textAlignment w:val="auto"/>
                    <w:rPr>
                      <w:color w:val="auto"/>
                      <w:spacing w:val="0"/>
                      <w:kern w:val="0"/>
                    </w:rPr>
                  </w:pPr>
                  <w:r>
                    <w:rPr>
                      <w:color w:val="auto"/>
                      <w:spacing w:val="0"/>
                      <w:kern w:val="0"/>
                    </w:rPr>
                    <w:t>相符</w:t>
                  </w:r>
                </w:p>
              </w:tc>
            </w:tr>
            <w:tr w14:paraId="49E30DF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768" w:type="pct"/>
                  <w:vMerge w:val="continue"/>
                  <w:tcBorders>
                    <w:tl2br w:val="nil"/>
                    <w:tr2bl w:val="nil"/>
                  </w:tcBorders>
                  <w:vAlign w:val="center"/>
                </w:tcPr>
                <w:p w14:paraId="1692A458">
                  <w:pPr>
                    <w:pStyle w:val="558"/>
                    <w:keepNext w:val="0"/>
                    <w:keepLines w:val="0"/>
                    <w:pageBreakBefore w:val="0"/>
                    <w:widowControl w:val="0"/>
                    <w:kinsoku/>
                    <w:wordWrap/>
                    <w:overflowPunct/>
                    <w:topLinePunct w:val="0"/>
                    <w:autoSpaceDE/>
                    <w:autoSpaceDN/>
                    <w:bidi w:val="0"/>
                    <w:adjustRightInd w:val="0"/>
                    <w:snapToGrid w:val="0"/>
                    <w:textAlignment w:val="auto"/>
                    <w:rPr>
                      <w:b/>
                      <w:bCs/>
                      <w:color w:val="auto"/>
                      <w:spacing w:val="0"/>
                      <w:kern w:val="0"/>
                    </w:rPr>
                  </w:pPr>
                </w:p>
              </w:tc>
              <w:tc>
                <w:tcPr>
                  <w:tcW w:w="1883" w:type="pct"/>
                  <w:gridSpan w:val="2"/>
                  <w:tcBorders>
                    <w:tl2br w:val="nil"/>
                    <w:tr2bl w:val="nil"/>
                  </w:tcBorders>
                  <w:vAlign w:val="center"/>
                </w:tcPr>
                <w:p w14:paraId="6FD36F05">
                  <w:pPr>
                    <w:pStyle w:val="558"/>
                    <w:keepNext w:val="0"/>
                    <w:keepLines w:val="0"/>
                    <w:pageBreakBefore w:val="0"/>
                    <w:widowControl w:val="0"/>
                    <w:kinsoku/>
                    <w:wordWrap/>
                    <w:overflowPunct/>
                    <w:topLinePunct w:val="0"/>
                    <w:autoSpaceDE/>
                    <w:autoSpaceDN/>
                    <w:bidi w:val="0"/>
                    <w:adjustRightInd w:val="0"/>
                    <w:snapToGrid w:val="0"/>
                    <w:textAlignment w:val="auto"/>
                    <w:rPr>
                      <w:color w:val="auto"/>
                      <w:spacing w:val="0"/>
                      <w:kern w:val="0"/>
                    </w:rPr>
                  </w:pPr>
                  <w:r>
                    <w:rPr>
                      <w:rFonts w:hint="eastAsia" w:cs="宋体"/>
                      <w:color w:val="auto"/>
                      <w:spacing w:val="0"/>
                      <w:kern w:val="0"/>
                    </w:rPr>
                    <w:t>“表2 溶剂型涂料中VOC含量的要求”中“</w:t>
                  </w:r>
                  <w:r>
                    <w:rPr>
                      <w:rFonts w:hint="eastAsia" w:cs="宋体"/>
                      <w:color w:val="auto"/>
                      <w:spacing w:val="0"/>
                      <w:kern w:val="0"/>
                      <w:lang w:val="en-US" w:eastAsia="zh-CN"/>
                    </w:rPr>
                    <w:t>工业防护涂料</w:t>
                  </w:r>
                  <w:r>
                    <w:rPr>
                      <w:rFonts w:hint="eastAsia" w:cs="宋体"/>
                      <w:color w:val="auto"/>
                      <w:spacing w:val="0"/>
                      <w:kern w:val="0"/>
                    </w:rPr>
                    <w:t>-</w:t>
                  </w:r>
                  <w:r>
                    <w:rPr>
                      <w:rFonts w:hint="eastAsia" w:cs="宋体"/>
                      <w:color w:val="auto"/>
                      <w:spacing w:val="0"/>
                      <w:kern w:val="0"/>
                      <w:lang w:val="en-US" w:eastAsia="zh-CN"/>
                    </w:rPr>
                    <w:t>机械设备涂料-工程机械和农业机械涂料（含零部件涂料）</w:t>
                  </w:r>
                  <w:r>
                    <w:rPr>
                      <w:rFonts w:hint="eastAsia" w:cs="宋体"/>
                      <w:color w:val="auto"/>
                      <w:spacing w:val="0"/>
                      <w:kern w:val="0"/>
                    </w:rPr>
                    <w:t>”（底漆喷涂限值为</w:t>
                  </w:r>
                  <w:r>
                    <w:rPr>
                      <w:rFonts w:hint="eastAsia" w:cs="宋体"/>
                      <w:color w:val="auto"/>
                      <w:spacing w:val="0"/>
                      <w:kern w:val="0"/>
                      <w:lang w:val="en-US" w:eastAsia="zh-CN"/>
                    </w:rPr>
                    <w:t>420</w:t>
                  </w:r>
                  <w:r>
                    <w:rPr>
                      <w:rFonts w:hint="eastAsia" w:cs="宋体"/>
                      <w:color w:val="auto"/>
                      <w:spacing w:val="0"/>
                      <w:kern w:val="0"/>
                    </w:rPr>
                    <w:t>g/L，</w:t>
                  </w:r>
                  <w:r>
                    <w:rPr>
                      <w:rFonts w:hint="eastAsia" w:cs="宋体"/>
                      <w:color w:val="auto"/>
                      <w:spacing w:val="0"/>
                      <w:kern w:val="0"/>
                      <w:lang w:val="en-US" w:eastAsia="zh-CN"/>
                    </w:rPr>
                    <w:t>双组分</w:t>
                  </w:r>
                  <w:r>
                    <w:rPr>
                      <w:rFonts w:hint="eastAsia" w:cs="宋体"/>
                      <w:color w:val="auto"/>
                      <w:spacing w:val="0"/>
                      <w:kern w:val="0"/>
                    </w:rPr>
                    <w:t>面漆喷涂限值为</w:t>
                  </w:r>
                  <w:r>
                    <w:rPr>
                      <w:rFonts w:hint="eastAsia" w:cs="宋体"/>
                      <w:color w:val="auto"/>
                      <w:spacing w:val="0"/>
                      <w:kern w:val="0"/>
                      <w:lang w:val="en-US" w:eastAsia="zh-CN"/>
                    </w:rPr>
                    <w:t>420</w:t>
                  </w:r>
                  <w:r>
                    <w:rPr>
                      <w:rFonts w:hint="eastAsia" w:cs="宋体"/>
                      <w:color w:val="auto"/>
                      <w:spacing w:val="0"/>
                      <w:kern w:val="0"/>
                    </w:rPr>
                    <w:t>g/L）。</w:t>
                  </w:r>
                </w:p>
              </w:tc>
              <w:tc>
                <w:tcPr>
                  <w:tcW w:w="1862" w:type="pct"/>
                  <w:tcBorders>
                    <w:tl2br w:val="nil"/>
                    <w:tr2bl w:val="nil"/>
                  </w:tcBorders>
                  <w:vAlign w:val="center"/>
                </w:tcPr>
                <w:p w14:paraId="7E5C75AD">
                  <w:pPr>
                    <w:pStyle w:val="558"/>
                    <w:keepNext w:val="0"/>
                    <w:keepLines w:val="0"/>
                    <w:pageBreakBefore w:val="0"/>
                    <w:widowControl w:val="0"/>
                    <w:kinsoku/>
                    <w:wordWrap/>
                    <w:overflowPunct/>
                    <w:topLinePunct w:val="0"/>
                    <w:autoSpaceDE/>
                    <w:autoSpaceDN/>
                    <w:bidi w:val="0"/>
                    <w:adjustRightInd w:val="0"/>
                    <w:snapToGrid w:val="0"/>
                    <w:textAlignment w:val="auto"/>
                    <w:rPr>
                      <w:rFonts w:hint="default"/>
                      <w:bCs/>
                      <w:color w:val="auto"/>
                      <w:spacing w:val="0"/>
                      <w:kern w:val="0"/>
                      <w:lang w:val="en-US" w:eastAsia="zh-CN"/>
                    </w:rPr>
                  </w:pPr>
                  <w:r>
                    <w:rPr>
                      <w:rFonts w:hint="eastAsia"/>
                      <w:bCs/>
                      <w:color w:val="auto"/>
                      <w:spacing w:val="0"/>
                      <w:kern w:val="0"/>
                      <w:lang w:val="en-US" w:eastAsia="zh-CN"/>
                    </w:rPr>
                    <w:t>环氧底漆添加稀释剂、固化剂后VOC含量为252.6g/L，聚氨酯厚浆面漆添加稀释剂、固化剂后VOC含量为379g/L，可满足限值要求</w:t>
                  </w:r>
                </w:p>
              </w:tc>
              <w:tc>
                <w:tcPr>
                  <w:tcW w:w="485" w:type="pct"/>
                  <w:tcBorders>
                    <w:tl2br w:val="nil"/>
                    <w:tr2bl w:val="nil"/>
                  </w:tcBorders>
                  <w:vAlign w:val="center"/>
                </w:tcPr>
                <w:p w14:paraId="18C2D51A">
                  <w:pPr>
                    <w:keepNext w:val="0"/>
                    <w:keepLines w:val="0"/>
                    <w:pageBreakBefore w:val="0"/>
                    <w:widowControl w:val="0"/>
                    <w:kinsoku/>
                    <w:wordWrap/>
                    <w:overflowPunct/>
                    <w:topLinePunct w:val="0"/>
                    <w:autoSpaceDE/>
                    <w:autoSpaceDN/>
                    <w:bidi w:val="0"/>
                    <w:adjustRightInd w:val="0"/>
                    <w:snapToGrid w:val="0"/>
                    <w:jc w:val="center"/>
                    <w:textAlignment w:val="auto"/>
                    <w:rPr>
                      <w:color w:val="auto"/>
                      <w:spacing w:val="0"/>
                      <w:kern w:val="0"/>
                    </w:rPr>
                  </w:pPr>
                  <w:r>
                    <w:rPr>
                      <w:color w:val="auto"/>
                      <w:spacing w:val="0"/>
                      <w:kern w:val="0"/>
                    </w:rPr>
                    <w:t>相符</w:t>
                  </w:r>
                </w:p>
              </w:tc>
            </w:tr>
            <w:tr w14:paraId="6D83D747">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768" w:type="pct"/>
                  <w:tcBorders>
                    <w:tl2br w:val="nil"/>
                    <w:tr2bl w:val="nil"/>
                  </w:tcBorders>
                  <w:vAlign w:val="center"/>
                </w:tcPr>
                <w:p w14:paraId="12B8006D">
                  <w:pPr>
                    <w:pStyle w:val="558"/>
                    <w:keepNext w:val="0"/>
                    <w:keepLines w:val="0"/>
                    <w:pageBreakBefore w:val="0"/>
                    <w:widowControl w:val="0"/>
                    <w:kinsoku/>
                    <w:wordWrap/>
                    <w:overflowPunct/>
                    <w:topLinePunct w:val="0"/>
                    <w:autoSpaceDE/>
                    <w:autoSpaceDN/>
                    <w:bidi w:val="0"/>
                    <w:adjustRightInd w:val="0"/>
                    <w:snapToGrid w:val="0"/>
                    <w:textAlignment w:val="auto"/>
                    <w:rPr>
                      <w:b/>
                      <w:bCs/>
                      <w:color w:val="auto"/>
                      <w:spacing w:val="0"/>
                      <w:kern w:val="0"/>
                    </w:rPr>
                  </w:pPr>
                  <w:r>
                    <w:rPr>
                      <w:b/>
                      <w:bCs/>
                      <w:color w:val="auto"/>
                      <w:spacing w:val="0"/>
                      <w:kern w:val="0"/>
                    </w:rPr>
                    <w:t>《清洗剂挥发性有机化合物含量限值》（GB 38508-2020）</w:t>
                  </w:r>
                </w:p>
              </w:tc>
              <w:tc>
                <w:tcPr>
                  <w:tcW w:w="1883" w:type="pct"/>
                  <w:gridSpan w:val="2"/>
                  <w:tcBorders>
                    <w:tl2br w:val="nil"/>
                    <w:tr2bl w:val="nil"/>
                  </w:tcBorders>
                  <w:vAlign w:val="center"/>
                </w:tcPr>
                <w:p w14:paraId="27848D1C">
                  <w:pPr>
                    <w:pStyle w:val="558"/>
                    <w:keepNext w:val="0"/>
                    <w:keepLines w:val="0"/>
                    <w:pageBreakBefore w:val="0"/>
                    <w:widowControl w:val="0"/>
                    <w:kinsoku/>
                    <w:wordWrap/>
                    <w:overflowPunct/>
                    <w:topLinePunct w:val="0"/>
                    <w:autoSpaceDE/>
                    <w:autoSpaceDN/>
                    <w:bidi w:val="0"/>
                    <w:adjustRightInd w:val="0"/>
                    <w:snapToGrid w:val="0"/>
                    <w:textAlignment w:val="auto"/>
                    <w:rPr>
                      <w:color w:val="auto"/>
                      <w:spacing w:val="0"/>
                      <w:kern w:val="0"/>
                    </w:rPr>
                  </w:pPr>
                  <w:r>
                    <w:rPr>
                      <w:color w:val="auto"/>
                      <w:spacing w:val="0"/>
                      <w:kern w:val="0"/>
                    </w:rPr>
                    <w:t>表</w:t>
                  </w:r>
                  <w:r>
                    <w:rPr>
                      <w:rFonts w:hint="eastAsia"/>
                      <w:color w:val="auto"/>
                      <w:spacing w:val="0"/>
                      <w:kern w:val="0"/>
                      <w:lang w:val="en-US" w:eastAsia="zh-CN"/>
                    </w:rPr>
                    <w:t>1</w:t>
                  </w:r>
                  <w:r>
                    <w:rPr>
                      <w:rFonts w:hint="eastAsia"/>
                      <w:color w:val="auto"/>
                      <w:spacing w:val="0"/>
                      <w:kern w:val="0"/>
                    </w:rPr>
                    <w:t>“</w:t>
                  </w:r>
                  <w:r>
                    <w:rPr>
                      <w:rFonts w:hint="eastAsia"/>
                      <w:color w:val="auto"/>
                      <w:spacing w:val="0"/>
                      <w:kern w:val="0"/>
                      <w:lang w:val="en-US" w:eastAsia="zh-CN"/>
                    </w:rPr>
                    <w:t>清洗剂VOC含量及特定挥发性有机物限值要求</w:t>
                  </w:r>
                  <w:r>
                    <w:rPr>
                      <w:rFonts w:hint="eastAsia"/>
                      <w:color w:val="auto"/>
                      <w:spacing w:val="0"/>
                      <w:kern w:val="0"/>
                    </w:rPr>
                    <w:t>”</w:t>
                  </w:r>
                  <w:r>
                    <w:rPr>
                      <w:color w:val="auto"/>
                      <w:spacing w:val="0"/>
                      <w:kern w:val="0"/>
                    </w:rPr>
                    <w:t>中</w:t>
                  </w:r>
                  <w:r>
                    <w:rPr>
                      <w:rFonts w:hint="eastAsia"/>
                      <w:color w:val="auto"/>
                      <w:spacing w:val="0"/>
                      <w:kern w:val="0"/>
                      <w:lang w:val="en-US" w:eastAsia="zh-CN"/>
                    </w:rPr>
                    <w:t>有机溶剂清洗剂</w:t>
                  </w:r>
                  <w:r>
                    <w:rPr>
                      <w:color w:val="auto"/>
                      <w:spacing w:val="0"/>
                      <w:kern w:val="0"/>
                    </w:rPr>
                    <w:t>VOC含量＜</w:t>
                  </w:r>
                  <w:r>
                    <w:rPr>
                      <w:rFonts w:hint="eastAsia"/>
                      <w:color w:val="auto"/>
                      <w:spacing w:val="0"/>
                      <w:kern w:val="0"/>
                      <w:lang w:val="en-US" w:eastAsia="zh-CN"/>
                    </w:rPr>
                    <w:t>900</w:t>
                  </w:r>
                  <w:r>
                    <w:rPr>
                      <w:color w:val="auto"/>
                      <w:spacing w:val="0"/>
                      <w:kern w:val="0"/>
                    </w:rPr>
                    <w:t>g/L</w:t>
                  </w:r>
                </w:p>
              </w:tc>
              <w:tc>
                <w:tcPr>
                  <w:tcW w:w="1862" w:type="pct"/>
                  <w:tcBorders>
                    <w:tl2br w:val="nil"/>
                    <w:tr2bl w:val="nil"/>
                  </w:tcBorders>
                  <w:vAlign w:val="center"/>
                </w:tcPr>
                <w:p w14:paraId="365B77AD">
                  <w:pPr>
                    <w:pStyle w:val="558"/>
                    <w:keepNext w:val="0"/>
                    <w:keepLines w:val="0"/>
                    <w:pageBreakBefore w:val="0"/>
                    <w:widowControl w:val="0"/>
                    <w:kinsoku/>
                    <w:wordWrap/>
                    <w:overflowPunct/>
                    <w:topLinePunct w:val="0"/>
                    <w:autoSpaceDE/>
                    <w:autoSpaceDN/>
                    <w:bidi w:val="0"/>
                    <w:adjustRightInd w:val="0"/>
                    <w:snapToGrid w:val="0"/>
                    <w:textAlignment w:val="auto"/>
                    <w:rPr>
                      <w:rFonts w:hint="default" w:eastAsia="宋体"/>
                      <w:bCs/>
                      <w:color w:val="auto"/>
                      <w:spacing w:val="0"/>
                      <w:kern w:val="0"/>
                      <w:lang w:val="en-US" w:eastAsia="zh-CN"/>
                    </w:rPr>
                  </w:pPr>
                  <w:r>
                    <w:rPr>
                      <w:rFonts w:hint="eastAsia" w:cs="宋体"/>
                      <w:color w:val="auto"/>
                      <w:spacing w:val="0"/>
                      <w:kern w:val="0"/>
                    </w:rPr>
                    <w:t>本项目采用</w:t>
                  </w:r>
                  <w:r>
                    <w:rPr>
                      <w:rFonts w:hint="eastAsia" w:cs="宋体"/>
                      <w:color w:val="auto"/>
                      <w:spacing w:val="0"/>
                      <w:kern w:val="0"/>
                      <w:lang w:val="en-US" w:eastAsia="zh-CN"/>
                    </w:rPr>
                    <w:t>稀释剂</w:t>
                  </w:r>
                  <w:r>
                    <w:rPr>
                      <w:rFonts w:hint="eastAsia" w:cs="宋体"/>
                      <w:color w:val="auto"/>
                      <w:spacing w:val="0"/>
                      <w:kern w:val="0"/>
                    </w:rPr>
                    <w:t>作为喷枪清洗剂，</w:t>
                  </w:r>
                  <w:r>
                    <w:rPr>
                      <w:rFonts w:hint="eastAsia" w:cs="宋体"/>
                      <w:color w:val="auto"/>
                      <w:spacing w:val="0"/>
                      <w:kern w:val="0"/>
                      <w:lang w:val="en-US" w:eastAsia="zh-CN"/>
                    </w:rPr>
                    <w:t>属于有机溶剂清洗剂，稀释剂</w:t>
                  </w:r>
                  <w:r>
                    <w:rPr>
                      <w:rFonts w:hint="eastAsia" w:cs="宋体"/>
                      <w:color w:val="auto"/>
                      <w:spacing w:val="0"/>
                      <w:kern w:val="0"/>
                    </w:rPr>
                    <w:t>的密度为0.8</w:t>
                  </w:r>
                  <w:r>
                    <w:rPr>
                      <w:rFonts w:hint="eastAsia" w:cs="宋体"/>
                      <w:color w:val="auto"/>
                      <w:spacing w:val="0"/>
                      <w:kern w:val="0"/>
                      <w:lang w:val="en-US" w:eastAsia="zh-CN"/>
                    </w:rPr>
                    <w:t>57</w:t>
                  </w:r>
                  <w:r>
                    <w:rPr>
                      <w:rFonts w:hint="eastAsia" w:cs="宋体"/>
                      <w:color w:val="auto"/>
                      <w:spacing w:val="0"/>
                      <w:kern w:val="0"/>
                    </w:rPr>
                    <w:t>g/cm</w:t>
                  </w:r>
                  <w:r>
                    <w:rPr>
                      <w:rFonts w:hint="eastAsia" w:cs="宋体"/>
                      <w:color w:val="auto"/>
                      <w:spacing w:val="0"/>
                      <w:kern w:val="0"/>
                      <w:vertAlign w:val="superscript"/>
                    </w:rPr>
                    <w:t>3</w:t>
                  </w:r>
                  <w:r>
                    <w:rPr>
                      <w:rFonts w:hint="eastAsia" w:cs="宋体"/>
                      <w:color w:val="auto"/>
                      <w:spacing w:val="0"/>
                      <w:kern w:val="0"/>
                    </w:rPr>
                    <w:t>，则喷枪清洗剂中VOCs限值为</w:t>
                  </w:r>
                  <w:r>
                    <w:rPr>
                      <w:rFonts w:hint="eastAsia" w:cs="宋体"/>
                      <w:color w:val="auto"/>
                      <w:spacing w:val="0"/>
                      <w:kern w:val="0"/>
                      <w:lang w:val="en-US" w:eastAsia="zh-CN"/>
                    </w:rPr>
                    <w:t>857</w:t>
                  </w:r>
                  <w:r>
                    <w:rPr>
                      <w:rFonts w:hint="eastAsia" w:cs="宋体"/>
                      <w:color w:val="auto"/>
                      <w:spacing w:val="0"/>
                      <w:kern w:val="0"/>
                    </w:rPr>
                    <w:t>g/L</w:t>
                  </w:r>
                  <w:r>
                    <w:rPr>
                      <w:rFonts w:hint="eastAsia" w:cs="宋体"/>
                      <w:color w:val="auto"/>
                      <w:spacing w:val="0"/>
                      <w:kern w:val="0"/>
                      <w:lang w:eastAsia="zh-CN"/>
                    </w:rPr>
                    <w:t>，</w:t>
                  </w:r>
                  <w:r>
                    <w:rPr>
                      <w:rFonts w:hint="eastAsia" w:cs="宋体"/>
                      <w:color w:val="auto"/>
                      <w:spacing w:val="0"/>
                      <w:kern w:val="0"/>
                      <w:lang w:val="en-US" w:eastAsia="zh-CN"/>
                    </w:rPr>
                    <w:t>符合《清洗剂挥发性有机化合物含量限值》（GB 38508-2020）限值要求</w:t>
                  </w:r>
                </w:p>
              </w:tc>
              <w:tc>
                <w:tcPr>
                  <w:tcW w:w="485" w:type="pct"/>
                  <w:tcBorders>
                    <w:tl2br w:val="nil"/>
                    <w:tr2bl w:val="nil"/>
                  </w:tcBorders>
                  <w:vAlign w:val="center"/>
                </w:tcPr>
                <w:p w14:paraId="077CA74E">
                  <w:pPr>
                    <w:keepNext w:val="0"/>
                    <w:keepLines w:val="0"/>
                    <w:pageBreakBefore w:val="0"/>
                    <w:widowControl w:val="0"/>
                    <w:kinsoku/>
                    <w:wordWrap/>
                    <w:overflowPunct/>
                    <w:topLinePunct w:val="0"/>
                    <w:autoSpaceDE/>
                    <w:autoSpaceDN/>
                    <w:bidi w:val="0"/>
                    <w:adjustRightInd w:val="0"/>
                    <w:snapToGrid w:val="0"/>
                    <w:jc w:val="center"/>
                    <w:textAlignment w:val="auto"/>
                    <w:rPr>
                      <w:color w:val="auto"/>
                      <w:spacing w:val="0"/>
                      <w:kern w:val="0"/>
                    </w:rPr>
                  </w:pPr>
                  <w:r>
                    <w:rPr>
                      <w:color w:val="auto"/>
                      <w:spacing w:val="0"/>
                      <w:kern w:val="0"/>
                    </w:rPr>
                    <w:t>相符</w:t>
                  </w:r>
                </w:p>
              </w:tc>
            </w:tr>
            <w:tr w14:paraId="5740538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768" w:type="pct"/>
                  <w:vMerge w:val="restart"/>
                  <w:tcBorders>
                    <w:tl2br w:val="nil"/>
                    <w:tr2bl w:val="nil"/>
                  </w:tcBorders>
                  <w:vAlign w:val="center"/>
                </w:tcPr>
                <w:p w14:paraId="7EE8A76D">
                  <w:pPr>
                    <w:pStyle w:val="558"/>
                    <w:keepNext w:val="0"/>
                    <w:keepLines w:val="0"/>
                    <w:pageBreakBefore w:val="0"/>
                    <w:widowControl w:val="0"/>
                    <w:kinsoku/>
                    <w:wordWrap/>
                    <w:overflowPunct/>
                    <w:topLinePunct w:val="0"/>
                    <w:autoSpaceDE/>
                    <w:autoSpaceDN/>
                    <w:bidi w:val="0"/>
                    <w:adjustRightInd w:val="0"/>
                    <w:snapToGrid w:val="0"/>
                    <w:textAlignment w:val="auto"/>
                    <w:rPr>
                      <w:b/>
                      <w:bCs/>
                      <w:color w:val="auto"/>
                      <w:spacing w:val="0"/>
                      <w:kern w:val="0"/>
                    </w:rPr>
                  </w:pPr>
                  <w:r>
                    <w:rPr>
                      <w:b/>
                      <w:bCs/>
                      <w:color w:val="auto"/>
                      <w:spacing w:val="0"/>
                      <w:kern w:val="0"/>
                    </w:rPr>
                    <w:t>《江苏省挥发性有机物清洁原料替代工作方案》</w:t>
                  </w:r>
                </w:p>
              </w:tc>
              <w:tc>
                <w:tcPr>
                  <w:tcW w:w="1883" w:type="pct"/>
                  <w:gridSpan w:val="2"/>
                  <w:tcBorders>
                    <w:tl2br w:val="nil"/>
                    <w:tr2bl w:val="nil"/>
                  </w:tcBorders>
                  <w:vAlign w:val="center"/>
                </w:tcPr>
                <w:p w14:paraId="065EF315">
                  <w:pPr>
                    <w:pStyle w:val="558"/>
                    <w:keepNext w:val="0"/>
                    <w:keepLines w:val="0"/>
                    <w:pageBreakBefore w:val="0"/>
                    <w:widowControl w:val="0"/>
                    <w:kinsoku/>
                    <w:wordWrap/>
                    <w:overflowPunct/>
                    <w:topLinePunct w:val="0"/>
                    <w:autoSpaceDE/>
                    <w:autoSpaceDN/>
                    <w:bidi w:val="0"/>
                    <w:adjustRightInd w:val="0"/>
                    <w:snapToGrid w:val="0"/>
                    <w:textAlignment w:val="auto"/>
                    <w:rPr>
                      <w:color w:val="auto"/>
                      <w:spacing w:val="0"/>
                      <w:kern w:val="0"/>
                    </w:rPr>
                  </w:pPr>
                  <w:r>
                    <w:rPr>
                      <w:color w:val="auto"/>
                      <w:spacing w:val="0"/>
                      <w:kern w:val="0"/>
                    </w:rPr>
                    <w:t>企业使用涂料、油墨、清洗剂、胶黏剂等产品应符合相关标准中VOCs含量的限值要求。</w:t>
                  </w:r>
                </w:p>
              </w:tc>
              <w:tc>
                <w:tcPr>
                  <w:tcW w:w="1862" w:type="pct"/>
                  <w:vMerge w:val="restart"/>
                  <w:tcBorders>
                    <w:tl2br w:val="nil"/>
                    <w:tr2bl w:val="nil"/>
                  </w:tcBorders>
                  <w:vAlign w:val="center"/>
                </w:tcPr>
                <w:p w14:paraId="3CE8FA63">
                  <w:pPr>
                    <w:pStyle w:val="558"/>
                    <w:keepNext w:val="0"/>
                    <w:keepLines w:val="0"/>
                    <w:pageBreakBefore w:val="0"/>
                    <w:widowControl w:val="0"/>
                    <w:kinsoku/>
                    <w:wordWrap/>
                    <w:overflowPunct/>
                    <w:topLinePunct w:val="0"/>
                    <w:autoSpaceDE/>
                    <w:autoSpaceDN/>
                    <w:bidi w:val="0"/>
                    <w:adjustRightInd w:val="0"/>
                    <w:snapToGrid w:val="0"/>
                    <w:textAlignment w:val="auto"/>
                    <w:rPr>
                      <w:rFonts w:hint="eastAsia" w:eastAsia="宋体"/>
                      <w:color w:val="auto"/>
                      <w:spacing w:val="0"/>
                      <w:kern w:val="0"/>
                      <w:lang w:val="en-US" w:eastAsia="zh-CN"/>
                    </w:rPr>
                  </w:pPr>
                  <w:r>
                    <w:rPr>
                      <w:color w:val="auto"/>
                      <w:spacing w:val="0"/>
                      <w:kern w:val="0"/>
                    </w:rPr>
                    <w:t>本项目</w:t>
                  </w:r>
                  <w:r>
                    <w:rPr>
                      <w:rFonts w:hint="eastAsia"/>
                      <w:color w:val="auto"/>
                      <w:spacing w:val="0"/>
                      <w:kern w:val="0"/>
                      <w:lang w:val="en-US" w:eastAsia="zh-CN"/>
                    </w:rPr>
                    <w:t>所使用涂料中，</w:t>
                  </w:r>
                  <w:r>
                    <w:rPr>
                      <w:rFonts w:hint="eastAsia"/>
                      <w:bCs/>
                      <w:color w:val="auto"/>
                      <w:spacing w:val="0"/>
                      <w:kern w:val="0"/>
                      <w:lang w:val="en-US" w:eastAsia="zh-CN"/>
                    </w:rPr>
                    <w:t>水性环氧底漆VOC含量为28.6g/L，水性聚氨酯面漆VOC含量为52.3g/L，环氧底漆添加稀释剂、固化剂后VOC含量为252.6g/L，聚氨酯厚浆面漆添加稀释剂、固化剂后VOC含量为379g/L，</w:t>
                  </w:r>
                  <w:r>
                    <w:rPr>
                      <w:rFonts w:hint="eastAsia"/>
                      <w:color w:val="auto"/>
                      <w:spacing w:val="0"/>
                      <w:kern w:val="0"/>
                    </w:rPr>
                    <w:t>符合《低挥发性有机化合物含量涂料产品技术要求》（GB/T 38597-2020）中限值要求</w:t>
                  </w:r>
                  <w:r>
                    <w:rPr>
                      <w:rFonts w:hint="eastAsia"/>
                      <w:color w:val="auto"/>
                      <w:spacing w:val="0"/>
                      <w:kern w:val="0"/>
                      <w:lang w:eastAsia="zh-CN"/>
                    </w:rPr>
                    <w:t>；</w:t>
                  </w:r>
                  <w:r>
                    <w:rPr>
                      <w:rFonts w:hint="eastAsia"/>
                      <w:color w:val="auto"/>
                      <w:spacing w:val="0"/>
                      <w:kern w:val="0"/>
                    </w:rPr>
                    <w:t>清洗剂中VOC含量为8</w:t>
                  </w:r>
                  <w:r>
                    <w:rPr>
                      <w:rFonts w:hint="eastAsia"/>
                      <w:color w:val="auto"/>
                      <w:spacing w:val="0"/>
                      <w:kern w:val="0"/>
                      <w:lang w:val="en-US" w:eastAsia="zh-CN"/>
                    </w:rPr>
                    <w:t>57</w:t>
                  </w:r>
                  <w:r>
                    <w:rPr>
                      <w:rFonts w:hint="eastAsia"/>
                      <w:color w:val="auto"/>
                      <w:spacing w:val="0"/>
                      <w:kern w:val="0"/>
                    </w:rPr>
                    <w:t>g/L，符合《清洗剂挥发性有机化合物含量限值》（GB 38508-2020）中限量值要求</w:t>
                  </w:r>
                </w:p>
              </w:tc>
              <w:tc>
                <w:tcPr>
                  <w:tcW w:w="485" w:type="pct"/>
                  <w:tcBorders>
                    <w:tl2br w:val="nil"/>
                    <w:tr2bl w:val="nil"/>
                  </w:tcBorders>
                  <w:vAlign w:val="center"/>
                </w:tcPr>
                <w:p w14:paraId="6C7F290C">
                  <w:pPr>
                    <w:pStyle w:val="558"/>
                    <w:keepNext w:val="0"/>
                    <w:keepLines w:val="0"/>
                    <w:pageBreakBefore w:val="0"/>
                    <w:widowControl w:val="0"/>
                    <w:kinsoku/>
                    <w:wordWrap/>
                    <w:overflowPunct/>
                    <w:topLinePunct w:val="0"/>
                    <w:autoSpaceDE/>
                    <w:autoSpaceDN/>
                    <w:bidi w:val="0"/>
                    <w:adjustRightInd w:val="0"/>
                    <w:snapToGrid w:val="0"/>
                    <w:textAlignment w:val="auto"/>
                    <w:rPr>
                      <w:color w:val="auto"/>
                      <w:spacing w:val="0"/>
                      <w:kern w:val="0"/>
                    </w:rPr>
                  </w:pPr>
                  <w:r>
                    <w:rPr>
                      <w:color w:val="auto"/>
                      <w:spacing w:val="0"/>
                      <w:kern w:val="0"/>
                    </w:rPr>
                    <w:t>相符</w:t>
                  </w:r>
                </w:p>
              </w:tc>
            </w:tr>
            <w:tr w14:paraId="5F79472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768" w:type="pct"/>
                  <w:vMerge w:val="continue"/>
                  <w:tcBorders>
                    <w:tl2br w:val="nil"/>
                    <w:tr2bl w:val="nil"/>
                  </w:tcBorders>
                  <w:vAlign w:val="center"/>
                </w:tcPr>
                <w:p w14:paraId="342DCD28">
                  <w:pPr>
                    <w:pStyle w:val="558"/>
                    <w:keepNext w:val="0"/>
                    <w:keepLines w:val="0"/>
                    <w:pageBreakBefore w:val="0"/>
                    <w:widowControl w:val="0"/>
                    <w:kinsoku/>
                    <w:wordWrap/>
                    <w:overflowPunct/>
                    <w:topLinePunct w:val="0"/>
                    <w:autoSpaceDE/>
                    <w:autoSpaceDN/>
                    <w:bidi w:val="0"/>
                    <w:adjustRightInd w:val="0"/>
                    <w:snapToGrid w:val="0"/>
                    <w:textAlignment w:val="auto"/>
                    <w:rPr>
                      <w:b/>
                      <w:bCs/>
                      <w:color w:val="auto"/>
                      <w:spacing w:val="0"/>
                      <w:kern w:val="0"/>
                    </w:rPr>
                  </w:pPr>
                </w:p>
              </w:tc>
              <w:tc>
                <w:tcPr>
                  <w:tcW w:w="1883" w:type="pct"/>
                  <w:gridSpan w:val="2"/>
                  <w:tcBorders>
                    <w:tl2br w:val="nil"/>
                    <w:tr2bl w:val="nil"/>
                  </w:tcBorders>
                  <w:vAlign w:val="center"/>
                </w:tcPr>
                <w:p w14:paraId="76143DC4">
                  <w:pPr>
                    <w:pStyle w:val="558"/>
                    <w:keepNext w:val="0"/>
                    <w:keepLines w:val="0"/>
                    <w:pageBreakBefore w:val="0"/>
                    <w:widowControl w:val="0"/>
                    <w:kinsoku/>
                    <w:wordWrap/>
                    <w:overflowPunct/>
                    <w:topLinePunct w:val="0"/>
                    <w:autoSpaceDE/>
                    <w:autoSpaceDN/>
                    <w:bidi w:val="0"/>
                    <w:adjustRightInd w:val="0"/>
                    <w:snapToGrid w:val="0"/>
                    <w:textAlignment w:val="auto"/>
                    <w:rPr>
                      <w:color w:val="auto"/>
                      <w:spacing w:val="0"/>
                      <w:kern w:val="0"/>
                    </w:rPr>
                  </w:pPr>
                  <w:r>
                    <w:rPr>
                      <w:color w:val="auto"/>
                      <w:spacing w:val="0"/>
                      <w:kern w:val="0"/>
                    </w:rPr>
                    <w:t>禁止建设生产和使用高VOCs含量的涂料、油墨、胶黏剂等项目。</w:t>
                  </w:r>
                </w:p>
              </w:tc>
              <w:tc>
                <w:tcPr>
                  <w:tcW w:w="1862" w:type="pct"/>
                  <w:vMerge w:val="continue"/>
                  <w:tcBorders>
                    <w:tl2br w:val="nil"/>
                    <w:tr2bl w:val="nil"/>
                  </w:tcBorders>
                  <w:vAlign w:val="center"/>
                </w:tcPr>
                <w:p w14:paraId="6590A243">
                  <w:pPr>
                    <w:pStyle w:val="558"/>
                    <w:keepNext w:val="0"/>
                    <w:keepLines w:val="0"/>
                    <w:pageBreakBefore w:val="0"/>
                    <w:widowControl w:val="0"/>
                    <w:kinsoku/>
                    <w:wordWrap/>
                    <w:overflowPunct/>
                    <w:topLinePunct w:val="0"/>
                    <w:autoSpaceDE/>
                    <w:autoSpaceDN/>
                    <w:bidi w:val="0"/>
                    <w:adjustRightInd w:val="0"/>
                    <w:snapToGrid w:val="0"/>
                    <w:textAlignment w:val="auto"/>
                    <w:rPr>
                      <w:color w:val="auto"/>
                      <w:spacing w:val="0"/>
                      <w:kern w:val="0"/>
                    </w:rPr>
                  </w:pPr>
                </w:p>
              </w:tc>
              <w:tc>
                <w:tcPr>
                  <w:tcW w:w="485" w:type="pct"/>
                  <w:tcBorders>
                    <w:tl2br w:val="nil"/>
                    <w:tr2bl w:val="nil"/>
                  </w:tcBorders>
                  <w:vAlign w:val="center"/>
                </w:tcPr>
                <w:p w14:paraId="41287911">
                  <w:pPr>
                    <w:keepNext w:val="0"/>
                    <w:keepLines w:val="0"/>
                    <w:pageBreakBefore w:val="0"/>
                    <w:widowControl w:val="0"/>
                    <w:kinsoku/>
                    <w:wordWrap/>
                    <w:overflowPunct/>
                    <w:topLinePunct w:val="0"/>
                    <w:autoSpaceDE/>
                    <w:autoSpaceDN/>
                    <w:bidi w:val="0"/>
                    <w:adjustRightInd w:val="0"/>
                    <w:snapToGrid w:val="0"/>
                    <w:jc w:val="center"/>
                    <w:textAlignment w:val="auto"/>
                    <w:rPr>
                      <w:color w:val="auto"/>
                      <w:spacing w:val="0"/>
                      <w:kern w:val="0"/>
                    </w:rPr>
                  </w:pPr>
                  <w:r>
                    <w:rPr>
                      <w:color w:val="auto"/>
                      <w:spacing w:val="0"/>
                      <w:kern w:val="0"/>
                    </w:rPr>
                    <w:t>相符</w:t>
                  </w:r>
                </w:p>
              </w:tc>
            </w:tr>
            <w:tr w14:paraId="71DDA99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1412" w:hRule="atLeast"/>
                <w:jc w:val="center"/>
              </w:trPr>
              <w:tc>
                <w:tcPr>
                  <w:tcW w:w="768" w:type="pct"/>
                  <w:vMerge w:val="restart"/>
                  <w:tcBorders>
                    <w:tl2br w:val="nil"/>
                    <w:tr2bl w:val="nil"/>
                  </w:tcBorders>
                  <w:vAlign w:val="center"/>
                </w:tcPr>
                <w:p w14:paraId="0BA87ED6">
                  <w:pPr>
                    <w:pStyle w:val="558"/>
                    <w:keepNext w:val="0"/>
                    <w:keepLines w:val="0"/>
                    <w:pageBreakBefore w:val="0"/>
                    <w:widowControl w:val="0"/>
                    <w:kinsoku/>
                    <w:wordWrap/>
                    <w:overflowPunct/>
                    <w:topLinePunct w:val="0"/>
                    <w:autoSpaceDE/>
                    <w:autoSpaceDN/>
                    <w:bidi w:val="0"/>
                    <w:adjustRightInd w:val="0"/>
                    <w:snapToGrid w:val="0"/>
                    <w:textAlignment w:val="auto"/>
                    <w:rPr>
                      <w:b/>
                      <w:bCs/>
                      <w:color w:val="auto"/>
                      <w:spacing w:val="0"/>
                      <w:kern w:val="0"/>
                    </w:rPr>
                  </w:pPr>
                  <w:r>
                    <w:rPr>
                      <w:b/>
                      <w:bCs/>
                      <w:color w:val="auto"/>
                      <w:spacing w:val="0"/>
                      <w:kern w:val="0"/>
                    </w:rPr>
                    <w:t>《关于印发常州市挥发性有机物清洁原料替代工作方案的通知》（常污防攻坚指办〔2021〕32号）</w:t>
                  </w:r>
                </w:p>
              </w:tc>
              <w:tc>
                <w:tcPr>
                  <w:tcW w:w="1883" w:type="pct"/>
                  <w:gridSpan w:val="2"/>
                  <w:tcBorders>
                    <w:tl2br w:val="nil"/>
                    <w:tr2bl w:val="nil"/>
                  </w:tcBorders>
                  <w:vAlign w:val="center"/>
                </w:tcPr>
                <w:p w14:paraId="3C969315">
                  <w:pPr>
                    <w:pStyle w:val="558"/>
                    <w:keepNext w:val="0"/>
                    <w:keepLines w:val="0"/>
                    <w:pageBreakBefore w:val="0"/>
                    <w:widowControl w:val="0"/>
                    <w:kinsoku/>
                    <w:wordWrap/>
                    <w:overflowPunct/>
                    <w:topLinePunct w:val="0"/>
                    <w:autoSpaceDE/>
                    <w:autoSpaceDN/>
                    <w:bidi w:val="0"/>
                    <w:adjustRightInd w:val="0"/>
                    <w:snapToGrid w:val="0"/>
                    <w:textAlignment w:val="auto"/>
                    <w:rPr>
                      <w:color w:val="auto"/>
                      <w:spacing w:val="0"/>
                      <w:kern w:val="0"/>
                    </w:rPr>
                  </w:pPr>
                  <w:r>
                    <w:rPr>
                      <w:color w:val="auto"/>
                      <w:spacing w:val="0"/>
                      <w:kern w:val="0"/>
                    </w:rPr>
                    <w:t>企业使用涂料、油墨、清洗剂、胶黏剂等产品应符合相关标准中VOCs含量的限值要求。</w:t>
                  </w:r>
                </w:p>
              </w:tc>
              <w:tc>
                <w:tcPr>
                  <w:tcW w:w="1862" w:type="pct"/>
                  <w:vMerge w:val="continue"/>
                  <w:tcBorders>
                    <w:tl2br w:val="nil"/>
                    <w:tr2bl w:val="nil"/>
                  </w:tcBorders>
                  <w:vAlign w:val="center"/>
                </w:tcPr>
                <w:p w14:paraId="702D38AD">
                  <w:pPr>
                    <w:pStyle w:val="558"/>
                    <w:keepNext w:val="0"/>
                    <w:keepLines w:val="0"/>
                    <w:pageBreakBefore w:val="0"/>
                    <w:widowControl w:val="0"/>
                    <w:kinsoku/>
                    <w:wordWrap/>
                    <w:overflowPunct/>
                    <w:topLinePunct w:val="0"/>
                    <w:autoSpaceDE/>
                    <w:autoSpaceDN/>
                    <w:bidi w:val="0"/>
                    <w:adjustRightInd w:val="0"/>
                    <w:snapToGrid w:val="0"/>
                    <w:textAlignment w:val="auto"/>
                    <w:rPr>
                      <w:color w:val="auto"/>
                      <w:spacing w:val="0"/>
                      <w:kern w:val="0"/>
                    </w:rPr>
                  </w:pPr>
                </w:p>
              </w:tc>
              <w:tc>
                <w:tcPr>
                  <w:tcW w:w="485" w:type="pct"/>
                  <w:tcBorders>
                    <w:tl2br w:val="nil"/>
                    <w:tr2bl w:val="nil"/>
                  </w:tcBorders>
                  <w:vAlign w:val="center"/>
                </w:tcPr>
                <w:p w14:paraId="5F97D9ED">
                  <w:pPr>
                    <w:keepNext w:val="0"/>
                    <w:keepLines w:val="0"/>
                    <w:pageBreakBefore w:val="0"/>
                    <w:widowControl w:val="0"/>
                    <w:kinsoku/>
                    <w:wordWrap/>
                    <w:overflowPunct/>
                    <w:topLinePunct w:val="0"/>
                    <w:autoSpaceDE/>
                    <w:autoSpaceDN/>
                    <w:bidi w:val="0"/>
                    <w:adjustRightInd w:val="0"/>
                    <w:snapToGrid w:val="0"/>
                    <w:jc w:val="center"/>
                    <w:textAlignment w:val="auto"/>
                    <w:rPr>
                      <w:color w:val="auto"/>
                      <w:spacing w:val="0"/>
                      <w:kern w:val="0"/>
                    </w:rPr>
                  </w:pPr>
                  <w:r>
                    <w:rPr>
                      <w:color w:val="auto"/>
                      <w:spacing w:val="0"/>
                      <w:kern w:val="0"/>
                    </w:rPr>
                    <w:t>相符</w:t>
                  </w:r>
                </w:p>
              </w:tc>
            </w:tr>
            <w:tr w14:paraId="2DF59A4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768" w:type="pct"/>
                  <w:vMerge w:val="continue"/>
                  <w:tcBorders>
                    <w:tl2br w:val="nil"/>
                    <w:tr2bl w:val="nil"/>
                  </w:tcBorders>
                  <w:vAlign w:val="center"/>
                </w:tcPr>
                <w:p w14:paraId="46B25D57">
                  <w:pPr>
                    <w:pStyle w:val="558"/>
                    <w:keepNext w:val="0"/>
                    <w:keepLines w:val="0"/>
                    <w:pageBreakBefore w:val="0"/>
                    <w:widowControl w:val="0"/>
                    <w:kinsoku/>
                    <w:wordWrap/>
                    <w:overflowPunct/>
                    <w:topLinePunct w:val="0"/>
                    <w:autoSpaceDE/>
                    <w:autoSpaceDN/>
                    <w:bidi w:val="0"/>
                    <w:adjustRightInd w:val="0"/>
                    <w:snapToGrid w:val="0"/>
                    <w:textAlignment w:val="auto"/>
                    <w:rPr>
                      <w:b/>
                      <w:bCs/>
                      <w:color w:val="auto"/>
                      <w:spacing w:val="0"/>
                      <w:kern w:val="0"/>
                    </w:rPr>
                  </w:pPr>
                </w:p>
              </w:tc>
              <w:tc>
                <w:tcPr>
                  <w:tcW w:w="1883" w:type="pct"/>
                  <w:gridSpan w:val="2"/>
                  <w:tcBorders>
                    <w:tl2br w:val="nil"/>
                    <w:tr2bl w:val="nil"/>
                  </w:tcBorders>
                  <w:vAlign w:val="center"/>
                </w:tcPr>
                <w:p w14:paraId="223999C0">
                  <w:pPr>
                    <w:pStyle w:val="558"/>
                    <w:keepNext w:val="0"/>
                    <w:keepLines w:val="0"/>
                    <w:pageBreakBefore w:val="0"/>
                    <w:widowControl w:val="0"/>
                    <w:kinsoku/>
                    <w:wordWrap/>
                    <w:overflowPunct/>
                    <w:topLinePunct w:val="0"/>
                    <w:autoSpaceDE/>
                    <w:autoSpaceDN/>
                    <w:bidi w:val="0"/>
                    <w:adjustRightInd w:val="0"/>
                    <w:snapToGrid w:val="0"/>
                    <w:textAlignment w:val="auto"/>
                    <w:rPr>
                      <w:color w:val="auto"/>
                      <w:spacing w:val="0"/>
                      <w:kern w:val="0"/>
                    </w:rPr>
                  </w:pPr>
                  <w:r>
                    <w:rPr>
                      <w:color w:val="auto"/>
                      <w:spacing w:val="0"/>
                      <w:kern w:val="0"/>
                    </w:rPr>
                    <w:t>禁止建设生产和使用高VOCs含量的涂料、油墨、胶黏剂等项目。</w:t>
                  </w:r>
                </w:p>
              </w:tc>
              <w:tc>
                <w:tcPr>
                  <w:tcW w:w="1862" w:type="pct"/>
                  <w:vMerge w:val="continue"/>
                  <w:tcBorders>
                    <w:tl2br w:val="nil"/>
                    <w:tr2bl w:val="nil"/>
                  </w:tcBorders>
                  <w:vAlign w:val="center"/>
                </w:tcPr>
                <w:p w14:paraId="61C3B7B1">
                  <w:pPr>
                    <w:pStyle w:val="558"/>
                    <w:keepNext w:val="0"/>
                    <w:keepLines w:val="0"/>
                    <w:pageBreakBefore w:val="0"/>
                    <w:widowControl w:val="0"/>
                    <w:kinsoku/>
                    <w:wordWrap/>
                    <w:overflowPunct/>
                    <w:topLinePunct w:val="0"/>
                    <w:autoSpaceDE/>
                    <w:autoSpaceDN/>
                    <w:bidi w:val="0"/>
                    <w:adjustRightInd w:val="0"/>
                    <w:snapToGrid w:val="0"/>
                    <w:textAlignment w:val="auto"/>
                    <w:rPr>
                      <w:color w:val="auto"/>
                      <w:spacing w:val="0"/>
                      <w:kern w:val="0"/>
                    </w:rPr>
                  </w:pPr>
                </w:p>
              </w:tc>
              <w:tc>
                <w:tcPr>
                  <w:tcW w:w="485" w:type="pct"/>
                  <w:tcBorders>
                    <w:tl2br w:val="nil"/>
                    <w:tr2bl w:val="nil"/>
                  </w:tcBorders>
                  <w:vAlign w:val="center"/>
                </w:tcPr>
                <w:p w14:paraId="136021D7">
                  <w:pPr>
                    <w:keepNext w:val="0"/>
                    <w:keepLines w:val="0"/>
                    <w:pageBreakBefore w:val="0"/>
                    <w:widowControl w:val="0"/>
                    <w:kinsoku/>
                    <w:wordWrap/>
                    <w:overflowPunct/>
                    <w:topLinePunct w:val="0"/>
                    <w:autoSpaceDE/>
                    <w:autoSpaceDN/>
                    <w:bidi w:val="0"/>
                    <w:adjustRightInd w:val="0"/>
                    <w:snapToGrid w:val="0"/>
                    <w:jc w:val="center"/>
                    <w:textAlignment w:val="auto"/>
                    <w:rPr>
                      <w:color w:val="auto"/>
                      <w:spacing w:val="0"/>
                      <w:kern w:val="0"/>
                    </w:rPr>
                  </w:pPr>
                  <w:r>
                    <w:rPr>
                      <w:color w:val="auto"/>
                      <w:spacing w:val="0"/>
                      <w:kern w:val="0"/>
                    </w:rPr>
                    <w:t>相符</w:t>
                  </w:r>
                </w:p>
              </w:tc>
            </w:tr>
            <w:tr w14:paraId="6BB3997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768" w:type="pct"/>
                  <w:vMerge w:val="restart"/>
                  <w:tcBorders>
                    <w:tl2br w:val="nil"/>
                    <w:tr2bl w:val="nil"/>
                  </w:tcBorders>
                  <w:vAlign w:val="center"/>
                </w:tcPr>
                <w:p w14:paraId="7FAAE2F7">
                  <w:pPr>
                    <w:pStyle w:val="558"/>
                    <w:keepNext w:val="0"/>
                    <w:keepLines w:val="0"/>
                    <w:pageBreakBefore w:val="0"/>
                    <w:widowControl w:val="0"/>
                    <w:kinsoku/>
                    <w:wordWrap/>
                    <w:overflowPunct/>
                    <w:topLinePunct w:val="0"/>
                    <w:autoSpaceDE/>
                    <w:autoSpaceDN/>
                    <w:bidi w:val="0"/>
                    <w:adjustRightInd w:val="0"/>
                    <w:snapToGrid w:val="0"/>
                    <w:textAlignment w:val="auto"/>
                    <w:rPr>
                      <w:b/>
                      <w:color w:val="auto"/>
                      <w:spacing w:val="0"/>
                      <w:kern w:val="0"/>
                    </w:rPr>
                  </w:pPr>
                  <w:r>
                    <w:rPr>
                      <w:b/>
                      <w:color w:val="auto"/>
                      <w:spacing w:val="0"/>
                      <w:kern w:val="0"/>
                    </w:rPr>
                    <w:t>《太湖流域管理条例》</w:t>
                  </w:r>
                </w:p>
              </w:tc>
              <w:tc>
                <w:tcPr>
                  <w:tcW w:w="1883" w:type="pct"/>
                  <w:gridSpan w:val="2"/>
                  <w:tcBorders>
                    <w:tl2br w:val="nil"/>
                    <w:tr2bl w:val="nil"/>
                  </w:tcBorders>
                  <w:vAlign w:val="center"/>
                </w:tcPr>
                <w:p w14:paraId="5B88CE7C">
                  <w:pPr>
                    <w:keepNext w:val="0"/>
                    <w:keepLines w:val="0"/>
                    <w:pageBreakBefore w:val="0"/>
                    <w:widowControl w:val="0"/>
                    <w:kinsoku/>
                    <w:wordWrap/>
                    <w:overflowPunct/>
                    <w:topLinePunct w:val="0"/>
                    <w:autoSpaceDE/>
                    <w:autoSpaceDN/>
                    <w:bidi w:val="0"/>
                    <w:adjustRightInd w:val="0"/>
                    <w:snapToGrid w:val="0"/>
                    <w:jc w:val="center"/>
                    <w:textAlignment w:val="auto"/>
                    <w:rPr>
                      <w:color w:val="auto"/>
                      <w:spacing w:val="0"/>
                      <w:kern w:val="0"/>
                    </w:rPr>
                  </w:pPr>
                  <w:r>
                    <w:rPr>
                      <w:color w:val="auto"/>
                      <w:spacing w:val="0"/>
                      <w:kern w:val="0"/>
                    </w:rPr>
                    <w:t>排污单位排放水污染物，不得超过经核定的水污染物排放总量，并应当按照规定设置便于检查、采样的规范化排污口，悬挂标志牌；不得私设暗管或者采取其他规避监管的方式排放水污染物。</w:t>
                  </w:r>
                </w:p>
              </w:tc>
              <w:tc>
                <w:tcPr>
                  <w:tcW w:w="1862" w:type="pct"/>
                  <w:tcBorders>
                    <w:tl2br w:val="nil"/>
                    <w:tr2bl w:val="nil"/>
                  </w:tcBorders>
                  <w:vAlign w:val="center"/>
                </w:tcPr>
                <w:p w14:paraId="019DC4CD">
                  <w:pPr>
                    <w:keepNext w:val="0"/>
                    <w:keepLines w:val="0"/>
                    <w:pageBreakBefore w:val="0"/>
                    <w:widowControl w:val="0"/>
                    <w:kinsoku/>
                    <w:wordWrap/>
                    <w:overflowPunct/>
                    <w:topLinePunct w:val="0"/>
                    <w:autoSpaceDE/>
                    <w:autoSpaceDN/>
                    <w:bidi w:val="0"/>
                    <w:adjustRightInd w:val="0"/>
                    <w:snapToGrid w:val="0"/>
                    <w:jc w:val="center"/>
                    <w:textAlignment w:val="auto"/>
                    <w:rPr>
                      <w:color w:val="auto"/>
                      <w:spacing w:val="0"/>
                      <w:kern w:val="0"/>
                    </w:rPr>
                  </w:pPr>
                  <w:r>
                    <w:rPr>
                      <w:color w:val="auto"/>
                      <w:spacing w:val="0"/>
                      <w:kern w:val="0"/>
                    </w:rPr>
                    <w:t>本次环评要求建设单位申请水污染物排放总量，按照规定设置便于检查、采样的规范化排放口，悬挂标志牌；建设单位不得私设暗管或者采取其他规范监管的方式排放水污染物</w:t>
                  </w:r>
                </w:p>
              </w:tc>
              <w:tc>
                <w:tcPr>
                  <w:tcW w:w="485" w:type="pct"/>
                  <w:tcBorders>
                    <w:tl2br w:val="nil"/>
                    <w:tr2bl w:val="nil"/>
                  </w:tcBorders>
                  <w:vAlign w:val="center"/>
                </w:tcPr>
                <w:p w14:paraId="550959E1">
                  <w:pPr>
                    <w:pStyle w:val="558"/>
                    <w:keepNext w:val="0"/>
                    <w:keepLines w:val="0"/>
                    <w:pageBreakBefore w:val="0"/>
                    <w:widowControl w:val="0"/>
                    <w:kinsoku/>
                    <w:wordWrap/>
                    <w:overflowPunct/>
                    <w:topLinePunct w:val="0"/>
                    <w:autoSpaceDE/>
                    <w:autoSpaceDN/>
                    <w:bidi w:val="0"/>
                    <w:adjustRightInd w:val="0"/>
                    <w:snapToGrid w:val="0"/>
                    <w:textAlignment w:val="auto"/>
                    <w:rPr>
                      <w:color w:val="auto"/>
                      <w:spacing w:val="0"/>
                      <w:kern w:val="0"/>
                    </w:rPr>
                  </w:pPr>
                  <w:r>
                    <w:rPr>
                      <w:color w:val="auto"/>
                      <w:spacing w:val="0"/>
                      <w:kern w:val="0"/>
                    </w:rPr>
                    <w:t>相符</w:t>
                  </w:r>
                </w:p>
              </w:tc>
            </w:tr>
            <w:tr w14:paraId="3BB37BD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768" w:type="pct"/>
                  <w:vMerge w:val="continue"/>
                  <w:tcBorders>
                    <w:tl2br w:val="nil"/>
                    <w:tr2bl w:val="nil"/>
                  </w:tcBorders>
                  <w:vAlign w:val="center"/>
                </w:tcPr>
                <w:p w14:paraId="0C3E7D68">
                  <w:pPr>
                    <w:keepNext w:val="0"/>
                    <w:keepLines w:val="0"/>
                    <w:pageBreakBefore w:val="0"/>
                    <w:widowControl w:val="0"/>
                    <w:kinsoku/>
                    <w:wordWrap/>
                    <w:overflowPunct/>
                    <w:topLinePunct w:val="0"/>
                    <w:autoSpaceDE/>
                    <w:autoSpaceDN/>
                    <w:bidi w:val="0"/>
                    <w:adjustRightInd w:val="0"/>
                    <w:snapToGrid w:val="0"/>
                    <w:jc w:val="center"/>
                    <w:textAlignment w:val="auto"/>
                    <w:rPr>
                      <w:color w:val="auto"/>
                      <w:spacing w:val="0"/>
                      <w:kern w:val="0"/>
                    </w:rPr>
                  </w:pPr>
                </w:p>
              </w:tc>
              <w:tc>
                <w:tcPr>
                  <w:tcW w:w="1883" w:type="pct"/>
                  <w:gridSpan w:val="2"/>
                  <w:tcBorders>
                    <w:tl2br w:val="nil"/>
                    <w:tr2bl w:val="nil"/>
                  </w:tcBorders>
                  <w:vAlign w:val="center"/>
                </w:tcPr>
                <w:p w14:paraId="0820B671">
                  <w:pPr>
                    <w:keepNext w:val="0"/>
                    <w:keepLines w:val="0"/>
                    <w:pageBreakBefore w:val="0"/>
                    <w:widowControl w:val="0"/>
                    <w:kinsoku/>
                    <w:wordWrap/>
                    <w:overflowPunct/>
                    <w:topLinePunct w:val="0"/>
                    <w:autoSpaceDE/>
                    <w:autoSpaceDN/>
                    <w:bidi w:val="0"/>
                    <w:adjustRightInd w:val="0"/>
                    <w:snapToGrid w:val="0"/>
                    <w:jc w:val="center"/>
                    <w:textAlignment w:val="auto"/>
                    <w:rPr>
                      <w:color w:val="auto"/>
                      <w:spacing w:val="0"/>
                      <w:kern w:val="0"/>
                    </w:rPr>
                  </w:pPr>
                  <w:r>
                    <w:rPr>
                      <w:color w:val="auto"/>
                      <w:spacing w:val="0"/>
                      <w:kern w:val="0"/>
                    </w:rPr>
                    <w:t>禁止在太湖流域设置不符合国家产业政策和水环境综合治理要求的造纸、制革、酒精、淀粉、冶金、酿造、印染、电镀等排放水污染物的生产项目，现有生产项目不能实现达标排放的，应当依法关闭。</w:t>
                  </w:r>
                </w:p>
              </w:tc>
              <w:tc>
                <w:tcPr>
                  <w:tcW w:w="1862" w:type="pct"/>
                  <w:tcBorders>
                    <w:tl2br w:val="nil"/>
                    <w:tr2bl w:val="nil"/>
                  </w:tcBorders>
                  <w:vAlign w:val="center"/>
                </w:tcPr>
                <w:p w14:paraId="6DCB5538">
                  <w:pPr>
                    <w:keepNext w:val="0"/>
                    <w:keepLines w:val="0"/>
                    <w:pageBreakBefore w:val="0"/>
                    <w:widowControl w:val="0"/>
                    <w:kinsoku/>
                    <w:wordWrap/>
                    <w:overflowPunct/>
                    <w:topLinePunct w:val="0"/>
                    <w:autoSpaceDE/>
                    <w:autoSpaceDN/>
                    <w:bidi w:val="0"/>
                    <w:adjustRightInd w:val="0"/>
                    <w:snapToGrid w:val="0"/>
                    <w:jc w:val="center"/>
                    <w:textAlignment w:val="auto"/>
                    <w:rPr>
                      <w:color w:val="auto"/>
                      <w:spacing w:val="0"/>
                      <w:kern w:val="0"/>
                    </w:rPr>
                  </w:pPr>
                  <w:r>
                    <w:rPr>
                      <w:color w:val="auto"/>
                      <w:spacing w:val="0"/>
                      <w:kern w:val="0"/>
                    </w:rPr>
                    <w:t>本项目</w:t>
                  </w:r>
                  <w:r>
                    <w:rPr>
                      <w:rFonts w:hint="eastAsia"/>
                      <w:color w:val="auto"/>
                      <w:spacing w:val="0"/>
                      <w:kern w:val="0"/>
                    </w:rPr>
                    <w:t>属于</w:t>
                  </w:r>
                  <w:r>
                    <w:rPr>
                      <w:rFonts w:hint="eastAsia"/>
                      <w:bCs/>
                      <w:color w:val="auto"/>
                      <w:spacing w:val="0"/>
                      <w:kern w:val="0"/>
                      <w:lang w:eastAsia="zh-CN"/>
                    </w:rPr>
                    <w:t>C3811发电机及发电机组制造</w:t>
                  </w:r>
                  <w:r>
                    <w:rPr>
                      <w:color w:val="auto"/>
                      <w:spacing w:val="0"/>
                      <w:kern w:val="0"/>
                    </w:rPr>
                    <w:t>，不属于禁止类项目，无生产废水排放</w:t>
                  </w:r>
                </w:p>
              </w:tc>
              <w:tc>
                <w:tcPr>
                  <w:tcW w:w="485" w:type="pct"/>
                  <w:tcBorders>
                    <w:tl2br w:val="nil"/>
                    <w:tr2bl w:val="nil"/>
                  </w:tcBorders>
                  <w:vAlign w:val="center"/>
                </w:tcPr>
                <w:p w14:paraId="53E1FDE3">
                  <w:pPr>
                    <w:pStyle w:val="558"/>
                    <w:keepNext w:val="0"/>
                    <w:keepLines w:val="0"/>
                    <w:pageBreakBefore w:val="0"/>
                    <w:widowControl w:val="0"/>
                    <w:kinsoku/>
                    <w:wordWrap/>
                    <w:overflowPunct/>
                    <w:topLinePunct w:val="0"/>
                    <w:autoSpaceDE/>
                    <w:autoSpaceDN/>
                    <w:bidi w:val="0"/>
                    <w:adjustRightInd w:val="0"/>
                    <w:snapToGrid w:val="0"/>
                    <w:textAlignment w:val="auto"/>
                    <w:rPr>
                      <w:color w:val="auto"/>
                      <w:spacing w:val="0"/>
                      <w:kern w:val="0"/>
                    </w:rPr>
                  </w:pPr>
                  <w:r>
                    <w:rPr>
                      <w:color w:val="auto"/>
                      <w:spacing w:val="0"/>
                      <w:kern w:val="0"/>
                    </w:rPr>
                    <w:t>相符</w:t>
                  </w:r>
                </w:p>
              </w:tc>
            </w:tr>
            <w:tr w14:paraId="4118AC2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768" w:type="pct"/>
                  <w:vMerge w:val="continue"/>
                  <w:tcBorders>
                    <w:tl2br w:val="nil"/>
                    <w:tr2bl w:val="nil"/>
                  </w:tcBorders>
                  <w:vAlign w:val="center"/>
                </w:tcPr>
                <w:p w14:paraId="650EB6C8">
                  <w:pPr>
                    <w:keepNext w:val="0"/>
                    <w:keepLines w:val="0"/>
                    <w:pageBreakBefore w:val="0"/>
                    <w:widowControl w:val="0"/>
                    <w:kinsoku/>
                    <w:wordWrap/>
                    <w:overflowPunct/>
                    <w:topLinePunct w:val="0"/>
                    <w:autoSpaceDE/>
                    <w:autoSpaceDN/>
                    <w:bidi w:val="0"/>
                    <w:adjustRightInd w:val="0"/>
                    <w:snapToGrid w:val="0"/>
                    <w:jc w:val="center"/>
                    <w:textAlignment w:val="auto"/>
                    <w:rPr>
                      <w:color w:val="auto"/>
                      <w:spacing w:val="0"/>
                      <w:kern w:val="0"/>
                    </w:rPr>
                  </w:pPr>
                </w:p>
              </w:tc>
              <w:tc>
                <w:tcPr>
                  <w:tcW w:w="1883" w:type="pct"/>
                  <w:gridSpan w:val="2"/>
                  <w:tcBorders>
                    <w:tl2br w:val="nil"/>
                    <w:tr2bl w:val="nil"/>
                  </w:tcBorders>
                  <w:vAlign w:val="center"/>
                </w:tcPr>
                <w:p w14:paraId="2B8EE5DF">
                  <w:pPr>
                    <w:keepNext w:val="0"/>
                    <w:keepLines w:val="0"/>
                    <w:pageBreakBefore w:val="0"/>
                    <w:widowControl w:val="0"/>
                    <w:kinsoku/>
                    <w:wordWrap/>
                    <w:overflowPunct/>
                    <w:topLinePunct w:val="0"/>
                    <w:autoSpaceDE/>
                    <w:autoSpaceDN/>
                    <w:bidi w:val="0"/>
                    <w:adjustRightInd w:val="0"/>
                    <w:snapToGrid w:val="0"/>
                    <w:jc w:val="center"/>
                    <w:textAlignment w:val="auto"/>
                    <w:rPr>
                      <w:color w:val="auto"/>
                      <w:spacing w:val="0"/>
                      <w:kern w:val="0"/>
                    </w:rPr>
                  </w:pPr>
                  <w:r>
                    <w:rPr>
                      <w:color w:val="auto"/>
                      <w:spacing w:val="0"/>
                      <w:kern w:val="0"/>
                    </w:rPr>
                    <w:t>在太湖流域新设企业应当符合国家规定的清洁生产要求，现有的企业尚未达到清洁生产要求的，应当按照清洁生产规划要求进行技术改造，两省一市人民政府应当加强监督检查。</w:t>
                  </w:r>
                </w:p>
              </w:tc>
              <w:tc>
                <w:tcPr>
                  <w:tcW w:w="1862" w:type="pct"/>
                  <w:tcBorders>
                    <w:tl2br w:val="nil"/>
                    <w:tr2bl w:val="nil"/>
                  </w:tcBorders>
                  <w:vAlign w:val="center"/>
                </w:tcPr>
                <w:p w14:paraId="62F2ED91">
                  <w:pPr>
                    <w:keepNext w:val="0"/>
                    <w:keepLines w:val="0"/>
                    <w:pageBreakBefore w:val="0"/>
                    <w:widowControl w:val="0"/>
                    <w:kinsoku/>
                    <w:wordWrap/>
                    <w:overflowPunct/>
                    <w:topLinePunct w:val="0"/>
                    <w:autoSpaceDE/>
                    <w:autoSpaceDN/>
                    <w:bidi w:val="0"/>
                    <w:adjustRightInd w:val="0"/>
                    <w:snapToGrid w:val="0"/>
                    <w:jc w:val="center"/>
                    <w:textAlignment w:val="auto"/>
                    <w:rPr>
                      <w:color w:val="auto"/>
                      <w:spacing w:val="0"/>
                      <w:kern w:val="0"/>
                    </w:rPr>
                  </w:pPr>
                  <w:r>
                    <w:rPr>
                      <w:color w:val="auto"/>
                      <w:spacing w:val="0"/>
                      <w:kern w:val="0"/>
                    </w:rPr>
                    <w:t>项目为</w:t>
                  </w:r>
                  <w:r>
                    <w:rPr>
                      <w:rFonts w:hint="eastAsia"/>
                      <w:color w:val="auto"/>
                      <w:spacing w:val="0"/>
                      <w:kern w:val="0"/>
                    </w:rPr>
                    <w:t>新建</w:t>
                  </w:r>
                  <w:r>
                    <w:rPr>
                      <w:color w:val="auto"/>
                      <w:spacing w:val="0"/>
                      <w:kern w:val="0"/>
                    </w:rPr>
                    <w:t>项目，将使用符合国家规定的清洁生产要求的生产工艺和设备</w:t>
                  </w:r>
                </w:p>
              </w:tc>
              <w:tc>
                <w:tcPr>
                  <w:tcW w:w="485" w:type="pct"/>
                  <w:tcBorders>
                    <w:tl2br w:val="nil"/>
                    <w:tr2bl w:val="nil"/>
                  </w:tcBorders>
                  <w:vAlign w:val="center"/>
                </w:tcPr>
                <w:p w14:paraId="16C4F621">
                  <w:pPr>
                    <w:pStyle w:val="558"/>
                    <w:keepNext w:val="0"/>
                    <w:keepLines w:val="0"/>
                    <w:pageBreakBefore w:val="0"/>
                    <w:widowControl w:val="0"/>
                    <w:kinsoku/>
                    <w:wordWrap/>
                    <w:overflowPunct/>
                    <w:topLinePunct w:val="0"/>
                    <w:autoSpaceDE/>
                    <w:autoSpaceDN/>
                    <w:bidi w:val="0"/>
                    <w:adjustRightInd w:val="0"/>
                    <w:snapToGrid w:val="0"/>
                    <w:textAlignment w:val="auto"/>
                    <w:rPr>
                      <w:color w:val="auto"/>
                      <w:spacing w:val="0"/>
                      <w:kern w:val="0"/>
                    </w:rPr>
                  </w:pPr>
                  <w:r>
                    <w:rPr>
                      <w:color w:val="auto"/>
                      <w:spacing w:val="0"/>
                      <w:kern w:val="0"/>
                    </w:rPr>
                    <w:t>相符</w:t>
                  </w:r>
                </w:p>
              </w:tc>
            </w:tr>
            <w:tr w14:paraId="33F5C23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768" w:type="pct"/>
                  <w:vMerge w:val="restart"/>
                  <w:tcBorders>
                    <w:tl2br w:val="nil"/>
                    <w:tr2bl w:val="nil"/>
                  </w:tcBorders>
                  <w:vAlign w:val="center"/>
                </w:tcPr>
                <w:p w14:paraId="27D87F5C">
                  <w:pPr>
                    <w:pStyle w:val="558"/>
                    <w:keepNext w:val="0"/>
                    <w:keepLines w:val="0"/>
                    <w:pageBreakBefore w:val="0"/>
                    <w:widowControl w:val="0"/>
                    <w:kinsoku/>
                    <w:wordWrap/>
                    <w:overflowPunct/>
                    <w:topLinePunct w:val="0"/>
                    <w:autoSpaceDE/>
                    <w:autoSpaceDN/>
                    <w:bidi w:val="0"/>
                    <w:adjustRightInd w:val="0"/>
                    <w:snapToGrid w:val="0"/>
                    <w:textAlignment w:val="auto"/>
                    <w:rPr>
                      <w:b/>
                      <w:color w:val="auto"/>
                      <w:spacing w:val="0"/>
                      <w:kern w:val="0"/>
                    </w:rPr>
                  </w:pPr>
                  <w:r>
                    <w:rPr>
                      <w:b/>
                      <w:color w:val="auto"/>
                      <w:spacing w:val="0"/>
                      <w:kern w:val="0"/>
                    </w:rPr>
                    <w:t>《江苏省太湖水污染防治条例》</w:t>
                  </w:r>
                </w:p>
              </w:tc>
              <w:tc>
                <w:tcPr>
                  <w:tcW w:w="1883" w:type="pct"/>
                  <w:gridSpan w:val="2"/>
                  <w:tcBorders>
                    <w:tl2br w:val="nil"/>
                    <w:tr2bl w:val="nil"/>
                  </w:tcBorders>
                  <w:vAlign w:val="center"/>
                </w:tcPr>
                <w:p w14:paraId="3F22692E">
                  <w:pPr>
                    <w:keepNext w:val="0"/>
                    <w:keepLines w:val="0"/>
                    <w:pageBreakBefore w:val="0"/>
                    <w:widowControl w:val="0"/>
                    <w:kinsoku/>
                    <w:wordWrap/>
                    <w:overflowPunct/>
                    <w:topLinePunct w:val="0"/>
                    <w:autoSpaceDE/>
                    <w:autoSpaceDN/>
                    <w:bidi w:val="0"/>
                    <w:adjustRightInd w:val="0"/>
                    <w:snapToGrid w:val="0"/>
                    <w:jc w:val="center"/>
                    <w:textAlignment w:val="auto"/>
                    <w:rPr>
                      <w:color w:val="auto"/>
                      <w:spacing w:val="0"/>
                      <w:kern w:val="0"/>
                    </w:rPr>
                  </w:pPr>
                  <w:r>
                    <w:rPr>
                      <w:color w:val="auto"/>
                      <w:spacing w:val="0"/>
                      <w:kern w:val="0"/>
                    </w:rPr>
                    <w:t>在太湖流域新建、改建、扩建可能产生水污染的建设项目应当依法进行环境影响评价。</w:t>
                  </w:r>
                </w:p>
              </w:tc>
              <w:tc>
                <w:tcPr>
                  <w:tcW w:w="1862" w:type="pct"/>
                  <w:tcBorders>
                    <w:tl2br w:val="nil"/>
                    <w:tr2bl w:val="nil"/>
                  </w:tcBorders>
                  <w:vAlign w:val="center"/>
                </w:tcPr>
                <w:p w14:paraId="5EFF2E71">
                  <w:pPr>
                    <w:keepNext w:val="0"/>
                    <w:keepLines w:val="0"/>
                    <w:pageBreakBefore w:val="0"/>
                    <w:widowControl w:val="0"/>
                    <w:kinsoku/>
                    <w:wordWrap/>
                    <w:overflowPunct/>
                    <w:topLinePunct w:val="0"/>
                    <w:autoSpaceDE/>
                    <w:autoSpaceDN/>
                    <w:bidi w:val="0"/>
                    <w:adjustRightInd w:val="0"/>
                    <w:snapToGrid w:val="0"/>
                    <w:jc w:val="center"/>
                    <w:textAlignment w:val="auto"/>
                    <w:rPr>
                      <w:color w:val="auto"/>
                      <w:spacing w:val="0"/>
                      <w:kern w:val="0"/>
                    </w:rPr>
                  </w:pPr>
                  <w:r>
                    <w:rPr>
                      <w:color w:val="auto"/>
                      <w:spacing w:val="0"/>
                      <w:kern w:val="0"/>
                    </w:rPr>
                    <w:t>本项目目前正在进行环境影响评价</w:t>
                  </w:r>
                </w:p>
              </w:tc>
              <w:tc>
                <w:tcPr>
                  <w:tcW w:w="485" w:type="pct"/>
                  <w:tcBorders>
                    <w:tl2br w:val="nil"/>
                    <w:tr2bl w:val="nil"/>
                  </w:tcBorders>
                  <w:vAlign w:val="center"/>
                </w:tcPr>
                <w:p w14:paraId="5C0E8712">
                  <w:pPr>
                    <w:pStyle w:val="558"/>
                    <w:keepNext w:val="0"/>
                    <w:keepLines w:val="0"/>
                    <w:pageBreakBefore w:val="0"/>
                    <w:widowControl w:val="0"/>
                    <w:kinsoku/>
                    <w:wordWrap/>
                    <w:overflowPunct/>
                    <w:topLinePunct w:val="0"/>
                    <w:autoSpaceDE/>
                    <w:autoSpaceDN/>
                    <w:bidi w:val="0"/>
                    <w:adjustRightInd w:val="0"/>
                    <w:snapToGrid w:val="0"/>
                    <w:textAlignment w:val="auto"/>
                    <w:rPr>
                      <w:color w:val="auto"/>
                      <w:spacing w:val="0"/>
                      <w:kern w:val="0"/>
                    </w:rPr>
                  </w:pPr>
                  <w:r>
                    <w:rPr>
                      <w:color w:val="auto"/>
                      <w:spacing w:val="0"/>
                      <w:kern w:val="0"/>
                    </w:rPr>
                    <w:t>相符</w:t>
                  </w:r>
                </w:p>
              </w:tc>
            </w:tr>
            <w:tr w14:paraId="586842C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768" w:type="pct"/>
                  <w:vMerge w:val="continue"/>
                  <w:tcBorders>
                    <w:tl2br w:val="nil"/>
                    <w:tr2bl w:val="nil"/>
                  </w:tcBorders>
                  <w:vAlign w:val="center"/>
                </w:tcPr>
                <w:p w14:paraId="1F916837">
                  <w:pPr>
                    <w:keepNext w:val="0"/>
                    <w:keepLines w:val="0"/>
                    <w:pageBreakBefore w:val="0"/>
                    <w:widowControl w:val="0"/>
                    <w:kinsoku/>
                    <w:wordWrap/>
                    <w:overflowPunct/>
                    <w:topLinePunct w:val="0"/>
                    <w:autoSpaceDE/>
                    <w:autoSpaceDN/>
                    <w:bidi w:val="0"/>
                    <w:adjustRightInd w:val="0"/>
                    <w:snapToGrid w:val="0"/>
                    <w:jc w:val="center"/>
                    <w:textAlignment w:val="auto"/>
                    <w:rPr>
                      <w:color w:val="auto"/>
                      <w:spacing w:val="0"/>
                      <w:kern w:val="0"/>
                    </w:rPr>
                  </w:pPr>
                </w:p>
              </w:tc>
              <w:tc>
                <w:tcPr>
                  <w:tcW w:w="1883" w:type="pct"/>
                  <w:gridSpan w:val="2"/>
                  <w:tcBorders>
                    <w:tl2br w:val="nil"/>
                    <w:tr2bl w:val="nil"/>
                  </w:tcBorders>
                  <w:vAlign w:val="center"/>
                </w:tcPr>
                <w:p w14:paraId="00D3AF40">
                  <w:pPr>
                    <w:keepNext w:val="0"/>
                    <w:keepLines w:val="0"/>
                    <w:pageBreakBefore w:val="0"/>
                    <w:widowControl w:val="0"/>
                    <w:kinsoku/>
                    <w:wordWrap/>
                    <w:overflowPunct/>
                    <w:topLinePunct w:val="0"/>
                    <w:autoSpaceDE/>
                    <w:autoSpaceDN/>
                    <w:bidi w:val="0"/>
                    <w:adjustRightInd w:val="0"/>
                    <w:snapToGrid w:val="0"/>
                    <w:jc w:val="center"/>
                    <w:textAlignment w:val="auto"/>
                    <w:rPr>
                      <w:color w:val="auto"/>
                      <w:spacing w:val="0"/>
                      <w:kern w:val="0"/>
                    </w:rPr>
                  </w:pPr>
                  <w:r>
                    <w:rPr>
                      <w:color w:val="auto"/>
                      <w:spacing w:val="0"/>
                      <w:kern w:val="0"/>
                    </w:rPr>
                    <w:t>建设项目中防治水污染的设施，应当与主体工程同时设计、同时</w:t>
                  </w:r>
                  <w:r>
                    <w:rPr>
                      <w:color w:val="auto"/>
                      <w:spacing w:val="0"/>
                      <w:kern w:val="0"/>
                    </w:rPr>
                    <w:cr/>
                  </w:r>
                  <w:r>
                    <w:rPr>
                      <w:color w:val="auto"/>
                      <w:spacing w:val="0"/>
                      <w:kern w:val="0"/>
                    </w:rPr>
                    <w:t>施工、同时投产使用。</w:t>
                  </w:r>
                </w:p>
              </w:tc>
              <w:tc>
                <w:tcPr>
                  <w:tcW w:w="1862" w:type="pct"/>
                  <w:tcBorders>
                    <w:tl2br w:val="nil"/>
                    <w:tr2bl w:val="nil"/>
                  </w:tcBorders>
                  <w:vAlign w:val="center"/>
                </w:tcPr>
                <w:p w14:paraId="06863D79">
                  <w:pPr>
                    <w:keepNext w:val="0"/>
                    <w:keepLines w:val="0"/>
                    <w:pageBreakBefore w:val="0"/>
                    <w:widowControl w:val="0"/>
                    <w:kinsoku/>
                    <w:wordWrap/>
                    <w:overflowPunct/>
                    <w:topLinePunct w:val="0"/>
                    <w:autoSpaceDE/>
                    <w:autoSpaceDN/>
                    <w:bidi w:val="0"/>
                    <w:adjustRightInd w:val="0"/>
                    <w:snapToGrid w:val="0"/>
                    <w:jc w:val="center"/>
                    <w:textAlignment w:val="auto"/>
                    <w:rPr>
                      <w:color w:val="auto"/>
                      <w:spacing w:val="0"/>
                      <w:kern w:val="0"/>
                    </w:rPr>
                  </w:pPr>
                  <w:r>
                    <w:rPr>
                      <w:color w:val="auto"/>
                      <w:spacing w:val="0"/>
                      <w:kern w:val="0"/>
                    </w:rPr>
                    <w:t>本次环评要求建设单位严格执行</w:t>
                  </w:r>
                  <w:r>
                    <w:rPr>
                      <w:rFonts w:hint="eastAsia"/>
                      <w:color w:val="auto"/>
                      <w:spacing w:val="0"/>
                      <w:kern w:val="0"/>
                    </w:rPr>
                    <w:t>“</w:t>
                  </w:r>
                  <w:r>
                    <w:rPr>
                      <w:color w:val="auto"/>
                      <w:spacing w:val="0"/>
                      <w:kern w:val="0"/>
                    </w:rPr>
                    <w:t>三同时制度</w:t>
                  </w:r>
                  <w:r>
                    <w:rPr>
                      <w:rFonts w:hint="eastAsia"/>
                      <w:color w:val="auto"/>
                      <w:spacing w:val="0"/>
                      <w:kern w:val="0"/>
                    </w:rPr>
                    <w:t>”</w:t>
                  </w:r>
                </w:p>
              </w:tc>
              <w:tc>
                <w:tcPr>
                  <w:tcW w:w="485" w:type="pct"/>
                  <w:tcBorders>
                    <w:tl2br w:val="nil"/>
                    <w:tr2bl w:val="nil"/>
                  </w:tcBorders>
                  <w:vAlign w:val="center"/>
                </w:tcPr>
                <w:p w14:paraId="61CE9415">
                  <w:pPr>
                    <w:pStyle w:val="558"/>
                    <w:keepNext w:val="0"/>
                    <w:keepLines w:val="0"/>
                    <w:pageBreakBefore w:val="0"/>
                    <w:widowControl w:val="0"/>
                    <w:kinsoku/>
                    <w:wordWrap/>
                    <w:overflowPunct/>
                    <w:topLinePunct w:val="0"/>
                    <w:autoSpaceDE/>
                    <w:autoSpaceDN/>
                    <w:bidi w:val="0"/>
                    <w:adjustRightInd w:val="0"/>
                    <w:snapToGrid w:val="0"/>
                    <w:textAlignment w:val="auto"/>
                    <w:rPr>
                      <w:color w:val="auto"/>
                      <w:spacing w:val="0"/>
                      <w:kern w:val="0"/>
                    </w:rPr>
                  </w:pPr>
                  <w:r>
                    <w:rPr>
                      <w:color w:val="auto"/>
                      <w:spacing w:val="0"/>
                      <w:kern w:val="0"/>
                    </w:rPr>
                    <w:t>相符</w:t>
                  </w:r>
                </w:p>
              </w:tc>
            </w:tr>
            <w:tr w14:paraId="426FF6F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768" w:type="pct"/>
                  <w:vMerge w:val="continue"/>
                  <w:tcBorders>
                    <w:tl2br w:val="nil"/>
                    <w:tr2bl w:val="nil"/>
                  </w:tcBorders>
                  <w:vAlign w:val="center"/>
                </w:tcPr>
                <w:p w14:paraId="438A67F0">
                  <w:pPr>
                    <w:keepNext w:val="0"/>
                    <w:keepLines w:val="0"/>
                    <w:pageBreakBefore w:val="0"/>
                    <w:widowControl w:val="0"/>
                    <w:kinsoku/>
                    <w:wordWrap/>
                    <w:overflowPunct/>
                    <w:topLinePunct w:val="0"/>
                    <w:autoSpaceDE/>
                    <w:autoSpaceDN/>
                    <w:bidi w:val="0"/>
                    <w:adjustRightInd w:val="0"/>
                    <w:snapToGrid w:val="0"/>
                    <w:jc w:val="center"/>
                    <w:textAlignment w:val="auto"/>
                    <w:rPr>
                      <w:color w:val="auto"/>
                      <w:spacing w:val="0"/>
                      <w:kern w:val="0"/>
                    </w:rPr>
                  </w:pPr>
                </w:p>
              </w:tc>
              <w:tc>
                <w:tcPr>
                  <w:tcW w:w="1883" w:type="pct"/>
                  <w:gridSpan w:val="2"/>
                  <w:tcBorders>
                    <w:tl2br w:val="nil"/>
                    <w:tr2bl w:val="nil"/>
                  </w:tcBorders>
                  <w:vAlign w:val="center"/>
                </w:tcPr>
                <w:p w14:paraId="2884156A">
                  <w:pPr>
                    <w:keepNext w:val="0"/>
                    <w:keepLines w:val="0"/>
                    <w:pageBreakBefore w:val="0"/>
                    <w:widowControl w:val="0"/>
                    <w:kinsoku/>
                    <w:wordWrap/>
                    <w:overflowPunct/>
                    <w:topLinePunct w:val="0"/>
                    <w:autoSpaceDE/>
                    <w:autoSpaceDN/>
                    <w:bidi w:val="0"/>
                    <w:adjustRightInd w:val="0"/>
                    <w:snapToGrid w:val="0"/>
                    <w:jc w:val="center"/>
                    <w:textAlignment w:val="auto"/>
                    <w:rPr>
                      <w:color w:val="auto"/>
                      <w:spacing w:val="0"/>
                      <w:kern w:val="0"/>
                    </w:rPr>
                  </w:pPr>
                  <w:r>
                    <w:rPr>
                      <w:color w:val="auto"/>
                      <w:spacing w:val="0"/>
                      <w:kern w:val="0"/>
                    </w:rPr>
                    <w:t>直接或者间接向水体排放污染物的企业事业单位和其他生产经营者应当按照国家和省有关规定设置排污口。禁止私设排污口。</w:t>
                  </w:r>
                </w:p>
              </w:tc>
              <w:tc>
                <w:tcPr>
                  <w:tcW w:w="1862" w:type="pct"/>
                  <w:tcBorders>
                    <w:tl2br w:val="nil"/>
                    <w:tr2bl w:val="nil"/>
                  </w:tcBorders>
                  <w:vAlign w:val="center"/>
                </w:tcPr>
                <w:p w14:paraId="064951E8">
                  <w:pPr>
                    <w:keepNext w:val="0"/>
                    <w:keepLines w:val="0"/>
                    <w:pageBreakBefore w:val="0"/>
                    <w:widowControl w:val="0"/>
                    <w:kinsoku/>
                    <w:wordWrap/>
                    <w:overflowPunct/>
                    <w:topLinePunct w:val="0"/>
                    <w:autoSpaceDE/>
                    <w:autoSpaceDN/>
                    <w:bidi w:val="0"/>
                    <w:adjustRightInd w:val="0"/>
                    <w:snapToGrid w:val="0"/>
                    <w:jc w:val="center"/>
                    <w:textAlignment w:val="auto"/>
                    <w:rPr>
                      <w:color w:val="auto"/>
                      <w:spacing w:val="0"/>
                      <w:kern w:val="0"/>
                    </w:rPr>
                  </w:pPr>
                  <w:r>
                    <w:rPr>
                      <w:color w:val="auto"/>
                      <w:spacing w:val="0"/>
                      <w:kern w:val="0"/>
                    </w:rPr>
                    <w:t>项目生活污水依托租赁</w:t>
                  </w:r>
                  <w:r>
                    <w:rPr>
                      <w:rFonts w:hint="eastAsia"/>
                      <w:color w:val="auto"/>
                      <w:spacing w:val="0"/>
                      <w:kern w:val="0"/>
                    </w:rPr>
                    <w:t>厂区</w:t>
                  </w:r>
                  <w:r>
                    <w:rPr>
                      <w:color w:val="auto"/>
                      <w:spacing w:val="0"/>
                      <w:kern w:val="0"/>
                    </w:rPr>
                    <w:t>已建排污口，建设单位不私设排污口</w:t>
                  </w:r>
                </w:p>
              </w:tc>
              <w:tc>
                <w:tcPr>
                  <w:tcW w:w="485" w:type="pct"/>
                  <w:tcBorders>
                    <w:tl2br w:val="nil"/>
                    <w:tr2bl w:val="nil"/>
                  </w:tcBorders>
                  <w:vAlign w:val="center"/>
                </w:tcPr>
                <w:p w14:paraId="0C023D31">
                  <w:pPr>
                    <w:pStyle w:val="558"/>
                    <w:keepNext w:val="0"/>
                    <w:keepLines w:val="0"/>
                    <w:pageBreakBefore w:val="0"/>
                    <w:widowControl w:val="0"/>
                    <w:kinsoku/>
                    <w:wordWrap/>
                    <w:overflowPunct/>
                    <w:topLinePunct w:val="0"/>
                    <w:autoSpaceDE/>
                    <w:autoSpaceDN/>
                    <w:bidi w:val="0"/>
                    <w:adjustRightInd w:val="0"/>
                    <w:snapToGrid w:val="0"/>
                    <w:textAlignment w:val="auto"/>
                    <w:rPr>
                      <w:color w:val="auto"/>
                      <w:spacing w:val="0"/>
                      <w:kern w:val="0"/>
                    </w:rPr>
                  </w:pPr>
                  <w:r>
                    <w:rPr>
                      <w:color w:val="auto"/>
                      <w:spacing w:val="0"/>
                      <w:kern w:val="0"/>
                    </w:rPr>
                    <w:t>相符</w:t>
                  </w:r>
                </w:p>
              </w:tc>
            </w:tr>
            <w:tr w14:paraId="5B86134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768" w:type="pct"/>
                  <w:vMerge w:val="continue"/>
                  <w:tcBorders>
                    <w:tl2br w:val="nil"/>
                    <w:tr2bl w:val="nil"/>
                  </w:tcBorders>
                  <w:vAlign w:val="center"/>
                </w:tcPr>
                <w:p w14:paraId="411F3BD2">
                  <w:pPr>
                    <w:keepNext w:val="0"/>
                    <w:keepLines w:val="0"/>
                    <w:pageBreakBefore w:val="0"/>
                    <w:widowControl w:val="0"/>
                    <w:kinsoku/>
                    <w:wordWrap/>
                    <w:overflowPunct/>
                    <w:topLinePunct w:val="0"/>
                    <w:autoSpaceDE/>
                    <w:autoSpaceDN/>
                    <w:bidi w:val="0"/>
                    <w:adjustRightInd w:val="0"/>
                    <w:snapToGrid w:val="0"/>
                    <w:jc w:val="center"/>
                    <w:textAlignment w:val="auto"/>
                    <w:rPr>
                      <w:color w:val="auto"/>
                      <w:spacing w:val="0"/>
                      <w:kern w:val="0"/>
                    </w:rPr>
                  </w:pPr>
                </w:p>
              </w:tc>
              <w:tc>
                <w:tcPr>
                  <w:tcW w:w="1883" w:type="pct"/>
                  <w:gridSpan w:val="2"/>
                  <w:tcBorders>
                    <w:tl2br w:val="nil"/>
                    <w:tr2bl w:val="nil"/>
                  </w:tcBorders>
                  <w:vAlign w:val="center"/>
                </w:tcPr>
                <w:p w14:paraId="1933C682">
                  <w:pPr>
                    <w:keepNext w:val="0"/>
                    <w:keepLines w:val="0"/>
                    <w:pageBreakBefore w:val="0"/>
                    <w:widowControl w:val="0"/>
                    <w:kinsoku/>
                    <w:wordWrap/>
                    <w:overflowPunct/>
                    <w:topLinePunct w:val="0"/>
                    <w:autoSpaceDE/>
                    <w:autoSpaceDN/>
                    <w:bidi w:val="0"/>
                    <w:adjustRightInd w:val="0"/>
                    <w:snapToGrid w:val="0"/>
                    <w:jc w:val="center"/>
                    <w:textAlignment w:val="auto"/>
                    <w:rPr>
                      <w:color w:val="auto"/>
                      <w:spacing w:val="0"/>
                      <w:kern w:val="0"/>
                    </w:rPr>
                  </w:pPr>
                  <w:r>
                    <w:rPr>
                      <w:color w:val="auto"/>
                      <w:spacing w:val="0"/>
                      <w:kern w:val="0"/>
                    </w:rPr>
                    <w:t>各类污水处理设施产生的污泥应当进行安全处置，不得随意堆放和弃置，不得排入水体；属于危险废物的，应当委托有资质的单位处置。污泥的收集、贮存应当符合国家相关规定和标准。</w:t>
                  </w:r>
                </w:p>
              </w:tc>
              <w:tc>
                <w:tcPr>
                  <w:tcW w:w="1862" w:type="pct"/>
                  <w:tcBorders>
                    <w:tl2br w:val="nil"/>
                    <w:tr2bl w:val="nil"/>
                  </w:tcBorders>
                  <w:vAlign w:val="center"/>
                </w:tcPr>
                <w:p w14:paraId="08AF37C6">
                  <w:pPr>
                    <w:keepNext w:val="0"/>
                    <w:keepLines w:val="0"/>
                    <w:pageBreakBefore w:val="0"/>
                    <w:widowControl w:val="0"/>
                    <w:kinsoku/>
                    <w:wordWrap/>
                    <w:overflowPunct/>
                    <w:topLinePunct w:val="0"/>
                    <w:autoSpaceDE/>
                    <w:autoSpaceDN/>
                    <w:bidi w:val="0"/>
                    <w:adjustRightInd w:val="0"/>
                    <w:snapToGrid w:val="0"/>
                    <w:jc w:val="center"/>
                    <w:textAlignment w:val="auto"/>
                    <w:rPr>
                      <w:color w:val="auto"/>
                      <w:spacing w:val="0"/>
                      <w:kern w:val="0"/>
                    </w:rPr>
                  </w:pPr>
                  <w:r>
                    <w:rPr>
                      <w:color w:val="auto"/>
                      <w:spacing w:val="0"/>
                      <w:kern w:val="0"/>
                    </w:rPr>
                    <w:t>项目无污水处理设施，无污泥产生</w:t>
                  </w:r>
                </w:p>
              </w:tc>
              <w:tc>
                <w:tcPr>
                  <w:tcW w:w="485" w:type="pct"/>
                  <w:tcBorders>
                    <w:tl2br w:val="nil"/>
                    <w:tr2bl w:val="nil"/>
                  </w:tcBorders>
                  <w:vAlign w:val="center"/>
                </w:tcPr>
                <w:p w14:paraId="1180AE9E">
                  <w:pPr>
                    <w:pStyle w:val="558"/>
                    <w:keepNext w:val="0"/>
                    <w:keepLines w:val="0"/>
                    <w:pageBreakBefore w:val="0"/>
                    <w:widowControl w:val="0"/>
                    <w:kinsoku/>
                    <w:wordWrap/>
                    <w:overflowPunct/>
                    <w:topLinePunct w:val="0"/>
                    <w:autoSpaceDE/>
                    <w:autoSpaceDN/>
                    <w:bidi w:val="0"/>
                    <w:adjustRightInd w:val="0"/>
                    <w:snapToGrid w:val="0"/>
                    <w:textAlignment w:val="auto"/>
                    <w:rPr>
                      <w:color w:val="auto"/>
                      <w:spacing w:val="0"/>
                      <w:kern w:val="0"/>
                    </w:rPr>
                  </w:pPr>
                  <w:r>
                    <w:rPr>
                      <w:color w:val="auto"/>
                      <w:spacing w:val="0"/>
                      <w:kern w:val="0"/>
                    </w:rPr>
                    <w:t>相符</w:t>
                  </w:r>
                </w:p>
              </w:tc>
            </w:tr>
            <w:tr w14:paraId="67AC6FC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768" w:type="pct"/>
                  <w:vMerge w:val="continue"/>
                  <w:tcBorders>
                    <w:tl2br w:val="nil"/>
                    <w:tr2bl w:val="nil"/>
                  </w:tcBorders>
                  <w:vAlign w:val="center"/>
                </w:tcPr>
                <w:p w14:paraId="1F88B8FD">
                  <w:pPr>
                    <w:keepNext w:val="0"/>
                    <w:keepLines w:val="0"/>
                    <w:pageBreakBefore w:val="0"/>
                    <w:widowControl w:val="0"/>
                    <w:kinsoku/>
                    <w:wordWrap/>
                    <w:overflowPunct/>
                    <w:topLinePunct w:val="0"/>
                    <w:autoSpaceDE/>
                    <w:autoSpaceDN/>
                    <w:bidi w:val="0"/>
                    <w:adjustRightInd w:val="0"/>
                    <w:snapToGrid w:val="0"/>
                    <w:jc w:val="center"/>
                    <w:textAlignment w:val="auto"/>
                    <w:rPr>
                      <w:color w:val="auto"/>
                      <w:spacing w:val="0"/>
                      <w:kern w:val="0"/>
                    </w:rPr>
                  </w:pPr>
                </w:p>
              </w:tc>
              <w:tc>
                <w:tcPr>
                  <w:tcW w:w="1883" w:type="pct"/>
                  <w:gridSpan w:val="2"/>
                  <w:tcBorders>
                    <w:tl2br w:val="nil"/>
                    <w:tr2bl w:val="nil"/>
                  </w:tcBorders>
                  <w:vAlign w:val="center"/>
                </w:tcPr>
                <w:p w14:paraId="0A4FFB65">
                  <w:pPr>
                    <w:keepNext w:val="0"/>
                    <w:keepLines w:val="0"/>
                    <w:pageBreakBefore w:val="0"/>
                    <w:widowControl w:val="0"/>
                    <w:kinsoku/>
                    <w:wordWrap/>
                    <w:overflowPunct/>
                    <w:topLinePunct w:val="0"/>
                    <w:autoSpaceDE/>
                    <w:autoSpaceDN/>
                    <w:bidi w:val="0"/>
                    <w:adjustRightInd w:val="0"/>
                    <w:snapToGrid w:val="0"/>
                    <w:jc w:val="center"/>
                    <w:textAlignment w:val="auto"/>
                    <w:rPr>
                      <w:color w:val="auto"/>
                      <w:spacing w:val="0"/>
                      <w:kern w:val="0"/>
                    </w:rPr>
                  </w:pPr>
                  <w:r>
                    <w:rPr>
                      <w:color w:val="auto"/>
                      <w:spacing w:val="0"/>
                      <w:kern w:val="0"/>
                    </w:rPr>
                    <w:t>太湖流域一、二、三级保护区禁止下列行为：（一）新建、改建、扩建化学制浆造纸、制革、酿造、染料、印染、电镀以及其他排放含磷、氮等污染物的企业和项目，城镇污水集中处理等环境基础设施项目和第四十六条规定的情形除外；（二）销售、使用含磷洗涤用品；（三）向水体排放或者倾倒油类、酸液、碱液、剧毒废渣废液、含放射性废渣废液、含病原体污水、工业废渣以及其他废弃物。</w:t>
                  </w:r>
                </w:p>
              </w:tc>
              <w:tc>
                <w:tcPr>
                  <w:tcW w:w="1862" w:type="pct"/>
                  <w:tcBorders>
                    <w:tl2br w:val="nil"/>
                    <w:tr2bl w:val="nil"/>
                  </w:tcBorders>
                  <w:vAlign w:val="center"/>
                </w:tcPr>
                <w:p w14:paraId="7007275C">
                  <w:pPr>
                    <w:keepNext w:val="0"/>
                    <w:keepLines w:val="0"/>
                    <w:pageBreakBefore w:val="0"/>
                    <w:widowControl w:val="0"/>
                    <w:kinsoku/>
                    <w:wordWrap/>
                    <w:overflowPunct/>
                    <w:topLinePunct w:val="0"/>
                    <w:autoSpaceDE/>
                    <w:autoSpaceDN/>
                    <w:bidi w:val="0"/>
                    <w:adjustRightInd w:val="0"/>
                    <w:snapToGrid w:val="0"/>
                    <w:jc w:val="center"/>
                    <w:textAlignment w:val="auto"/>
                    <w:rPr>
                      <w:color w:val="auto"/>
                      <w:spacing w:val="0"/>
                      <w:kern w:val="0"/>
                    </w:rPr>
                  </w:pPr>
                  <w:r>
                    <w:rPr>
                      <w:color w:val="auto"/>
                      <w:spacing w:val="0"/>
                      <w:kern w:val="0"/>
                    </w:rPr>
                    <w:t>（一）本项目不属于禁止类项目；</w:t>
                  </w:r>
                </w:p>
                <w:p w14:paraId="3CA657A3">
                  <w:pPr>
                    <w:keepNext w:val="0"/>
                    <w:keepLines w:val="0"/>
                    <w:pageBreakBefore w:val="0"/>
                    <w:widowControl w:val="0"/>
                    <w:kinsoku/>
                    <w:wordWrap/>
                    <w:overflowPunct/>
                    <w:topLinePunct w:val="0"/>
                    <w:autoSpaceDE/>
                    <w:autoSpaceDN/>
                    <w:bidi w:val="0"/>
                    <w:adjustRightInd w:val="0"/>
                    <w:snapToGrid w:val="0"/>
                    <w:jc w:val="center"/>
                    <w:textAlignment w:val="auto"/>
                    <w:rPr>
                      <w:color w:val="auto"/>
                      <w:spacing w:val="0"/>
                      <w:kern w:val="0"/>
                    </w:rPr>
                  </w:pPr>
                  <w:r>
                    <w:rPr>
                      <w:color w:val="auto"/>
                      <w:spacing w:val="0"/>
                      <w:kern w:val="0"/>
                    </w:rPr>
                    <w:t>（二）本项目不销售、使用含磷洗涤用品；</w:t>
                  </w:r>
                </w:p>
                <w:p w14:paraId="2987D975">
                  <w:pPr>
                    <w:keepNext w:val="0"/>
                    <w:keepLines w:val="0"/>
                    <w:pageBreakBefore w:val="0"/>
                    <w:widowControl w:val="0"/>
                    <w:kinsoku/>
                    <w:wordWrap/>
                    <w:overflowPunct/>
                    <w:topLinePunct w:val="0"/>
                    <w:autoSpaceDE/>
                    <w:autoSpaceDN/>
                    <w:bidi w:val="0"/>
                    <w:adjustRightInd w:val="0"/>
                    <w:snapToGrid w:val="0"/>
                    <w:jc w:val="center"/>
                    <w:textAlignment w:val="auto"/>
                    <w:rPr>
                      <w:color w:val="auto"/>
                      <w:spacing w:val="0"/>
                      <w:kern w:val="0"/>
                    </w:rPr>
                  </w:pPr>
                  <w:r>
                    <w:rPr>
                      <w:color w:val="auto"/>
                      <w:spacing w:val="0"/>
                      <w:kern w:val="0"/>
                    </w:rPr>
                    <w:t>（三）项目不产生及排放生产废水，不向水体排放或倾倒废水、废渣及其他废弃物</w:t>
                  </w:r>
                </w:p>
              </w:tc>
              <w:tc>
                <w:tcPr>
                  <w:tcW w:w="485" w:type="pct"/>
                  <w:tcBorders>
                    <w:tl2br w:val="nil"/>
                    <w:tr2bl w:val="nil"/>
                  </w:tcBorders>
                  <w:vAlign w:val="center"/>
                </w:tcPr>
                <w:p w14:paraId="7AD2EA08">
                  <w:pPr>
                    <w:pStyle w:val="558"/>
                    <w:keepNext w:val="0"/>
                    <w:keepLines w:val="0"/>
                    <w:pageBreakBefore w:val="0"/>
                    <w:widowControl w:val="0"/>
                    <w:kinsoku/>
                    <w:wordWrap/>
                    <w:overflowPunct/>
                    <w:topLinePunct w:val="0"/>
                    <w:autoSpaceDE/>
                    <w:autoSpaceDN/>
                    <w:bidi w:val="0"/>
                    <w:adjustRightInd w:val="0"/>
                    <w:snapToGrid w:val="0"/>
                    <w:textAlignment w:val="auto"/>
                    <w:rPr>
                      <w:color w:val="auto"/>
                      <w:spacing w:val="0"/>
                      <w:kern w:val="0"/>
                    </w:rPr>
                  </w:pPr>
                  <w:r>
                    <w:rPr>
                      <w:color w:val="auto"/>
                      <w:spacing w:val="0"/>
                      <w:kern w:val="0"/>
                    </w:rPr>
                    <w:t>相符</w:t>
                  </w:r>
                </w:p>
              </w:tc>
            </w:tr>
            <w:tr w14:paraId="67D48D4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768" w:type="pct"/>
                  <w:vMerge w:val="restart"/>
                  <w:tcBorders>
                    <w:tl2br w:val="nil"/>
                    <w:tr2bl w:val="nil"/>
                  </w:tcBorders>
                  <w:vAlign w:val="center"/>
                </w:tcPr>
                <w:p w14:paraId="6A8650E0">
                  <w:pPr>
                    <w:keepNext w:val="0"/>
                    <w:keepLines w:val="0"/>
                    <w:pageBreakBefore w:val="0"/>
                    <w:widowControl w:val="0"/>
                    <w:kinsoku/>
                    <w:wordWrap/>
                    <w:overflowPunct/>
                    <w:topLinePunct w:val="0"/>
                    <w:autoSpaceDE/>
                    <w:autoSpaceDN/>
                    <w:bidi w:val="0"/>
                    <w:adjustRightInd w:val="0"/>
                    <w:snapToGrid w:val="0"/>
                    <w:jc w:val="center"/>
                    <w:textAlignment w:val="auto"/>
                    <w:rPr>
                      <w:color w:val="auto"/>
                      <w:spacing w:val="0"/>
                      <w:kern w:val="0"/>
                    </w:rPr>
                  </w:pPr>
                  <w:r>
                    <w:rPr>
                      <w:rFonts w:hint="eastAsia"/>
                      <w:b/>
                      <w:bCs/>
                      <w:color w:val="auto"/>
                      <w:spacing w:val="0"/>
                      <w:kern w:val="0"/>
                      <w:lang w:eastAsia="zh-CN"/>
                    </w:rPr>
                    <w:t>《</w:t>
                  </w:r>
                  <w:r>
                    <w:rPr>
                      <w:rFonts w:hint="eastAsia"/>
                      <w:b/>
                      <w:bCs/>
                      <w:color w:val="auto"/>
                      <w:spacing w:val="0"/>
                      <w:kern w:val="0"/>
                    </w:rPr>
                    <w:t>国务院关于深入打好污染防治攻坚战的意见</w:t>
                  </w:r>
                  <w:r>
                    <w:rPr>
                      <w:rFonts w:hint="eastAsia"/>
                      <w:b/>
                      <w:bCs/>
                      <w:color w:val="auto"/>
                      <w:spacing w:val="0"/>
                      <w:kern w:val="0"/>
                      <w:lang w:eastAsia="zh-CN"/>
                    </w:rPr>
                    <w:t>》（</w:t>
                  </w:r>
                  <w:r>
                    <w:rPr>
                      <w:rFonts w:hint="eastAsia"/>
                      <w:b/>
                      <w:bCs/>
                      <w:color w:val="auto"/>
                      <w:spacing w:val="0"/>
                      <w:kern w:val="0"/>
                      <w:lang w:val="en-US" w:eastAsia="zh-CN"/>
                    </w:rPr>
                    <w:t>2021年11月2日</w:t>
                  </w:r>
                  <w:r>
                    <w:rPr>
                      <w:rFonts w:hint="eastAsia"/>
                      <w:b/>
                      <w:bCs/>
                      <w:color w:val="auto"/>
                      <w:spacing w:val="0"/>
                      <w:kern w:val="0"/>
                      <w:lang w:eastAsia="zh-CN"/>
                    </w:rPr>
                    <w:t>）</w:t>
                  </w:r>
                </w:p>
              </w:tc>
              <w:tc>
                <w:tcPr>
                  <w:tcW w:w="590" w:type="pct"/>
                  <w:tcBorders>
                    <w:tl2br w:val="nil"/>
                    <w:tr2bl w:val="nil"/>
                  </w:tcBorders>
                  <w:vAlign w:val="center"/>
                </w:tcPr>
                <w:p w14:paraId="6C319127">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eastAsia="宋体"/>
                      <w:color w:val="auto"/>
                      <w:spacing w:val="0"/>
                      <w:kern w:val="0"/>
                      <w:lang w:eastAsia="zh-CN"/>
                    </w:rPr>
                  </w:pPr>
                  <w:r>
                    <w:rPr>
                      <w:rFonts w:hint="eastAsia"/>
                      <w:color w:val="auto"/>
                      <w:spacing w:val="0"/>
                      <w:kern w:val="0"/>
                      <w:lang w:eastAsia="zh-CN"/>
                    </w:rPr>
                    <w:t>（</w:t>
                  </w:r>
                  <w:r>
                    <w:rPr>
                      <w:rFonts w:hint="eastAsia"/>
                      <w:color w:val="auto"/>
                      <w:spacing w:val="0"/>
                      <w:kern w:val="0"/>
                      <w:lang w:val="en-US" w:eastAsia="zh-CN"/>
                    </w:rPr>
                    <w:t>十一</w:t>
                  </w:r>
                  <w:r>
                    <w:rPr>
                      <w:rFonts w:hint="eastAsia"/>
                      <w:color w:val="auto"/>
                      <w:spacing w:val="0"/>
                      <w:kern w:val="0"/>
                      <w:lang w:eastAsia="zh-CN"/>
                    </w:rPr>
                    <w:t>）着力打好重污染天气消除攻坚战</w:t>
                  </w:r>
                </w:p>
              </w:tc>
              <w:tc>
                <w:tcPr>
                  <w:tcW w:w="1292" w:type="pct"/>
                  <w:tcBorders>
                    <w:tl2br w:val="nil"/>
                    <w:tr2bl w:val="nil"/>
                  </w:tcBorders>
                  <w:vAlign w:val="center"/>
                </w:tcPr>
                <w:p w14:paraId="0DFE5619">
                  <w:pPr>
                    <w:keepNext w:val="0"/>
                    <w:keepLines w:val="0"/>
                    <w:pageBreakBefore w:val="0"/>
                    <w:widowControl w:val="0"/>
                    <w:kinsoku/>
                    <w:wordWrap/>
                    <w:overflowPunct/>
                    <w:topLinePunct w:val="0"/>
                    <w:autoSpaceDE/>
                    <w:autoSpaceDN/>
                    <w:bidi w:val="0"/>
                    <w:adjustRightInd w:val="0"/>
                    <w:snapToGrid w:val="0"/>
                    <w:jc w:val="center"/>
                    <w:textAlignment w:val="auto"/>
                    <w:rPr>
                      <w:color w:val="auto"/>
                      <w:spacing w:val="0"/>
                      <w:kern w:val="0"/>
                    </w:rPr>
                  </w:pPr>
                  <w:r>
                    <w:rPr>
                      <w:rFonts w:hint="eastAsia"/>
                      <w:color w:val="auto"/>
                      <w:spacing w:val="0"/>
                      <w:kern w:val="0"/>
                    </w:rPr>
                    <w:t>聚焦秋冬季细颗粒物污染，加大重点区域、重点行业结构调整和污染治理力度。</w:t>
                  </w:r>
                </w:p>
              </w:tc>
              <w:tc>
                <w:tcPr>
                  <w:tcW w:w="1862" w:type="pct"/>
                  <w:tcBorders>
                    <w:tl2br w:val="nil"/>
                    <w:tr2bl w:val="nil"/>
                  </w:tcBorders>
                  <w:vAlign w:val="center"/>
                </w:tcPr>
                <w:p w14:paraId="13F4717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eastAsia="宋体"/>
                      <w:color w:val="auto"/>
                      <w:spacing w:val="0"/>
                      <w:kern w:val="0"/>
                      <w:lang w:val="en-US" w:eastAsia="zh-CN"/>
                    </w:rPr>
                  </w:pPr>
                  <w:r>
                    <w:rPr>
                      <w:rFonts w:hint="eastAsia"/>
                      <w:color w:val="auto"/>
                      <w:spacing w:val="0"/>
                      <w:kern w:val="0"/>
                      <w:lang w:val="en-US" w:eastAsia="zh-CN"/>
                    </w:rPr>
                    <w:t>本项目不属于重点区域、重点行业</w:t>
                  </w:r>
                </w:p>
              </w:tc>
              <w:tc>
                <w:tcPr>
                  <w:tcW w:w="485" w:type="pct"/>
                  <w:tcBorders>
                    <w:tl2br w:val="nil"/>
                    <w:tr2bl w:val="nil"/>
                  </w:tcBorders>
                  <w:vAlign w:val="center"/>
                </w:tcPr>
                <w:p w14:paraId="6A9DEB91">
                  <w:pPr>
                    <w:pStyle w:val="558"/>
                    <w:keepNext w:val="0"/>
                    <w:keepLines w:val="0"/>
                    <w:pageBreakBefore w:val="0"/>
                    <w:widowControl w:val="0"/>
                    <w:kinsoku/>
                    <w:wordWrap/>
                    <w:overflowPunct/>
                    <w:topLinePunct w:val="0"/>
                    <w:autoSpaceDE/>
                    <w:autoSpaceDN/>
                    <w:bidi w:val="0"/>
                    <w:adjustRightInd w:val="0"/>
                    <w:snapToGrid w:val="0"/>
                    <w:textAlignment w:val="auto"/>
                    <w:rPr>
                      <w:rFonts w:hint="eastAsia" w:eastAsia="宋体"/>
                      <w:color w:val="auto"/>
                      <w:spacing w:val="0"/>
                      <w:kern w:val="0"/>
                      <w:lang w:val="en-US" w:eastAsia="zh-CN"/>
                    </w:rPr>
                  </w:pPr>
                  <w:r>
                    <w:rPr>
                      <w:rFonts w:hint="eastAsia"/>
                      <w:color w:val="auto"/>
                      <w:spacing w:val="0"/>
                      <w:kern w:val="0"/>
                      <w:lang w:val="en-US" w:eastAsia="zh-CN"/>
                    </w:rPr>
                    <w:t>相符</w:t>
                  </w:r>
                </w:p>
              </w:tc>
            </w:tr>
            <w:tr w14:paraId="1855077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768" w:type="pct"/>
                  <w:vMerge w:val="continue"/>
                  <w:tcBorders>
                    <w:tl2br w:val="nil"/>
                    <w:tr2bl w:val="nil"/>
                  </w:tcBorders>
                  <w:vAlign w:val="center"/>
                </w:tcPr>
                <w:p w14:paraId="35FF06D3">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b/>
                      <w:bCs/>
                      <w:color w:val="auto"/>
                      <w:spacing w:val="0"/>
                      <w:kern w:val="0"/>
                      <w:lang w:eastAsia="zh-CN"/>
                    </w:rPr>
                  </w:pPr>
                </w:p>
              </w:tc>
              <w:tc>
                <w:tcPr>
                  <w:tcW w:w="590" w:type="pct"/>
                  <w:tcBorders>
                    <w:tl2br w:val="nil"/>
                    <w:tr2bl w:val="nil"/>
                  </w:tcBorders>
                  <w:vAlign w:val="center"/>
                </w:tcPr>
                <w:p w14:paraId="1D138AC0">
                  <w:pPr>
                    <w:keepNext w:val="0"/>
                    <w:keepLines w:val="0"/>
                    <w:pageBreakBefore w:val="0"/>
                    <w:widowControl w:val="0"/>
                    <w:kinsoku/>
                    <w:wordWrap/>
                    <w:overflowPunct/>
                    <w:topLinePunct w:val="0"/>
                    <w:autoSpaceDE/>
                    <w:autoSpaceDN/>
                    <w:bidi w:val="0"/>
                    <w:adjustRightInd w:val="0"/>
                    <w:snapToGrid w:val="0"/>
                    <w:jc w:val="center"/>
                    <w:textAlignment w:val="auto"/>
                    <w:rPr>
                      <w:color w:val="auto"/>
                      <w:spacing w:val="0"/>
                      <w:kern w:val="0"/>
                    </w:rPr>
                  </w:pPr>
                  <w:r>
                    <w:rPr>
                      <w:rFonts w:hint="eastAsia"/>
                      <w:color w:val="auto"/>
                      <w:spacing w:val="0"/>
                      <w:kern w:val="0"/>
                      <w:lang w:eastAsia="zh-CN"/>
                    </w:rPr>
                    <w:t>（</w:t>
                  </w:r>
                  <w:r>
                    <w:rPr>
                      <w:rFonts w:hint="eastAsia"/>
                      <w:color w:val="auto"/>
                      <w:spacing w:val="0"/>
                      <w:kern w:val="0"/>
                      <w:lang w:val="en-US" w:eastAsia="zh-CN"/>
                    </w:rPr>
                    <w:t>十二</w:t>
                  </w:r>
                  <w:r>
                    <w:rPr>
                      <w:rFonts w:hint="eastAsia"/>
                      <w:color w:val="auto"/>
                      <w:spacing w:val="0"/>
                      <w:kern w:val="0"/>
                      <w:lang w:eastAsia="zh-CN"/>
                    </w:rPr>
                    <w:t>）</w:t>
                  </w:r>
                  <w:r>
                    <w:rPr>
                      <w:rFonts w:hint="eastAsia"/>
                      <w:color w:val="auto"/>
                      <w:spacing w:val="0"/>
                      <w:kern w:val="0"/>
                    </w:rPr>
                    <w:t>着力打好臭氧污染防治攻坚战</w:t>
                  </w:r>
                </w:p>
              </w:tc>
              <w:tc>
                <w:tcPr>
                  <w:tcW w:w="1292" w:type="pct"/>
                  <w:tcBorders>
                    <w:tl2br w:val="nil"/>
                    <w:tr2bl w:val="nil"/>
                  </w:tcBorders>
                  <w:vAlign w:val="center"/>
                </w:tcPr>
                <w:p w14:paraId="086D9364">
                  <w:pPr>
                    <w:keepNext w:val="0"/>
                    <w:keepLines w:val="0"/>
                    <w:pageBreakBefore w:val="0"/>
                    <w:widowControl w:val="0"/>
                    <w:kinsoku/>
                    <w:wordWrap/>
                    <w:overflowPunct/>
                    <w:topLinePunct w:val="0"/>
                    <w:autoSpaceDE/>
                    <w:autoSpaceDN/>
                    <w:bidi w:val="0"/>
                    <w:adjustRightInd w:val="0"/>
                    <w:snapToGrid w:val="0"/>
                    <w:jc w:val="center"/>
                    <w:textAlignment w:val="auto"/>
                    <w:rPr>
                      <w:color w:val="auto"/>
                      <w:spacing w:val="0"/>
                      <w:kern w:val="0"/>
                    </w:rPr>
                  </w:pPr>
                  <w:r>
                    <w:rPr>
                      <w:rFonts w:hint="eastAsia"/>
                      <w:color w:val="auto"/>
                      <w:spacing w:val="0"/>
                      <w:kern w:val="0"/>
                    </w:rPr>
                    <w:t>以石化、化工、涂装、医药、包装印刷、油品储运销等行业领域为重点，安全高效推进挥发性有机物综合治理，实施原辅材料和产品源头替代工程。</w:t>
                  </w:r>
                </w:p>
              </w:tc>
              <w:tc>
                <w:tcPr>
                  <w:tcW w:w="1862" w:type="pct"/>
                  <w:tcBorders>
                    <w:tl2br w:val="nil"/>
                    <w:tr2bl w:val="nil"/>
                  </w:tcBorders>
                  <w:vAlign w:val="center"/>
                </w:tcPr>
                <w:p w14:paraId="64BFD083">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eastAsia="宋体"/>
                      <w:color w:val="auto"/>
                      <w:spacing w:val="0"/>
                      <w:kern w:val="0"/>
                      <w:lang w:val="en-US" w:eastAsia="zh-CN"/>
                    </w:rPr>
                  </w:pPr>
                  <w:r>
                    <w:rPr>
                      <w:rFonts w:hint="eastAsia"/>
                      <w:color w:val="auto"/>
                      <w:spacing w:val="0"/>
                      <w:kern w:val="0"/>
                      <w:lang w:val="en-US" w:eastAsia="zh-CN"/>
                    </w:rPr>
                    <w:t>本项目不属于</w:t>
                  </w:r>
                  <w:r>
                    <w:rPr>
                      <w:rFonts w:hint="eastAsia"/>
                      <w:color w:val="auto"/>
                      <w:spacing w:val="0"/>
                      <w:kern w:val="0"/>
                    </w:rPr>
                    <w:t>石化、化工、涂装、医药、包装印刷、油品储运销等</w:t>
                  </w:r>
                  <w:r>
                    <w:rPr>
                      <w:rFonts w:hint="eastAsia"/>
                      <w:color w:val="auto"/>
                      <w:spacing w:val="0"/>
                      <w:kern w:val="0"/>
                      <w:lang w:val="en-US" w:eastAsia="zh-CN"/>
                    </w:rPr>
                    <w:t>重点行业，</w:t>
                  </w:r>
                  <w:r>
                    <w:rPr>
                      <w:rFonts w:hint="eastAsia"/>
                      <w:bCs/>
                      <w:color w:val="auto"/>
                      <w:spacing w:val="0"/>
                      <w:kern w:val="0"/>
                      <w:lang w:eastAsia="zh-CN"/>
                    </w:rPr>
                    <w:t>项目喷砂、喷锌产生的颗粒物经喷砂房、喷锌房密闭收集，收集后的颗粒物进入1套“袋式除尘装置”处理后通过1根15m高的排气筒DA001排放；喷漆产生的颗粒物、非甲烷总烃经喷漆房密闭收集，收集后的颗粒物、有机废气进入1套“过滤棉+二级活性炭装置”处理后通过1根15m高的排气筒DA002排放</w:t>
                  </w:r>
                </w:p>
              </w:tc>
              <w:tc>
                <w:tcPr>
                  <w:tcW w:w="485" w:type="pct"/>
                  <w:tcBorders>
                    <w:tl2br w:val="nil"/>
                    <w:tr2bl w:val="nil"/>
                  </w:tcBorders>
                  <w:vAlign w:val="center"/>
                </w:tcPr>
                <w:p w14:paraId="060BF894">
                  <w:pPr>
                    <w:pStyle w:val="558"/>
                    <w:keepNext w:val="0"/>
                    <w:keepLines w:val="0"/>
                    <w:pageBreakBefore w:val="0"/>
                    <w:widowControl w:val="0"/>
                    <w:kinsoku/>
                    <w:wordWrap/>
                    <w:overflowPunct/>
                    <w:topLinePunct w:val="0"/>
                    <w:autoSpaceDE/>
                    <w:autoSpaceDN/>
                    <w:bidi w:val="0"/>
                    <w:adjustRightInd w:val="0"/>
                    <w:snapToGrid w:val="0"/>
                    <w:textAlignment w:val="auto"/>
                    <w:rPr>
                      <w:rFonts w:hint="eastAsia" w:eastAsia="宋体"/>
                      <w:color w:val="auto"/>
                      <w:spacing w:val="0"/>
                      <w:kern w:val="0"/>
                      <w:lang w:val="en-US" w:eastAsia="zh-CN"/>
                    </w:rPr>
                  </w:pPr>
                  <w:r>
                    <w:rPr>
                      <w:rFonts w:hint="eastAsia"/>
                      <w:color w:val="auto"/>
                      <w:spacing w:val="0"/>
                      <w:kern w:val="0"/>
                      <w:lang w:val="en-US" w:eastAsia="zh-CN"/>
                    </w:rPr>
                    <w:t>相符</w:t>
                  </w:r>
                </w:p>
              </w:tc>
            </w:tr>
            <w:tr w14:paraId="67B5640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768" w:type="pct"/>
                  <w:tcBorders>
                    <w:tl2br w:val="nil"/>
                    <w:tr2bl w:val="nil"/>
                  </w:tcBorders>
                  <w:vAlign w:val="center"/>
                </w:tcPr>
                <w:p w14:paraId="743E0A1F">
                  <w:pPr>
                    <w:keepNext w:val="0"/>
                    <w:keepLines w:val="0"/>
                    <w:pageBreakBefore w:val="0"/>
                    <w:widowControl w:val="0"/>
                    <w:kinsoku/>
                    <w:wordWrap/>
                    <w:overflowPunct/>
                    <w:topLinePunct w:val="0"/>
                    <w:autoSpaceDE/>
                    <w:autoSpaceDN/>
                    <w:bidi w:val="0"/>
                    <w:adjustRightInd w:val="0"/>
                    <w:snapToGrid w:val="0"/>
                    <w:jc w:val="center"/>
                    <w:textAlignment w:val="auto"/>
                    <w:rPr>
                      <w:color w:val="auto"/>
                      <w:spacing w:val="0"/>
                      <w:kern w:val="0"/>
                    </w:rPr>
                  </w:pPr>
                  <w:r>
                    <w:rPr>
                      <w:b/>
                      <w:bCs/>
                      <w:color w:val="auto"/>
                      <w:spacing w:val="0"/>
                      <w:kern w:val="0"/>
                    </w:rPr>
                    <w:t>常州市金坛区人民政府关于印发《2022年常州市金坛区深入打好污染防治攻坚战工作方案》的通知</w:t>
                  </w:r>
                </w:p>
              </w:tc>
              <w:tc>
                <w:tcPr>
                  <w:tcW w:w="1883" w:type="pct"/>
                  <w:gridSpan w:val="2"/>
                  <w:tcBorders>
                    <w:tl2br w:val="nil"/>
                    <w:tr2bl w:val="nil"/>
                  </w:tcBorders>
                  <w:vAlign w:val="center"/>
                </w:tcPr>
                <w:p w14:paraId="6A1A777D">
                  <w:pPr>
                    <w:keepNext w:val="0"/>
                    <w:keepLines w:val="0"/>
                    <w:pageBreakBefore w:val="0"/>
                    <w:widowControl w:val="0"/>
                    <w:kinsoku/>
                    <w:wordWrap/>
                    <w:overflowPunct/>
                    <w:topLinePunct w:val="0"/>
                    <w:autoSpaceDE/>
                    <w:autoSpaceDN/>
                    <w:bidi w:val="0"/>
                    <w:adjustRightInd w:val="0"/>
                    <w:snapToGrid w:val="0"/>
                    <w:jc w:val="center"/>
                    <w:textAlignment w:val="auto"/>
                    <w:rPr>
                      <w:color w:val="auto"/>
                      <w:spacing w:val="0"/>
                      <w:kern w:val="0"/>
                    </w:rPr>
                  </w:pPr>
                  <w:r>
                    <w:rPr>
                      <w:color w:val="auto"/>
                      <w:spacing w:val="0"/>
                      <w:kern w:val="0"/>
                    </w:rPr>
                    <w:t>大力推进低（无）VOCs含量原辅材料替代。对照国家产品质量标准，加大对各类涂料、油墨、胶黏剂、清洗剂等产品生产、销售、使用环节的监督管理。以化工、涂装、医药、包装印刷、油品储运销等行业领域为重点，实施原辅材料和产品源头替代工程。完成12家重点企业VOCs清洁原料替代，优先推动使用溶剂型原辅材料且治理设施低效的企业先行开展清洁原料替代；对替代技术尚不成熟的，推动开展论证核实，并加强现场监管，确保VOCs无组织排放有效控制，废气排放口达标排放。结合产业特点，培育2家以上源头替代示范型企业。推动钢结构、包装印刷行业实施低（无）VOCs含量的涂料、油墨、胶粘剂等原辅材料源头替代。</w:t>
                  </w:r>
                </w:p>
              </w:tc>
              <w:tc>
                <w:tcPr>
                  <w:tcW w:w="1862" w:type="pct"/>
                  <w:tcBorders>
                    <w:tl2br w:val="nil"/>
                    <w:tr2bl w:val="nil"/>
                  </w:tcBorders>
                  <w:vAlign w:val="center"/>
                </w:tcPr>
                <w:p w14:paraId="595B23B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eastAsia="宋体"/>
                      <w:color w:val="auto"/>
                      <w:spacing w:val="0"/>
                      <w:kern w:val="0"/>
                      <w:lang w:val="en-US" w:eastAsia="zh-CN"/>
                    </w:rPr>
                  </w:pPr>
                  <w:r>
                    <w:rPr>
                      <w:color w:val="auto"/>
                      <w:spacing w:val="0"/>
                      <w:kern w:val="0"/>
                    </w:rPr>
                    <w:t>本项目</w:t>
                  </w:r>
                  <w:r>
                    <w:rPr>
                      <w:rFonts w:hint="eastAsia"/>
                      <w:color w:val="auto"/>
                      <w:spacing w:val="0"/>
                      <w:kern w:val="0"/>
                      <w:lang w:val="en-US" w:eastAsia="zh-CN"/>
                    </w:rPr>
                    <w:t>所使用涂料中，</w:t>
                  </w:r>
                  <w:r>
                    <w:rPr>
                      <w:rFonts w:hint="eastAsia"/>
                      <w:bCs/>
                      <w:color w:val="auto"/>
                      <w:spacing w:val="0"/>
                      <w:kern w:val="0"/>
                      <w:lang w:val="en-US" w:eastAsia="zh-CN"/>
                    </w:rPr>
                    <w:t>水性环氧底漆VOC含量为28.6g/L，水性聚氨酯面漆VOC含量为52.3g/L，环氧底漆添加稀释剂、固化剂后VOC含量为252.6g/L，聚氨酯厚浆面漆添加稀释剂、固化剂后VOC含量为379g/L，</w:t>
                  </w:r>
                  <w:r>
                    <w:rPr>
                      <w:rFonts w:hint="eastAsia"/>
                      <w:color w:val="auto"/>
                      <w:spacing w:val="0"/>
                      <w:kern w:val="0"/>
                    </w:rPr>
                    <w:t>符合《低挥发性有机化合物含量涂料产品技术要求》（GB/T 38597-2020）中限值要求</w:t>
                  </w:r>
                  <w:r>
                    <w:rPr>
                      <w:rFonts w:hint="eastAsia"/>
                      <w:color w:val="auto"/>
                      <w:spacing w:val="0"/>
                      <w:kern w:val="0"/>
                      <w:lang w:eastAsia="zh-CN"/>
                    </w:rPr>
                    <w:t>；</w:t>
                  </w:r>
                  <w:r>
                    <w:rPr>
                      <w:rFonts w:hint="eastAsia"/>
                      <w:color w:val="auto"/>
                      <w:spacing w:val="0"/>
                      <w:kern w:val="0"/>
                    </w:rPr>
                    <w:t>清洗剂中VOC含量为8</w:t>
                  </w:r>
                  <w:r>
                    <w:rPr>
                      <w:rFonts w:hint="eastAsia"/>
                      <w:color w:val="auto"/>
                      <w:spacing w:val="0"/>
                      <w:kern w:val="0"/>
                      <w:lang w:val="en-US" w:eastAsia="zh-CN"/>
                    </w:rPr>
                    <w:t>57</w:t>
                  </w:r>
                  <w:r>
                    <w:rPr>
                      <w:rFonts w:hint="eastAsia"/>
                      <w:color w:val="auto"/>
                      <w:spacing w:val="0"/>
                      <w:kern w:val="0"/>
                    </w:rPr>
                    <w:t>g/L，符合《清洗剂挥发性有机化合物含量限值》（GB 38508-2020）中限量值要求</w:t>
                  </w:r>
                </w:p>
              </w:tc>
              <w:tc>
                <w:tcPr>
                  <w:tcW w:w="485" w:type="pct"/>
                  <w:tcBorders>
                    <w:tl2br w:val="nil"/>
                    <w:tr2bl w:val="nil"/>
                  </w:tcBorders>
                  <w:vAlign w:val="center"/>
                </w:tcPr>
                <w:p w14:paraId="215DDB9B">
                  <w:pPr>
                    <w:pStyle w:val="558"/>
                    <w:keepNext w:val="0"/>
                    <w:keepLines w:val="0"/>
                    <w:pageBreakBefore w:val="0"/>
                    <w:widowControl w:val="0"/>
                    <w:kinsoku/>
                    <w:wordWrap/>
                    <w:overflowPunct/>
                    <w:topLinePunct w:val="0"/>
                    <w:autoSpaceDE/>
                    <w:autoSpaceDN/>
                    <w:bidi w:val="0"/>
                    <w:adjustRightInd w:val="0"/>
                    <w:snapToGrid w:val="0"/>
                    <w:textAlignment w:val="auto"/>
                    <w:rPr>
                      <w:color w:val="auto"/>
                      <w:spacing w:val="0"/>
                      <w:kern w:val="0"/>
                    </w:rPr>
                  </w:pPr>
                  <w:r>
                    <w:rPr>
                      <w:color w:val="auto"/>
                      <w:spacing w:val="0"/>
                      <w:kern w:val="0"/>
                    </w:rPr>
                    <w:t>相符</w:t>
                  </w:r>
                </w:p>
              </w:tc>
            </w:tr>
            <w:tr w14:paraId="2BF8190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768" w:type="pct"/>
                  <w:tcBorders>
                    <w:tl2br w:val="nil"/>
                    <w:tr2bl w:val="nil"/>
                  </w:tcBorders>
                  <w:vAlign w:val="center"/>
                </w:tcPr>
                <w:p w14:paraId="4B0DF91E">
                  <w:pPr>
                    <w:keepNext w:val="0"/>
                    <w:keepLines w:val="0"/>
                    <w:pageBreakBefore w:val="0"/>
                    <w:widowControl w:val="0"/>
                    <w:kinsoku/>
                    <w:wordWrap/>
                    <w:overflowPunct/>
                    <w:topLinePunct w:val="0"/>
                    <w:autoSpaceDE/>
                    <w:autoSpaceDN/>
                    <w:bidi w:val="0"/>
                    <w:adjustRightInd w:val="0"/>
                    <w:snapToGrid w:val="0"/>
                    <w:jc w:val="center"/>
                    <w:textAlignment w:val="auto"/>
                    <w:rPr>
                      <w:b/>
                      <w:bCs/>
                      <w:color w:val="auto"/>
                      <w:spacing w:val="0"/>
                      <w:kern w:val="0"/>
                    </w:rPr>
                  </w:pPr>
                  <w:r>
                    <w:rPr>
                      <w:b/>
                      <w:bCs/>
                      <w:color w:val="auto"/>
                      <w:spacing w:val="0"/>
                      <w:kern w:val="0"/>
                    </w:rPr>
                    <w:t>《省生态环境厅关于印发江苏省环境影响评价文件环境应急相关内容编制要点的通知》（苏环办[2022]338）号</w:t>
                  </w:r>
                </w:p>
              </w:tc>
              <w:tc>
                <w:tcPr>
                  <w:tcW w:w="1883" w:type="pct"/>
                  <w:gridSpan w:val="2"/>
                  <w:tcBorders>
                    <w:tl2br w:val="nil"/>
                    <w:tr2bl w:val="nil"/>
                  </w:tcBorders>
                  <w:vAlign w:val="center"/>
                </w:tcPr>
                <w:p w14:paraId="641A2576">
                  <w:pPr>
                    <w:keepNext w:val="0"/>
                    <w:keepLines w:val="0"/>
                    <w:pageBreakBefore w:val="0"/>
                    <w:widowControl w:val="0"/>
                    <w:kinsoku/>
                    <w:wordWrap/>
                    <w:overflowPunct/>
                    <w:topLinePunct w:val="0"/>
                    <w:autoSpaceDE/>
                    <w:autoSpaceDN/>
                    <w:bidi w:val="0"/>
                    <w:adjustRightInd w:val="0"/>
                    <w:snapToGrid w:val="0"/>
                    <w:jc w:val="center"/>
                    <w:textAlignment w:val="auto"/>
                    <w:rPr>
                      <w:color w:val="auto"/>
                      <w:spacing w:val="0"/>
                      <w:kern w:val="0"/>
                    </w:rPr>
                  </w:pPr>
                  <w:r>
                    <w:rPr>
                      <w:color w:val="auto"/>
                      <w:spacing w:val="0"/>
                      <w:kern w:val="0"/>
                    </w:rPr>
                    <w:t>建设项目的编制要点适用于环境影响报告书、环境影响报告表所附环境风险专项的环境应急内容编制。</w:t>
                  </w:r>
                </w:p>
                <w:p w14:paraId="1A386157">
                  <w:pPr>
                    <w:keepNext w:val="0"/>
                    <w:keepLines w:val="0"/>
                    <w:pageBreakBefore w:val="0"/>
                    <w:widowControl w:val="0"/>
                    <w:kinsoku/>
                    <w:wordWrap/>
                    <w:overflowPunct/>
                    <w:topLinePunct w:val="0"/>
                    <w:autoSpaceDE/>
                    <w:autoSpaceDN/>
                    <w:bidi w:val="0"/>
                    <w:adjustRightInd w:val="0"/>
                    <w:snapToGrid w:val="0"/>
                    <w:jc w:val="center"/>
                    <w:textAlignment w:val="auto"/>
                    <w:rPr>
                      <w:color w:val="auto"/>
                      <w:spacing w:val="0"/>
                      <w:kern w:val="0"/>
                    </w:rPr>
                  </w:pPr>
                  <w:r>
                    <w:rPr>
                      <w:color w:val="auto"/>
                      <w:spacing w:val="0"/>
                      <w:kern w:val="0"/>
                    </w:rPr>
                    <w:t>1、建设项目的编制要点适用于环境影响报告书、环境影响报告表所附环境风险专项的环境应急内容编制。</w:t>
                  </w:r>
                </w:p>
                <w:p w14:paraId="6AEA69D9">
                  <w:pPr>
                    <w:keepNext w:val="0"/>
                    <w:keepLines w:val="0"/>
                    <w:pageBreakBefore w:val="0"/>
                    <w:widowControl w:val="0"/>
                    <w:kinsoku/>
                    <w:wordWrap/>
                    <w:overflowPunct/>
                    <w:topLinePunct w:val="0"/>
                    <w:autoSpaceDE/>
                    <w:autoSpaceDN/>
                    <w:bidi w:val="0"/>
                    <w:adjustRightInd w:val="0"/>
                    <w:snapToGrid w:val="0"/>
                    <w:jc w:val="center"/>
                    <w:textAlignment w:val="auto"/>
                    <w:rPr>
                      <w:color w:val="auto"/>
                      <w:spacing w:val="0"/>
                      <w:kern w:val="0"/>
                    </w:rPr>
                  </w:pPr>
                  <w:r>
                    <w:rPr>
                      <w:color w:val="auto"/>
                      <w:spacing w:val="0"/>
                      <w:kern w:val="0"/>
                    </w:rPr>
                    <w:t>2、科学判定环境风险评价工作等级和评价范围，系统识别环境风险。合理分析代表性风险事故情形，预测其影响范围与程度；</w:t>
                  </w:r>
                </w:p>
                <w:p w14:paraId="7AE45328">
                  <w:pPr>
                    <w:pStyle w:val="5"/>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pacing w:val="0"/>
                      <w:kern w:val="0"/>
                      <w:szCs w:val="21"/>
                    </w:rPr>
                  </w:pPr>
                  <w:r>
                    <w:rPr>
                      <w:color w:val="auto"/>
                      <w:spacing w:val="0"/>
                      <w:kern w:val="0"/>
                      <w:szCs w:val="21"/>
                    </w:rPr>
                    <w:t>3、明确环境风险防范措施的建设任务。大气环境风险防范应结合风险源实际状况明确环境风险的防范、减缓措施，提出环境</w:t>
                  </w:r>
                  <w:r>
                    <w:rPr>
                      <w:rFonts w:hint="eastAsia"/>
                      <w:color w:val="auto"/>
                      <w:spacing w:val="0"/>
                      <w:kern w:val="0"/>
                      <w:szCs w:val="21"/>
                    </w:rPr>
                    <w:t>风</w:t>
                  </w:r>
                  <w:r>
                    <w:rPr>
                      <w:color w:val="auto"/>
                      <w:spacing w:val="0"/>
                      <w:kern w:val="0"/>
                      <w:szCs w:val="21"/>
                    </w:rPr>
                    <w:t>险监控要求，特别是有毒有害气体厂界监控预警措施，并提供事故状态下区域人员疏散通道和安置场所位置图。事故废水环境风险防范应按照</w:t>
                  </w:r>
                  <w:r>
                    <w:rPr>
                      <w:rFonts w:hint="eastAsia"/>
                      <w:color w:val="auto"/>
                      <w:spacing w:val="0"/>
                      <w:kern w:val="0"/>
                      <w:szCs w:val="21"/>
                    </w:rPr>
                    <w:t>“</w:t>
                  </w:r>
                  <w:r>
                    <w:rPr>
                      <w:color w:val="auto"/>
                      <w:spacing w:val="0"/>
                      <w:kern w:val="0"/>
                      <w:szCs w:val="21"/>
                    </w:rPr>
                    <w:t>单元-厂区-园区/区域</w:t>
                  </w:r>
                  <w:r>
                    <w:rPr>
                      <w:rFonts w:hint="eastAsia"/>
                      <w:color w:val="auto"/>
                      <w:spacing w:val="0"/>
                      <w:kern w:val="0"/>
                      <w:szCs w:val="21"/>
                    </w:rPr>
                    <w:t>”</w:t>
                  </w:r>
                  <w:r>
                    <w:rPr>
                      <w:color w:val="auto"/>
                      <w:spacing w:val="0"/>
                      <w:kern w:val="0"/>
                      <w:szCs w:val="21"/>
                    </w:rPr>
                    <w:t>环境风险防控体系的要求，结合环境风险事故情形和预测结果，提出必要的应急设施（包括围堰、防火堤、应急池、雨污水排口闸阀及配套管网设施等)建设要求，并明确事故废水有效收集和妥善处理方式，以防进入外环境。要提供雨污水、事故废水收集排放管网示意图、环境应急设施分布图等防止事故废水进入外环境的控制、封堵系统图。明确企业与所在园区/区域的环境风险防控体系、设施的衔接和配套。</w:t>
                  </w:r>
                </w:p>
                <w:p w14:paraId="0B2C5992">
                  <w:pPr>
                    <w:pStyle w:val="5"/>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pacing w:val="0"/>
                      <w:kern w:val="0"/>
                      <w:szCs w:val="21"/>
                    </w:rPr>
                  </w:pPr>
                  <w:r>
                    <w:rPr>
                      <w:color w:val="auto"/>
                      <w:spacing w:val="0"/>
                      <w:kern w:val="0"/>
                      <w:szCs w:val="21"/>
                    </w:rPr>
                    <w:t>3、明确环境应急管理制度内容。包括：①突发环境事件应急预案的编制、修订和备案要求;②明确事故状态下的特征污染因子和应急监测能力；③参照相关规范明确环境应急物资装备配备要求；④建立突发环境事件隐患排查治理制度要求，明确隐患排查内容、方式和频次；⑤明确环境应急培训和演练内容、方式、频次和台账记录要求；⑥提出设置环境风险防范设施及环境应急处置卡标识标牌等相关要求。</w:t>
                  </w:r>
                </w:p>
                <w:p w14:paraId="39516E06">
                  <w:pPr>
                    <w:pStyle w:val="5"/>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pacing w:val="0"/>
                      <w:kern w:val="0"/>
                      <w:szCs w:val="21"/>
                    </w:rPr>
                  </w:pPr>
                  <w:r>
                    <w:rPr>
                      <w:color w:val="auto"/>
                      <w:spacing w:val="0"/>
                      <w:kern w:val="0"/>
                      <w:szCs w:val="21"/>
                    </w:rPr>
                    <w:t>4、环境风险防范措施</w:t>
                  </w:r>
                  <w:r>
                    <w:rPr>
                      <w:rFonts w:hint="eastAsia"/>
                      <w:color w:val="auto"/>
                      <w:spacing w:val="0"/>
                      <w:kern w:val="0"/>
                      <w:szCs w:val="21"/>
                    </w:rPr>
                    <w:t>“</w:t>
                  </w:r>
                  <w:r>
                    <w:rPr>
                      <w:color w:val="auto"/>
                      <w:spacing w:val="0"/>
                      <w:kern w:val="0"/>
                      <w:szCs w:val="21"/>
                    </w:rPr>
                    <w:t>三同时</w:t>
                  </w:r>
                  <w:r>
                    <w:rPr>
                      <w:rFonts w:hint="eastAsia"/>
                      <w:color w:val="auto"/>
                      <w:spacing w:val="0"/>
                      <w:kern w:val="0"/>
                      <w:szCs w:val="21"/>
                    </w:rPr>
                    <w:t>”</w:t>
                  </w:r>
                  <w:r>
                    <w:rPr>
                      <w:color w:val="auto"/>
                      <w:spacing w:val="0"/>
                      <w:kern w:val="0"/>
                      <w:szCs w:val="21"/>
                    </w:rPr>
                    <w:t>要求。环境风险防范措施应纳入环保投资和建设项目竣工环保验收内容。</w:t>
                  </w:r>
                </w:p>
                <w:p w14:paraId="000B1203">
                  <w:pPr>
                    <w:pStyle w:val="5"/>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pacing w:val="0"/>
                      <w:kern w:val="0"/>
                      <w:szCs w:val="21"/>
                    </w:rPr>
                  </w:pPr>
                  <w:r>
                    <w:rPr>
                      <w:color w:val="auto"/>
                      <w:spacing w:val="0"/>
                      <w:kern w:val="0"/>
                      <w:szCs w:val="21"/>
                    </w:rPr>
                    <w:t>5、明确环境风险评价结论。根据项目危险因素、环境敏感性及风险事故分析结果，结合环境风险防范措施和应急管理建设内容，明确给出建设项目环境风险是否可防控的结论。</w:t>
                  </w:r>
                </w:p>
              </w:tc>
              <w:tc>
                <w:tcPr>
                  <w:tcW w:w="1862" w:type="pct"/>
                  <w:tcBorders>
                    <w:tl2br w:val="nil"/>
                    <w:tr2bl w:val="nil"/>
                  </w:tcBorders>
                  <w:vAlign w:val="center"/>
                </w:tcPr>
                <w:p w14:paraId="066FDA15">
                  <w:pPr>
                    <w:pStyle w:val="558"/>
                    <w:keepNext w:val="0"/>
                    <w:keepLines w:val="0"/>
                    <w:pageBreakBefore w:val="0"/>
                    <w:widowControl w:val="0"/>
                    <w:kinsoku/>
                    <w:wordWrap/>
                    <w:overflowPunct/>
                    <w:topLinePunct w:val="0"/>
                    <w:autoSpaceDE/>
                    <w:autoSpaceDN/>
                    <w:bidi w:val="0"/>
                    <w:adjustRightInd w:val="0"/>
                    <w:snapToGrid w:val="0"/>
                    <w:textAlignment w:val="auto"/>
                    <w:rPr>
                      <w:color w:val="auto"/>
                      <w:spacing w:val="0"/>
                      <w:kern w:val="0"/>
                    </w:rPr>
                  </w:pPr>
                  <w:r>
                    <w:rPr>
                      <w:color w:val="auto"/>
                      <w:spacing w:val="0"/>
                      <w:kern w:val="0"/>
                    </w:rPr>
                    <w:t>本项目为环境影响报告表，无需设置风险专项内容，本环评仅对环境风险及应急内容提出简要要求，</w:t>
                  </w:r>
                  <w:r>
                    <w:rPr>
                      <w:rFonts w:hint="eastAsia"/>
                      <w:color w:val="auto"/>
                      <w:spacing w:val="0"/>
                      <w:kern w:val="0"/>
                    </w:rPr>
                    <w:t>要求建设单位将</w:t>
                  </w:r>
                  <w:r>
                    <w:rPr>
                      <w:color w:val="auto"/>
                      <w:spacing w:val="0"/>
                      <w:kern w:val="0"/>
                    </w:rPr>
                    <w:t>环境风险防范措施纳入环保投资和建设项目竣工环保验收</w:t>
                  </w:r>
                  <w:r>
                    <w:rPr>
                      <w:rFonts w:hint="eastAsia"/>
                      <w:color w:val="auto"/>
                      <w:spacing w:val="0"/>
                      <w:kern w:val="0"/>
                    </w:rPr>
                    <w:t>中</w:t>
                  </w:r>
                  <w:r>
                    <w:rPr>
                      <w:color w:val="auto"/>
                      <w:spacing w:val="0"/>
                      <w:kern w:val="0"/>
                    </w:rPr>
                    <w:t>。明确给出建设项目环境风险是可防控的结论。项目详细的应急预案编制要点要求、环境风险防范措施等将纳入突发环境事件应急预案中</w:t>
                  </w:r>
                </w:p>
              </w:tc>
              <w:tc>
                <w:tcPr>
                  <w:tcW w:w="485" w:type="pct"/>
                  <w:tcBorders>
                    <w:tl2br w:val="nil"/>
                    <w:tr2bl w:val="nil"/>
                  </w:tcBorders>
                  <w:vAlign w:val="center"/>
                </w:tcPr>
                <w:p w14:paraId="20AEB904">
                  <w:pPr>
                    <w:pStyle w:val="558"/>
                    <w:keepNext w:val="0"/>
                    <w:keepLines w:val="0"/>
                    <w:pageBreakBefore w:val="0"/>
                    <w:widowControl w:val="0"/>
                    <w:kinsoku/>
                    <w:wordWrap/>
                    <w:overflowPunct/>
                    <w:topLinePunct w:val="0"/>
                    <w:autoSpaceDE/>
                    <w:autoSpaceDN/>
                    <w:bidi w:val="0"/>
                    <w:adjustRightInd w:val="0"/>
                    <w:snapToGrid w:val="0"/>
                    <w:textAlignment w:val="auto"/>
                    <w:rPr>
                      <w:color w:val="auto"/>
                      <w:spacing w:val="0"/>
                      <w:kern w:val="0"/>
                    </w:rPr>
                  </w:pPr>
                  <w:r>
                    <w:rPr>
                      <w:color w:val="auto"/>
                      <w:spacing w:val="0"/>
                      <w:kern w:val="0"/>
                    </w:rPr>
                    <w:t>相符</w:t>
                  </w:r>
                </w:p>
              </w:tc>
            </w:tr>
            <w:tr w14:paraId="2D2D3EF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768" w:type="pct"/>
                  <w:tcBorders>
                    <w:tl2br w:val="nil"/>
                    <w:tr2bl w:val="nil"/>
                  </w:tcBorders>
                  <w:vAlign w:val="center"/>
                </w:tcPr>
                <w:p w14:paraId="5C4E8740">
                  <w:pPr>
                    <w:keepNext w:val="0"/>
                    <w:keepLines w:val="0"/>
                    <w:pageBreakBefore w:val="0"/>
                    <w:widowControl w:val="0"/>
                    <w:kinsoku/>
                    <w:wordWrap/>
                    <w:overflowPunct/>
                    <w:topLinePunct w:val="0"/>
                    <w:autoSpaceDE/>
                    <w:autoSpaceDN/>
                    <w:bidi w:val="0"/>
                    <w:adjustRightInd w:val="0"/>
                    <w:snapToGrid w:val="0"/>
                    <w:jc w:val="center"/>
                    <w:textAlignment w:val="auto"/>
                    <w:rPr>
                      <w:b/>
                      <w:bCs/>
                      <w:color w:val="auto"/>
                      <w:spacing w:val="0"/>
                      <w:kern w:val="0"/>
                    </w:rPr>
                  </w:pPr>
                  <w:r>
                    <w:rPr>
                      <w:b/>
                      <w:bCs/>
                      <w:color w:val="auto"/>
                      <w:spacing w:val="0"/>
                      <w:kern w:val="0"/>
                    </w:rPr>
                    <w:t>《关于做好生态环境和应急管理部门联动工作的意见》（苏环办[2020]101号）</w:t>
                  </w:r>
                </w:p>
              </w:tc>
              <w:tc>
                <w:tcPr>
                  <w:tcW w:w="1883" w:type="pct"/>
                  <w:gridSpan w:val="2"/>
                  <w:tcBorders>
                    <w:tl2br w:val="nil"/>
                    <w:tr2bl w:val="nil"/>
                  </w:tcBorders>
                  <w:vAlign w:val="center"/>
                </w:tcPr>
                <w:p w14:paraId="1AD25562">
                  <w:pPr>
                    <w:pStyle w:val="5"/>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pacing w:val="0"/>
                      <w:kern w:val="0"/>
                      <w:szCs w:val="21"/>
                    </w:rPr>
                  </w:pPr>
                  <w:r>
                    <w:rPr>
                      <w:color w:val="auto"/>
                      <w:spacing w:val="0"/>
                      <w:kern w:val="0"/>
                      <w:szCs w:val="21"/>
                    </w:rPr>
                    <w:t>企业要对脱硫脱硝、煤改气、挥发性有机物回收、污水处理、粉尘治理、RTO焚烧炉等六类环境治理设施开展安全风险辨识管控，要健全内部污染防治设施稳定运行和管理责任制度，严格依据标准规范建设环境治理设施，确保环境治理设施安全、稳定、有效运行。</w:t>
                  </w:r>
                </w:p>
              </w:tc>
              <w:tc>
                <w:tcPr>
                  <w:tcW w:w="1862" w:type="pct"/>
                  <w:tcBorders>
                    <w:tl2br w:val="nil"/>
                    <w:tr2bl w:val="nil"/>
                  </w:tcBorders>
                  <w:vAlign w:val="center"/>
                </w:tcPr>
                <w:p w14:paraId="081D466A">
                  <w:pPr>
                    <w:pStyle w:val="558"/>
                    <w:keepNext w:val="0"/>
                    <w:keepLines w:val="0"/>
                    <w:pageBreakBefore w:val="0"/>
                    <w:widowControl w:val="0"/>
                    <w:kinsoku/>
                    <w:wordWrap/>
                    <w:overflowPunct/>
                    <w:topLinePunct w:val="0"/>
                    <w:autoSpaceDE/>
                    <w:autoSpaceDN/>
                    <w:bidi w:val="0"/>
                    <w:adjustRightInd w:val="0"/>
                    <w:snapToGrid w:val="0"/>
                    <w:textAlignment w:val="auto"/>
                    <w:rPr>
                      <w:color w:val="auto"/>
                      <w:spacing w:val="0"/>
                      <w:kern w:val="0"/>
                    </w:rPr>
                  </w:pPr>
                  <w:r>
                    <w:rPr>
                      <w:color w:val="auto"/>
                      <w:spacing w:val="0"/>
                      <w:kern w:val="0"/>
                    </w:rPr>
                    <w:t>企业需按照要求对</w:t>
                  </w:r>
                  <w:r>
                    <w:rPr>
                      <w:rFonts w:hint="eastAsia"/>
                      <w:color w:val="auto"/>
                      <w:spacing w:val="0"/>
                      <w:kern w:val="0"/>
                      <w:lang w:val="en-US" w:eastAsia="zh-CN"/>
                    </w:rPr>
                    <w:t>环保</w:t>
                  </w:r>
                  <w:r>
                    <w:rPr>
                      <w:color w:val="auto"/>
                      <w:spacing w:val="0"/>
                      <w:kern w:val="0"/>
                    </w:rPr>
                    <w:t>设施开展安全风险辨识，确保</w:t>
                  </w:r>
                  <w:r>
                    <w:rPr>
                      <w:rFonts w:hint="eastAsia"/>
                      <w:color w:val="auto"/>
                      <w:spacing w:val="0"/>
                      <w:kern w:val="0"/>
                      <w:lang w:val="en-US" w:eastAsia="zh-CN"/>
                    </w:rPr>
                    <w:t>环保设施</w:t>
                  </w:r>
                  <w:r>
                    <w:rPr>
                      <w:color w:val="auto"/>
                      <w:spacing w:val="0"/>
                      <w:kern w:val="0"/>
                    </w:rPr>
                    <w:t>安全、稳定、有效运行</w:t>
                  </w:r>
                </w:p>
              </w:tc>
              <w:tc>
                <w:tcPr>
                  <w:tcW w:w="485" w:type="pct"/>
                  <w:tcBorders>
                    <w:tl2br w:val="nil"/>
                    <w:tr2bl w:val="nil"/>
                  </w:tcBorders>
                  <w:vAlign w:val="center"/>
                </w:tcPr>
                <w:p w14:paraId="2C7927E3">
                  <w:pPr>
                    <w:pStyle w:val="558"/>
                    <w:keepNext w:val="0"/>
                    <w:keepLines w:val="0"/>
                    <w:pageBreakBefore w:val="0"/>
                    <w:widowControl w:val="0"/>
                    <w:kinsoku/>
                    <w:wordWrap/>
                    <w:overflowPunct/>
                    <w:topLinePunct w:val="0"/>
                    <w:autoSpaceDE/>
                    <w:autoSpaceDN/>
                    <w:bidi w:val="0"/>
                    <w:adjustRightInd w:val="0"/>
                    <w:snapToGrid w:val="0"/>
                    <w:textAlignment w:val="auto"/>
                    <w:rPr>
                      <w:color w:val="auto"/>
                      <w:spacing w:val="0"/>
                      <w:kern w:val="0"/>
                    </w:rPr>
                  </w:pPr>
                  <w:r>
                    <w:rPr>
                      <w:color w:val="auto"/>
                      <w:spacing w:val="0"/>
                      <w:kern w:val="0"/>
                    </w:rPr>
                    <w:t>相符</w:t>
                  </w:r>
                </w:p>
              </w:tc>
            </w:tr>
            <w:tr w14:paraId="22EEF67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768" w:type="pct"/>
                  <w:tcBorders>
                    <w:tl2br w:val="nil"/>
                    <w:tr2bl w:val="nil"/>
                  </w:tcBorders>
                  <w:vAlign w:val="center"/>
                </w:tcPr>
                <w:p w14:paraId="1000207B">
                  <w:pPr>
                    <w:keepNext w:val="0"/>
                    <w:keepLines w:val="0"/>
                    <w:pageBreakBefore w:val="0"/>
                    <w:widowControl w:val="0"/>
                    <w:kinsoku/>
                    <w:wordWrap/>
                    <w:overflowPunct/>
                    <w:topLinePunct w:val="0"/>
                    <w:autoSpaceDE/>
                    <w:autoSpaceDN/>
                    <w:bidi w:val="0"/>
                    <w:adjustRightInd w:val="0"/>
                    <w:snapToGrid w:val="0"/>
                    <w:jc w:val="center"/>
                    <w:textAlignment w:val="auto"/>
                    <w:rPr>
                      <w:b/>
                      <w:bCs/>
                      <w:color w:val="auto"/>
                      <w:spacing w:val="0"/>
                      <w:kern w:val="0"/>
                    </w:rPr>
                  </w:pPr>
                  <w:r>
                    <w:rPr>
                      <w:rFonts w:hint="eastAsia"/>
                      <w:b/>
                      <w:bCs/>
                      <w:color w:val="auto"/>
                      <w:spacing w:val="0"/>
                      <w:kern w:val="0"/>
                    </w:rPr>
                    <w:t>《关于切实加强产业园区规划环境影响评价工作的通知》（苏环办〔2017〕140号）</w:t>
                  </w:r>
                </w:p>
              </w:tc>
              <w:tc>
                <w:tcPr>
                  <w:tcW w:w="1883" w:type="pct"/>
                  <w:gridSpan w:val="2"/>
                  <w:tcBorders>
                    <w:tl2br w:val="nil"/>
                    <w:tr2bl w:val="nil"/>
                  </w:tcBorders>
                  <w:vAlign w:val="center"/>
                </w:tcPr>
                <w:p w14:paraId="2718C756">
                  <w:pPr>
                    <w:pStyle w:val="5"/>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pacing w:val="0"/>
                      <w:kern w:val="0"/>
                      <w:szCs w:val="21"/>
                    </w:rPr>
                  </w:pPr>
                  <w:r>
                    <w:rPr>
                      <w:rFonts w:hint="eastAsia"/>
                      <w:color w:val="auto"/>
                      <w:spacing w:val="0"/>
                      <w:kern w:val="0"/>
                      <w:szCs w:val="21"/>
                    </w:rPr>
                    <w:t>根据《关于切实加强产业园区规划环境影响评价工作的通知》（苏环办〔2017〕140号）中要求“规划环评要作为规划所包含项目环评的重要依据，对于不符合规划环评结论及审查意见的项目环评，依法不予审批”。</w:t>
                  </w:r>
                </w:p>
              </w:tc>
              <w:tc>
                <w:tcPr>
                  <w:tcW w:w="1862" w:type="pct"/>
                  <w:tcBorders>
                    <w:tl2br w:val="nil"/>
                    <w:tr2bl w:val="nil"/>
                  </w:tcBorders>
                  <w:vAlign w:val="center"/>
                </w:tcPr>
                <w:p w14:paraId="3DFAEE35">
                  <w:pPr>
                    <w:pStyle w:val="558"/>
                    <w:keepNext w:val="0"/>
                    <w:keepLines w:val="0"/>
                    <w:pageBreakBefore w:val="0"/>
                    <w:widowControl w:val="0"/>
                    <w:kinsoku/>
                    <w:wordWrap/>
                    <w:overflowPunct/>
                    <w:topLinePunct w:val="0"/>
                    <w:autoSpaceDE/>
                    <w:autoSpaceDN/>
                    <w:bidi w:val="0"/>
                    <w:adjustRightInd w:val="0"/>
                    <w:snapToGrid w:val="0"/>
                    <w:textAlignment w:val="auto"/>
                    <w:rPr>
                      <w:color w:val="auto"/>
                      <w:spacing w:val="0"/>
                      <w:kern w:val="0"/>
                    </w:rPr>
                  </w:pPr>
                  <w:r>
                    <w:rPr>
                      <w:rFonts w:hint="eastAsia"/>
                      <w:color w:val="auto"/>
                      <w:spacing w:val="0"/>
                      <w:kern w:val="0"/>
                    </w:rPr>
                    <w:t>本项目符合园区规划</w:t>
                  </w:r>
                </w:p>
              </w:tc>
              <w:tc>
                <w:tcPr>
                  <w:tcW w:w="485" w:type="pct"/>
                  <w:tcBorders>
                    <w:tl2br w:val="nil"/>
                    <w:tr2bl w:val="nil"/>
                  </w:tcBorders>
                  <w:vAlign w:val="center"/>
                </w:tcPr>
                <w:p w14:paraId="3C7F1B54">
                  <w:pPr>
                    <w:pStyle w:val="558"/>
                    <w:keepNext w:val="0"/>
                    <w:keepLines w:val="0"/>
                    <w:pageBreakBefore w:val="0"/>
                    <w:widowControl w:val="0"/>
                    <w:kinsoku/>
                    <w:wordWrap/>
                    <w:overflowPunct/>
                    <w:topLinePunct w:val="0"/>
                    <w:autoSpaceDE/>
                    <w:autoSpaceDN/>
                    <w:bidi w:val="0"/>
                    <w:adjustRightInd w:val="0"/>
                    <w:snapToGrid w:val="0"/>
                    <w:textAlignment w:val="auto"/>
                    <w:rPr>
                      <w:rFonts w:hint="eastAsia" w:eastAsia="宋体"/>
                      <w:color w:val="auto"/>
                      <w:spacing w:val="0"/>
                      <w:kern w:val="0"/>
                      <w:lang w:val="en-US" w:eastAsia="zh-CN"/>
                    </w:rPr>
                  </w:pPr>
                  <w:r>
                    <w:rPr>
                      <w:rFonts w:hint="eastAsia"/>
                      <w:color w:val="auto"/>
                      <w:spacing w:val="0"/>
                      <w:kern w:val="0"/>
                      <w:lang w:val="en-US" w:eastAsia="zh-CN"/>
                    </w:rPr>
                    <w:t>相符</w:t>
                  </w:r>
                </w:p>
              </w:tc>
            </w:tr>
          </w:tbl>
          <w:p w14:paraId="67E35E6D">
            <w:pPr>
              <w:adjustRightInd w:val="0"/>
              <w:snapToGrid w:val="0"/>
              <w:spacing w:line="360" w:lineRule="auto"/>
              <w:ind w:firstLine="422" w:firstLineChars="200"/>
              <w:rPr>
                <w:b/>
                <w:bCs/>
                <w:color w:val="auto"/>
              </w:rPr>
            </w:pPr>
            <w:r>
              <w:rPr>
                <w:rFonts w:hint="eastAsia"/>
                <w:b/>
                <w:color w:val="auto"/>
              </w:rPr>
              <w:t>（2）与《江苏省“三线一单”生态环境分区管控方案（苏政发[2020]49号）》、</w:t>
            </w:r>
            <w:r>
              <w:rPr>
                <w:b/>
                <w:bCs/>
                <w:color w:val="auto"/>
              </w:rPr>
              <w:t>《常州市</w:t>
            </w:r>
            <w:r>
              <w:rPr>
                <w:rFonts w:hint="eastAsia"/>
                <w:b/>
                <w:bCs/>
                <w:color w:val="auto"/>
              </w:rPr>
              <w:t>“</w:t>
            </w:r>
            <w:r>
              <w:rPr>
                <w:b/>
                <w:bCs/>
                <w:color w:val="auto"/>
              </w:rPr>
              <w:t>三线一单</w:t>
            </w:r>
            <w:r>
              <w:rPr>
                <w:rFonts w:hint="eastAsia"/>
                <w:b/>
                <w:bCs/>
                <w:color w:val="auto"/>
              </w:rPr>
              <w:t>”</w:t>
            </w:r>
            <w:r>
              <w:rPr>
                <w:b/>
                <w:bCs/>
                <w:color w:val="auto"/>
              </w:rPr>
              <w:t>生态环境分区管控实施方案》（常环[2020]95号）相符性</w:t>
            </w:r>
            <w:r>
              <w:rPr>
                <w:rFonts w:hint="eastAsia"/>
                <w:b/>
                <w:bCs/>
                <w:color w:val="auto"/>
              </w:rPr>
              <w:t>分析</w:t>
            </w:r>
          </w:p>
          <w:p w14:paraId="39E9896A">
            <w:pPr>
              <w:overflowPunct w:val="0"/>
              <w:adjustRightInd w:val="0"/>
              <w:snapToGrid w:val="0"/>
              <w:spacing w:line="360" w:lineRule="auto"/>
              <w:ind w:firstLine="420" w:firstLineChars="200"/>
              <w:rPr>
                <w:bCs/>
                <w:color w:val="auto"/>
              </w:rPr>
            </w:pPr>
            <w:r>
              <w:rPr>
                <w:rFonts w:hint="eastAsia"/>
                <w:bCs/>
                <w:color w:val="auto"/>
              </w:rPr>
              <w:t>对照《江苏省“三线一单”生态环境分区管控方案》（苏政发〔2020〕49 号）文件中“（五）落实生态环境管控要求-严格落实生态环境法律法规标准，国家、省和重点区域（流域）环境管理政策，准确把握区域发展战略和生态功能定位，建立完善并落实省域、重点区域（流域）、市域及各类环境管控单元的“1+4+13+N”生态环境分区管控体系，包括全省“1”个总体管控要求，长江流域、太湖流域、淮河流域、沿海地区等“4”个重点区域（流域）管控要求，“13”个设区市管控要求，以及全省“N”个（4365个）环境管控单元的生态环境准入清单。”</w:t>
            </w:r>
          </w:p>
          <w:p w14:paraId="55617559">
            <w:pPr>
              <w:overflowPunct w:val="0"/>
              <w:adjustRightInd w:val="0"/>
              <w:snapToGrid w:val="0"/>
              <w:spacing w:line="360" w:lineRule="auto"/>
              <w:ind w:firstLine="420" w:firstLineChars="200"/>
              <w:rPr>
                <w:bCs/>
                <w:color w:val="auto"/>
              </w:rPr>
            </w:pPr>
            <w:r>
              <w:rPr>
                <w:rFonts w:hint="eastAsia"/>
                <w:bCs/>
                <w:color w:val="auto"/>
              </w:rPr>
              <w:t>本项目位于</w:t>
            </w:r>
            <w:r>
              <w:rPr>
                <w:rFonts w:hint="eastAsia"/>
                <w:bCs/>
                <w:color w:val="auto"/>
                <w:lang w:eastAsia="zh-CN"/>
              </w:rPr>
              <w:t>江苏省常州市金坛区亿晶路99号</w:t>
            </w:r>
            <w:r>
              <w:rPr>
                <w:rFonts w:hint="eastAsia"/>
                <w:bCs/>
                <w:color w:val="auto"/>
              </w:rPr>
              <w:t>，属于长江流域及太湖流域，为重点区域（流域）。对照江苏省重点区域（流域）生态环境分区管控要求，具体分析见下表。</w:t>
            </w:r>
          </w:p>
          <w:p w14:paraId="7030B76C">
            <w:pPr>
              <w:overflowPunct w:val="0"/>
              <w:adjustRightInd w:val="0"/>
              <w:snapToGrid w:val="0"/>
              <w:jc w:val="center"/>
              <w:rPr>
                <w:b/>
                <w:color w:val="auto"/>
              </w:rPr>
            </w:pPr>
            <w:r>
              <w:rPr>
                <w:rFonts w:hint="eastAsia"/>
                <w:b/>
                <w:color w:val="auto"/>
              </w:rPr>
              <w:t>表1-</w:t>
            </w:r>
            <w:r>
              <w:rPr>
                <w:rFonts w:hint="eastAsia"/>
                <w:b/>
                <w:color w:val="auto"/>
                <w:lang w:val="en-US" w:eastAsia="zh-CN"/>
              </w:rPr>
              <w:t>7</w:t>
            </w:r>
            <w:r>
              <w:rPr>
                <w:rFonts w:hint="eastAsia"/>
                <w:b/>
                <w:color w:val="auto"/>
              </w:rPr>
              <w:t xml:space="preserve">   与《江苏省“三线一单”生态环境分区管控方案》相符性</w:t>
            </w:r>
          </w:p>
          <w:tbl>
            <w:tblPr>
              <w:tblStyle w:val="59"/>
              <w:tblW w:w="4999" w:type="pct"/>
              <w:tblInd w:w="0" w:type="dxa"/>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812"/>
              <w:gridCol w:w="3238"/>
              <w:gridCol w:w="3185"/>
              <w:gridCol w:w="914"/>
            </w:tblGrid>
            <w:tr w14:paraId="50ED30D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498" w:type="pct"/>
                  <w:tcBorders>
                    <w:tl2br w:val="nil"/>
                    <w:tr2bl w:val="nil"/>
                  </w:tcBorders>
                  <w:vAlign w:val="center"/>
                </w:tcPr>
                <w:p w14:paraId="75CEB1D0">
                  <w:pPr>
                    <w:overflowPunct w:val="0"/>
                    <w:adjustRightInd w:val="0"/>
                    <w:snapToGrid w:val="0"/>
                    <w:jc w:val="center"/>
                    <w:rPr>
                      <w:b/>
                      <w:color w:val="auto"/>
                    </w:rPr>
                  </w:pPr>
                  <w:r>
                    <w:rPr>
                      <w:rFonts w:hint="eastAsia"/>
                      <w:b/>
                      <w:color w:val="auto"/>
                    </w:rPr>
                    <w:t>管控类别</w:t>
                  </w:r>
                </w:p>
              </w:tc>
              <w:tc>
                <w:tcPr>
                  <w:tcW w:w="1987" w:type="pct"/>
                  <w:tcBorders>
                    <w:tl2br w:val="nil"/>
                    <w:tr2bl w:val="nil"/>
                  </w:tcBorders>
                  <w:vAlign w:val="center"/>
                </w:tcPr>
                <w:p w14:paraId="7756B88F">
                  <w:pPr>
                    <w:overflowPunct w:val="0"/>
                    <w:adjustRightInd w:val="0"/>
                    <w:snapToGrid w:val="0"/>
                    <w:jc w:val="center"/>
                    <w:rPr>
                      <w:b/>
                      <w:color w:val="auto"/>
                    </w:rPr>
                  </w:pPr>
                  <w:r>
                    <w:rPr>
                      <w:rFonts w:hint="eastAsia"/>
                      <w:b/>
                      <w:color w:val="auto"/>
                    </w:rPr>
                    <w:t>重点管控要求</w:t>
                  </w:r>
                </w:p>
              </w:tc>
              <w:tc>
                <w:tcPr>
                  <w:tcW w:w="1954" w:type="pct"/>
                  <w:tcBorders>
                    <w:tl2br w:val="nil"/>
                    <w:tr2bl w:val="nil"/>
                  </w:tcBorders>
                  <w:vAlign w:val="center"/>
                </w:tcPr>
                <w:p w14:paraId="142752C3">
                  <w:pPr>
                    <w:overflowPunct w:val="0"/>
                    <w:adjustRightInd w:val="0"/>
                    <w:snapToGrid w:val="0"/>
                    <w:jc w:val="center"/>
                    <w:rPr>
                      <w:b/>
                      <w:color w:val="auto"/>
                    </w:rPr>
                  </w:pPr>
                  <w:r>
                    <w:rPr>
                      <w:rStyle w:val="71"/>
                      <w:rFonts w:hint="eastAsia"/>
                      <w:b/>
                      <w:bCs/>
                      <w:color w:val="auto"/>
                      <w:kern w:val="0"/>
                    </w:rPr>
                    <w:t>本项目情况</w:t>
                  </w:r>
                </w:p>
              </w:tc>
              <w:tc>
                <w:tcPr>
                  <w:tcW w:w="559" w:type="pct"/>
                  <w:tcBorders>
                    <w:tl2br w:val="nil"/>
                    <w:tr2bl w:val="nil"/>
                  </w:tcBorders>
                  <w:vAlign w:val="center"/>
                </w:tcPr>
                <w:p w14:paraId="33E919A8">
                  <w:pPr>
                    <w:overflowPunct w:val="0"/>
                    <w:adjustRightInd w:val="0"/>
                    <w:snapToGrid w:val="0"/>
                    <w:jc w:val="center"/>
                    <w:rPr>
                      <w:rStyle w:val="71"/>
                      <w:color w:val="auto"/>
                      <w:kern w:val="0"/>
                    </w:rPr>
                  </w:pPr>
                  <w:r>
                    <w:rPr>
                      <w:rStyle w:val="71"/>
                      <w:rFonts w:hint="eastAsia"/>
                      <w:b/>
                      <w:bCs/>
                      <w:color w:val="auto"/>
                      <w:kern w:val="0"/>
                    </w:rPr>
                    <w:t>相符性</w:t>
                  </w:r>
                </w:p>
              </w:tc>
            </w:tr>
            <w:tr w14:paraId="1795940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5000" w:type="pct"/>
                  <w:gridSpan w:val="4"/>
                  <w:tcBorders>
                    <w:tl2br w:val="nil"/>
                    <w:tr2bl w:val="nil"/>
                  </w:tcBorders>
                  <w:vAlign w:val="center"/>
                </w:tcPr>
                <w:p w14:paraId="33E87C62">
                  <w:pPr>
                    <w:overflowPunct w:val="0"/>
                    <w:adjustRightInd w:val="0"/>
                    <w:snapToGrid w:val="0"/>
                    <w:jc w:val="center"/>
                    <w:rPr>
                      <w:b/>
                      <w:color w:val="auto"/>
                    </w:rPr>
                  </w:pPr>
                  <w:r>
                    <w:rPr>
                      <w:rFonts w:hint="eastAsia"/>
                      <w:b/>
                      <w:color w:val="auto"/>
                    </w:rPr>
                    <w:t>一、长江流域</w:t>
                  </w:r>
                </w:p>
              </w:tc>
            </w:tr>
            <w:tr w14:paraId="28C9628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498" w:type="pct"/>
                  <w:tcBorders>
                    <w:tl2br w:val="nil"/>
                    <w:tr2bl w:val="nil"/>
                  </w:tcBorders>
                  <w:vAlign w:val="center"/>
                </w:tcPr>
                <w:p w14:paraId="0E80804E">
                  <w:pPr>
                    <w:overflowPunct w:val="0"/>
                    <w:adjustRightInd w:val="0"/>
                    <w:snapToGrid w:val="0"/>
                    <w:jc w:val="center"/>
                    <w:rPr>
                      <w:bCs/>
                      <w:color w:val="auto"/>
                    </w:rPr>
                  </w:pPr>
                  <w:r>
                    <w:rPr>
                      <w:rFonts w:hint="eastAsia"/>
                      <w:bCs/>
                      <w:color w:val="auto"/>
                    </w:rPr>
                    <w:t>空间布局约束</w:t>
                  </w:r>
                </w:p>
              </w:tc>
              <w:tc>
                <w:tcPr>
                  <w:tcW w:w="1987" w:type="pct"/>
                  <w:tcBorders>
                    <w:tl2br w:val="nil"/>
                    <w:tr2bl w:val="nil"/>
                  </w:tcBorders>
                  <w:vAlign w:val="center"/>
                </w:tcPr>
                <w:p w14:paraId="4E29566A">
                  <w:pPr>
                    <w:overflowPunct w:val="0"/>
                    <w:adjustRightInd w:val="0"/>
                    <w:snapToGrid w:val="0"/>
                    <w:jc w:val="left"/>
                    <w:rPr>
                      <w:bCs/>
                      <w:color w:val="auto"/>
                    </w:rPr>
                  </w:pPr>
                  <w:r>
                    <w:rPr>
                      <w:rFonts w:hint="eastAsia"/>
                      <w:bCs/>
                      <w:color w:val="auto"/>
                    </w:rPr>
                    <w:t>1.始终把长江生态修复放在首位，坚持共抓大保护、不搞大开发，引导长江流域产业转型升级和布局优化调整，实现科学发展、有序发展、高质量发展。</w:t>
                  </w:r>
                </w:p>
                <w:p w14:paraId="30219749">
                  <w:pPr>
                    <w:overflowPunct w:val="0"/>
                    <w:adjustRightInd w:val="0"/>
                    <w:snapToGrid w:val="0"/>
                    <w:jc w:val="left"/>
                    <w:rPr>
                      <w:bCs/>
                      <w:color w:val="auto"/>
                    </w:rPr>
                  </w:pPr>
                  <w:r>
                    <w:rPr>
                      <w:rFonts w:hint="eastAsia"/>
                      <w:bCs/>
                      <w:color w:val="auto"/>
                    </w:rPr>
                    <w:t>2.加强生态空间保护，禁止在国家确定的生态保护红线和永久基本农田范围内，投资建设除国家重大战略资源勘查项目、生态保护修复和地质灾害治理项目、重大基础设施项目、军事国防项目以及农民基本生产生活等必要的民生项目以外的项目。</w:t>
                  </w:r>
                </w:p>
                <w:p w14:paraId="7E05FF9B">
                  <w:pPr>
                    <w:overflowPunct w:val="0"/>
                    <w:adjustRightInd w:val="0"/>
                    <w:snapToGrid w:val="0"/>
                    <w:jc w:val="left"/>
                    <w:rPr>
                      <w:bCs/>
                      <w:color w:val="auto"/>
                    </w:rPr>
                  </w:pPr>
                  <w:r>
                    <w:rPr>
                      <w:rFonts w:hint="eastAsia"/>
                      <w:bCs/>
                      <w:color w:val="auto"/>
                    </w:rPr>
                    <w:t>3.禁止在沿江地区新建或扩建化学工业园区，禁止新建或扩建以大宗进口油气资源为原料的石油加工、石油化工、基础有机无机化工、煤化工项目；禁止在长江干流和主要支流岸线1公里范围内新建危化品码头。</w:t>
                  </w:r>
                </w:p>
                <w:p w14:paraId="43CB0EBA">
                  <w:pPr>
                    <w:overflowPunct w:val="0"/>
                    <w:adjustRightInd w:val="0"/>
                    <w:snapToGrid w:val="0"/>
                    <w:jc w:val="left"/>
                    <w:rPr>
                      <w:bCs/>
                      <w:color w:val="auto"/>
                    </w:rPr>
                  </w:pPr>
                  <w:r>
                    <w:rPr>
                      <w:rFonts w:hint="eastAsia"/>
                      <w:bCs/>
                      <w:color w:val="auto"/>
                    </w:rPr>
                    <w:t>4.强化港口布局优化，禁止建设不符合国家港口布局规划和《江苏省沿江沿海港口布局规划（2015-2030年）》《江苏省内河港口布局规划（2017-2035年）》的码头项目，禁止建设未纳入《长江干线过江通道布局规划》的过江干线通道项目。</w:t>
                  </w:r>
                </w:p>
                <w:p w14:paraId="2C0024BF">
                  <w:pPr>
                    <w:overflowPunct w:val="0"/>
                    <w:adjustRightInd w:val="0"/>
                    <w:snapToGrid w:val="0"/>
                    <w:jc w:val="left"/>
                    <w:rPr>
                      <w:bCs/>
                      <w:color w:val="auto"/>
                    </w:rPr>
                  </w:pPr>
                  <w:r>
                    <w:rPr>
                      <w:rFonts w:hint="eastAsia"/>
                      <w:bCs/>
                      <w:color w:val="auto"/>
                    </w:rPr>
                    <w:t>5.禁止新建独立焦化项目。</w:t>
                  </w:r>
                </w:p>
              </w:tc>
              <w:tc>
                <w:tcPr>
                  <w:tcW w:w="1954" w:type="pct"/>
                  <w:tcBorders>
                    <w:tl2br w:val="nil"/>
                    <w:tr2bl w:val="nil"/>
                  </w:tcBorders>
                  <w:vAlign w:val="center"/>
                </w:tcPr>
                <w:p w14:paraId="23D47F2A">
                  <w:pPr>
                    <w:overflowPunct w:val="0"/>
                    <w:adjustRightInd w:val="0"/>
                    <w:snapToGrid w:val="0"/>
                    <w:jc w:val="center"/>
                    <w:rPr>
                      <w:bCs/>
                      <w:color w:val="auto"/>
                    </w:rPr>
                  </w:pPr>
                  <w:r>
                    <w:rPr>
                      <w:color w:val="auto"/>
                    </w:rPr>
                    <w:t>本项目位于</w:t>
                  </w:r>
                  <w:r>
                    <w:rPr>
                      <w:rFonts w:hint="eastAsia"/>
                      <w:color w:val="auto"/>
                      <w:lang w:eastAsia="zh-CN"/>
                    </w:rPr>
                    <w:t>江苏省常州市金坛区亿晶路99号</w:t>
                  </w:r>
                  <w:r>
                    <w:rPr>
                      <w:rFonts w:hint="eastAsia"/>
                      <w:color w:val="auto"/>
                    </w:rPr>
                    <w:t>，</w:t>
                  </w:r>
                  <w:r>
                    <w:rPr>
                      <w:color w:val="auto"/>
                    </w:rPr>
                    <w:t>不在生态保护红线和永久基本农田范围内，属于沿江地区，</w:t>
                  </w:r>
                  <w:r>
                    <w:rPr>
                      <w:rFonts w:hint="eastAsia"/>
                      <w:color w:val="auto"/>
                    </w:rPr>
                    <w:t>不在</w:t>
                  </w:r>
                  <w:r>
                    <w:rPr>
                      <w:color w:val="auto"/>
                      <w:kern w:val="24"/>
                    </w:rPr>
                    <w:t>长江干流和主要支流岸线1公里范围内</w:t>
                  </w:r>
                  <w:r>
                    <w:rPr>
                      <w:rFonts w:hint="eastAsia"/>
                      <w:color w:val="auto"/>
                      <w:kern w:val="24"/>
                    </w:rPr>
                    <w:t>，</w:t>
                  </w:r>
                  <w:r>
                    <w:rPr>
                      <w:color w:val="auto"/>
                    </w:rPr>
                    <w:t>不在港口</w:t>
                  </w:r>
                  <w:r>
                    <w:rPr>
                      <w:rFonts w:hint="eastAsia"/>
                      <w:color w:val="auto"/>
                    </w:rPr>
                    <w:t>范围</w:t>
                  </w:r>
                  <w:r>
                    <w:rPr>
                      <w:color w:val="auto"/>
                    </w:rPr>
                    <w:t>内。本项目属于</w:t>
                  </w:r>
                  <w:r>
                    <w:rPr>
                      <w:rFonts w:hint="eastAsia"/>
                      <w:color w:val="auto"/>
                      <w:lang w:eastAsia="zh-CN"/>
                    </w:rPr>
                    <w:t>C3811发电机及发电机组制造</w:t>
                  </w:r>
                  <w:r>
                    <w:rPr>
                      <w:rFonts w:hint="eastAsia"/>
                      <w:color w:val="auto"/>
                    </w:rPr>
                    <w:t>，项目建设不涉及化工、石油化工、码头、焦化等禁止建设项目。</w:t>
                  </w:r>
                </w:p>
              </w:tc>
              <w:tc>
                <w:tcPr>
                  <w:tcW w:w="559" w:type="pct"/>
                  <w:tcBorders>
                    <w:tl2br w:val="nil"/>
                    <w:tr2bl w:val="nil"/>
                  </w:tcBorders>
                  <w:vAlign w:val="center"/>
                </w:tcPr>
                <w:p w14:paraId="2B96FFA5">
                  <w:pPr>
                    <w:overflowPunct w:val="0"/>
                    <w:adjustRightInd w:val="0"/>
                    <w:snapToGrid w:val="0"/>
                    <w:jc w:val="center"/>
                    <w:rPr>
                      <w:bCs/>
                      <w:color w:val="auto"/>
                    </w:rPr>
                  </w:pPr>
                  <w:r>
                    <w:rPr>
                      <w:rFonts w:hint="eastAsia"/>
                      <w:bCs/>
                      <w:color w:val="auto"/>
                    </w:rPr>
                    <w:t>符合</w:t>
                  </w:r>
                </w:p>
              </w:tc>
            </w:tr>
            <w:tr w14:paraId="400DF373">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498" w:type="pct"/>
                  <w:tcBorders>
                    <w:tl2br w:val="nil"/>
                    <w:tr2bl w:val="nil"/>
                  </w:tcBorders>
                  <w:vAlign w:val="center"/>
                </w:tcPr>
                <w:p w14:paraId="796E5CE7">
                  <w:pPr>
                    <w:overflowPunct w:val="0"/>
                    <w:adjustRightInd w:val="0"/>
                    <w:snapToGrid w:val="0"/>
                    <w:jc w:val="center"/>
                    <w:rPr>
                      <w:bCs/>
                      <w:color w:val="auto"/>
                    </w:rPr>
                  </w:pPr>
                  <w:r>
                    <w:rPr>
                      <w:rFonts w:hint="eastAsia"/>
                      <w:bCs/>
                      <w:color w:val="auto"/>
                    </w:rPr>
                    <w:t>污染物排放管控</w:t>
                  </w:r>
                </w:p>
              </w:tc>
              <w:tc>
                <w:tcPr>
                  <w:tcW w:w="1987" w:type="pct"/>
                  <w:tcBorders>
                    <w:tl2br w:val="nil"/>
                    <w:tr2bl w:val="nil"/>
                  </w:tcBorders>
                  <w:vAlign w:val="center"/>
                </w:tcPr>
                <w:p w14:paraId="4516BDE1">
                  <w:pPr>
                    <w:overflowPunct w:val="0"/>
                    <w:adjustRightInd w:val="0"/>
                    <w:snapToGrid w:val="0"/>
                    <w:rPr>
                      <w:bCs/>
                      <w:color w:val="auto"/>
                    </w:rPr>
                  </w:pPr>
                  <w:r>
                    <w:rPr>
                      <w:rFonts w:hint="eastAsia"/>
                      <w:bCs/>
                      <w:color w:val="auto"/>
                    </w:rPr>
                    <w:t>1.根据《江苏省长江水污染防治条例》实施污染物总量控制制度。</w:t>
                  </w:r>
                </w:p>
                <w:p w14:paraId="4158F386">
                  <w:pPr>
                    <w:overflowPunct w:val="0"/>
                    <w:adjustRightInd w:val="0"/>
                    <w:snapToGrid w:val="0"/>
                    <w:rPr>
                      <w:bCs/>
                      <w:color w:val="auto"/>
                    </w:rPr>
                  </w:pPr>
                  <w:r>
                    <w:rPr>
                      <w:rFonts w:hint="eastAsia"/>
                      <w:bCs/>
                      <w:color w:val="auto"/>
                    </w:rPr>
                    <w:t>2.全面加强和规范长江入河排污口管理，有效管控入河污染物排放，形成权责清晰、监控到位、管理规范的长江入河排污口监管体系，加快改善长江水环境质量。</w:t>
                  </w:r>
                </w:p>
              </w:tc>
              <w:tc>
                <w:tcPr>
                  <w:tcW w:w="1954" w:type="pct"/>
                  <w:tcBorders>
                    <w:tl2br w:val="nil"/>
                    <w:tr2bl w:val="nil"/>
                  </w:tcBorders>
                  <w:vAlign w:val="center"/>
                </w:tcPr>
                <w:p w14:paraId="16F7A45F">
                  <w:pPr>
                    <w:adjustRightInd w:val="0"/>
                    <w:snapToGrid w:val="0"/>
                    <w:jc w:val="center"/>
                    <w:rPr>
                      <w:bCs/>
                      <w:color w:val="auto"/>
                    </w:rPr>
                  </w:pPr>
                  <w:r>
                    <w:rPr>
                      <w:rFonts w:hint="eastAsia"/>
                      <w:color w:val="auto"/>
                    </w:rPr>
                    <w:t>本项目实施污染物总量控制制度，总量区域内平衡。本项目不涉及</w:t>
                  </w:r>
                  <w:r>
                    <w:rPr>
                      <w:color w:val="auto"/>
                    </w:rPr>
                    <w:t>长江入河排污口</w:t>
                  </w:r>
                  <w:r>
                    <w:rPr>
                      <w:rFonts w:hint="eastAsia"/>
                      <w:color w:val="auto"/>
                    </w:rPr>
                    <w:t>。</w:t>
                  </w:r>
                </w:p>
              </w:tc>
              <w:tc>
                <w:tcPr>
                  <w:tcW w:w="559" w:type="pct"/>
                  <w:tcBorders>
                    <w:tl2br w:val="nil"/>
                    <w:tr2bl w:val="nil"/>
                  </w:tcBorders>
                  <w:vAlign w:val="center"/>
                </w:tcPr>
                <w:p w14:paraId="61E26E98">
                  <w:pPr>
                    <w:overflowPunct w:val="0"/>
                    <w:adjustRightInd w:val="0"/>
                    <w:snapToGrid w:val="0"/>
                    <w:jc w:val="center"/>
                    <w:rPr>
                      <w:bCs/>
                      <w:color w:val="auto"/>
                    </w:rPr>
                  </w:pPr>
                  <w:r>
                    <w:rPr>
                      <w:rFonts w:hint="eastAsia"/>
                      <w:bCs/>
                      <w:color w:val="auto"/>
                    </w:rPr>
                    <w:t>符合</w:t>
                  </w:r>
                </w:p>
              </w:tc>
            </w:tr>
            <w:tr w14:paraId="0B10B39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498" w:type="pct"/>
                  <w:tcBorders>
                    <w:tl2br w:val="nil"/>
                    <w:tr2bl w:val="nil"/>
                  </w:tcBorders>
                  <w:vAlign w:val="center"/>
                </w:tcPr>
                <w:p w14:paraId="7B11E00D">
                  <w:pPr>
                    <w:overflowPunct w:val="0"/>
                    <w:adjustRightInd w:val="0"/>
                    <w:snapToGrid w:val="0"/>
                    <w:jc w:val="center"/>
                    <w:rPr>
                      <w:bCs/>
                      <w:color w:val="auto"/>
                    </w:rPr>
                  </w:pPr>
                  <w:r>
                    <w:rPr>
                      <w:rFonts w:hint="eastAsia"/>
                      <w:bCs/>
                      <w:color w:val="auto"/>
                    </w:rPr>
                    <w:t>环境风险防控</w:t>
                  </w:r>
                </w:p>
              </w:tc>
              <w:tc>
                <w:tcPr>
                  <w:tcW w:w="1987" w:type="pct"/>
                  <w:tcBorders>
                    <w:tl2br w:val="nil"/>
                    <w:tr2bl w:val="nil"/>
                  </w:tcBorders>
                  <w:vAlign w:val="center"/>
                </w:tcPr>
                <w:p w14:paraId="769F1443">
                  <w:pPr>
                    <w:overflowPunct w:val="0"/>
                    <w:adjustRightInd w:val="0"/>
                    <w:snapToGrid w:val="0"/>
                    <w:rPr>
                      <w:bCs/>
                      <w:color w:val="auto"/>
                    </w:rPr>
                  </w:pPr>
                  <w:r>
                    <w:rPr>
                      <w:rFonts w:hint="eastAsia"/>
                      <w:bCs/>
                      <w:color w:val="auto"/>
                    </w:rPr>
                    <w:t>1.防范沿江环境风险。深化沿江石化、化工、医药、纺织、印染、化纤、危化品和石油类仓储、涉重金属和危险废物处置等重点企业环境风险防控。</w:t>
                  </w:r>
                </w:p>
                <w:p w14:paraId="5A5763E5">
                  <w:pPr>
                    <w:overflowPunct w:val="0"/>
                    <w:adjustRightInd w:val="0"/>
                    <w:snapToGrid w:val="0"/>
                    <w:rPr>
                      <w:bCs/>
                      <w:color w:val="auto"/>
                    </w:rPr>
                  </w:pPr>
                  <w:r>
                    <w:rPr>
                      <w:rFonts w:hint="eastAsia"/>
                      <w:bCs/>
                      <w:color w:val="auto"/>
                    </w:rPr>
                    <w:t>2.加强饮用水水源保护。优化水源保护区划定，推动饮用水水源地规范化建设。</w:t>
                  </w:r>
                </w:p>
              </w:tc>
              <w:tc>
                <w:tcPr>
                  <w:tcW w:w="1954" w:type="pct"/>
                  <w:tcBorders>
                    <w:tl2br w:val="nil"/>
                    <w:tr2bl w:val="nil"/>
                  </w:tcBorders>
                  <w:vAlign w:val="center"/>
                </w:tcPr>
                <w:p w14:paraId="157CB31F">
                  <w:pPr>
                    <w:adjustRightInd w:val="0"/>
                    <w:snapToGrid w:val="0"/>
                    <w:jc w:val="center"/>
                    <w:rPr>
                      <w:bCs/>
                      <w:color w:val="auto"/>
                    </w:rPr>
                  </w:pPr>
                  <w:r>
                    <w:rPr>
                      <w:rFonts w:hint="eastAsia"/>
                      <w:color w:val="auto"/>
                    </w:rPr>
                    <w:t>本项目所在地属于沿江范围。本项目不属于石化、化工等重点环境风险防控单位，企业仍加强环境风险防控。本项目不在</w:t>
                  </w:r>
                  <w:r>
                    <w:rPr>
                      <w:color w:val="auto"/>
                    </w:rPr>
                    <w:t>饮用水水源保护区</w:t>
                  </w:r>
                  <w:r>
                    <w:rPr>
                      <w:rFonts w:hint="eastAsia"/>
                      <w:color w:val="auto"/>
                    </w:rPr>
                    <w:t>范围内，</w:t>
                  </w:r>
                  <w:r>
                    <w:rPr>
                      <w:color w:val="auto"/>
                      <w:kern w:val="24"/>
                    </w:rPr>
                    <w:t>项目的建设不会对饮水水源地造成影响</w:t>
                  </w:r>
                  <w:r>
                    <w:rPr>
                      <w:rFonts w:hint="eastAsia"/>
                      <w:color w:val="auto"/>
                    </w:rPr>
                    <w:t>。</w:t>
                  </w:r>
                </w:p>
              </w:tc>
              <w:tc>
                <w:tcPr>
                  <w:tcW w:w="559" w:type="pct"/>
                  <w:tcBorders>
                    <w:tl2br w:val="nil"/>
                    <w:tr2bl w:val="nil"/>
                  </w:tcBorders>
                  <w:vAlign w:val="center"/>
                </w:tcPr>
                <w:p w14:paraId="3C721731">
                  <w:pPr>
                    <w:overflowPunct w:val="0"/>
                    <w:adjustRightInd w:val="0"/>
                    <w:snapToGrid w:val="0"/>
                    <w:jc w:val="center"/>
                    <w:rPr>
                      <w:bCs/>
                      <w:color w:val="auto"/>
                    </w:rPr>
                  </w:pPr>
                  <w:r>
                    <w:rPr>
                      <w:rFonts w:hint="eastAsia"/>
                      <w:bCs/>
                      <w:color w:val="auto"/>
                    </w:rPr>
                    <w:t>符合</w:t>
                  </w:r>
                </w:p>
              </w:tc>
            </w:tr>
            <w:tr w14:paraId="5E7EE83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498" w:type="pct"/>
                  <w:tcBorders>
                    <w:tl2br w:val="nil"/>
                    <w:tr2bl w:val="nil"/>
                  </w:tcBorders>
                  <w:vAlign w:val="center"/>
                </w:tcPr>
                <w:p w14:paraId="23612A29">
                  <w:pPr>
                    <w:overflowPunct w:val="0"/>
                    <w:adjustRightInd w:val="0"/>
                    <w:snapToGrid w:val="0"/>
                    <w:jc w:val="center"/>
                    <w:rPr>
                      <w:bCs/>
                      <w:color w:val="auto"/>
                    </w:rPr>
                  </w:pPr>
                  <w:r>
                    <w:rPr>
                      <w:rFonts w:hint="eastAsia"/>
                      <w:bCs/>
                      <w:color w:val="auto"/>
                    </w:rPr>
                    <w:t>资源利用效率要求</w:t>
                  </w:r>
                </w:p>
              </w:tc>
              <w:tc>
                <w:tcPr>
                  <w:tcW w:w="1987" w:type="pct"/>
                  <w:tcBorders>
                    <w:tl2br w:val="nil"/>
                    <w:tr2bl w:val="nil"/>
                  </w:tcBorders>
                  <w:vAlign w:val="center"/>
                </w:tcPr>
                <w:p w14:paraId="2B740763">
                  <w:pPr>
                    <w:overflowPunct w:val="0"/>
                    <w:adjustRightInd w:val="0"/>
                    <w:snapToGrid w:val="0"/>
                    <w:rPr>
                      <w:bCs/>
                      <w:color w:val="auto"/>
                    </w:rPr>
                  </w:pPr>
                  <w:r>
                    <w:rPr>
                      <w:rFonts w:hint="eastAsia"/>
                      <w:bCs/>
                      <w:color w:val="auto"/>
                    </w:rPr>
                    <w:t>到2020年长江干支流自然岸线保有率达到国家要求。</w:t>
                  </w:r>
                </w:p>
              </w:tc>
              <w:tc>
                <w:tcPr>
                  <w:tcW w:w="1954" w:type="pct"/>
                  <w:tcBorders>
                    <w:tl2br w:val="nil"/>
                    <w:tr2bl w:val="nil"/>
                  </w:tcBorders>
                  <w:vAlign w:val="center"/>
                </w:tcPr>
                <w:p w14:paraId="6EDA01B5">
                  <w:pPr>
                    <w:overflowPunct w:val="0"/>
                    <w:adjustRightInd w:val="0"/>
                    <w:snapToGrid w:val="0"/>
                    <w:jc w:val="center"/>
                    <w:rPr>
                      <w:bCs/>
                      <w:color w:val="auto"/>
                    </w:rPr>
                  </w:pPr>
                  <w:r>
                    <w:rPr>
                      <w:rFonts w:hint="eastAsia"/>
                      <w:bCs/>
                      <w:color w:val="auto"/>
                    </w:rPr>
                    <w:t>本项目不涉及。</w:t>
                  </w:r>
                </w:p>
              </w:tc>
              <w:tc>
                <w:tcPr>
                  <w:tcW w:w="559" w:type="pct"/>
                  <w:tcBorders>
                    <w:tl2br w:val="nil"/>
                    <w:tr2bl w:val="nil"/>
                  </w:tcBorders>
                  <w:vAlign w:val="center"/>
                </w:tcPr>
                <w:p w14:paraId="336EFF09">
                  <w:pPr>
                    <w:overflowPunct w:val="0"/>
                    <w:adjustRightInd w:val="0"/>
                    <w:snapToGrid w:val="0"/>
                    <w:jc w:val="center"/>
                    <w:rPr>
                      <w:bCs/>
                      <w:color w:val="auto"/>
                    </w:rPr>
                  </w:pPr>
                  <w:r>
                    <w:rPr>
                      <w:rFonts w:hint="eastAsia"/>
                      <w:bCs/>
                      <w:color w:val="auto"/>
                    </w:rPr>
                    <w:t>符合</w:t>
                  </w:r>
                </w:p>
              </w:tc>
            </w:tr>
            <w:tr w14:paraId="596A194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5000" w:type="pct"/>
                  <w:gridSpan w:val="4"/>
                  <w:tcBorders>
                    <w:tl2br w:val="nil"/>
                    <w:tr2bl w:val="nil"/>
                  </w:tcBorders>
                  <w:vAlign w:val="center"/>
                </w:tcPr>
                <w:p w14:paraId="39613253">
                  <w:pPr>
                    <w:overflowPunct w:val="0"/>
                    <w:adjustRightInd w:val="0"/>
                    <w:snapToGrid w:val="0"/>
                    <w:jc w:val="center"/>
                    <w:rPr>
                      <w:b/>
                      <w:color w:val="auto"/>
                    </w:rPr>
                  </w:pPr>
                  <w:r>
                    <w:rPr>
                      <w:rFonts w:hint="eastAsia"/>
                      <w:b/>
                      <w:color w:val="auto"/>
                    </w:rPr>
                    <w:t>二、太湖流域</w:t>
                  </w:r>
                </w:p>
              </w:tc>
            </w:tr>
            <w:tr w14:paraId="4AC909F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498" w:type="pct"/>
                  <w:tcBorders>
                    <w:tl2br w:val="nil"/>
                    <w:tr2bl w:val="nil"/>
                  </w:tcBorders>
                  <w:vAlign w:val="center"/>
                </w:tcPr>
                <w:p w14:paraId="5F79E556">
                  <w:pPr>
                    <w:overflowPunct w:val="0"/>
                    <w:adjustRightInd w:val="0"/>
                    <w:snapToGrid w:val="0"/>
                    <w:jc w:val="center"/>
                    <w:rPr>
                      <w:bCs/>
                      <w:color w:val="auto"/>
                    </w:rPr>
                  </w:pPr>
                  <w:r>
                    <w:rPr>
                      <w:rFonts w:hint="eastAsia"/>
                      <w:bCs/>
                      <w:color w:val="auto"/>
                    </w:rPr>
                    <w:t>空间布局约束</w:t>
                  </w:r>
                </w:p>
              </w:tc>
              <w:tc>
                <w:tcPr>
                  <w:tcW w:w="1987" w:type="pct"/>
                  <w:tcBorders>
                    <w:tl2br w:val="nil"/>
                    <w:tr2bl w:val="nil"/>
                  </w:tcBorders>
                  <w:vAlign w:val="center"/>
                </w:tcPr>
                <w:p w14:paraId="10C56244">
                  <w:pPr>
                    <w:overflowPunct w:val="0"/>
                    <w:adjustRightInd w:val="0"/>
                    <w:snapToGrid w:val="0"/>
                    <w:rPr>
                      <w:bCs/>
                      <w:color w:val="auto"/>
                    </w:rPr>
                  </w:pPr>
                  <w:r>
                    <w:rPr>
                      <w:rFonts w:hint="eastAsia"/>
                      <w:bCs/>
                      <w:color w:val="auto"/>
                    </w:rPr>
                    <w:t>1.在太湖流域一、二、三级保护区，禁止新建、改建、扩建化学制浆造纸、制革、酿造、染料、印染、电镀以及其他排放含磷、氮等污染物的企业和项目，城镇污水集中处理等环境基础设施项目和《江苏省太湖水污染防治条例》第四十六条规定的情形除外。</w:t>
                  </w:r>
                </w:p>
                <w:p w14:paraId="27E83B9D">
                  <w:pPr>
                    <w:overflowPunct w:val="0"/>
                    <w:adjustRightInd w:val="0"/>
                    <w:snapToGrid w:val="0"/>
                    <w:rPr>
                      <w:bCs/>
                      <w:color w:val="auto"/>
                    </w:rPr>
                  </w:pPr>
                  <w:r>
                    <w:rPr>
                      <w:rFonts w:hint="eastAsia"/>
                      <w:bCs/>
                      <w:color w:val="auto"/>
                    </w:rPr>
                    <w:t>2.在太湖流域一级保护区，禁止新建、扩建向水体排放污染物的建设项目，禁止新建、扩建畜禽养殖场，禁止新建、扩建高尔夫球场、水上游乐园等开发项目以及设置水上餐饮经营设施。</w:t>
                  </w:r>
                </w:p>
                <w:p w14:paraId="3D5D1EB4">
                  <w:pPr>
                    <w:overflowPunct w:val="0"/>
                    <w:adjustRightInd w:val="0"/>
                    <w:snapToGrid w:val="0"/>
                    <w:rPr>
                      <w:bCs/>
                      <w:color w:val="auto"/>
                    </w:rPr>
                  </w:pPr>
                  <w:r>
                    <w:rPr>
                      <w:rFonts w:hint="eastAsia"/>
                      <w:bCs/>
                      <w:color w:val="auto"/>
                    </w:rPr>
                    <w:t>3.在太湖流域二级保护区，禁止新建、扩建化工、医药生产项目，禁止新建、扩建污水集中处理设施排污口以外的排污口。</w:t>
                  </w:r>
                </w:p>
              </w:tc>
              <w:tc>
                <w:tcPr>
                  <w:tcW w:w="1954" w:type="pct"/>
                  <w:tcBorders>
                    <w:tl2br w:val="nil"/>
                    <w:tr2bl w:val="nil"/>
                  </w:tcBorders>
                  <w:vAlign w:val="center"/>
                </w:tcPr>
                <w:p w14:paraId="28D202E6">
                  <w:pPr>
                    <w:overflowPunct w:val="0"/>
                    <w:adjustRightInd w:val="0"/>
                    <w:snapToGrid w:val="0"/>
                    <w:jc w:val="center"/>
                    <w:rPr>
                      <w:bCs/>
                      <w:color w:val="auto"/>
                    </w:rPr>
                  </w:pPr>
                  <w:r>
                    <w:rPr>
                      <w:rFonts w:hint="eastAsia"/>
                      <w:bCs/>
                      <w:color w:val="auto"/>
                    </w:rPr>
                    <w:t>本项目行业类别为</w:t>
                  </w:r>
                  <w:r>
                    <w:rPr>
                      <w:rFonts w:hint="eastAsia"/>
                      <w:bCs/>
                      <w:color w:val="auto"/>
                      <w:lang w:eastAsia="zh-CN"/>
                    </w:rPr>
                    <w:t>C3811发电机及发电机组制造</w:t>
                  </w:r>
                  <w:r>
                    <w:rPr>
                      <w:rFonts w:hint="eastAsia"/>
                      <w:bCs/>
                      <w:color w:val="auto"/>
                    </w:rPr>
                    <w:t>，不属于造纸、制革、酒精、淀粉、冶金、酿造、印染、电镀等行业；无含氮、磷生产废水产生及排放。</w:t>
                  </w:r>
                </w:p>
              </w:tc>
              <w:tc>
                <w:tcPr>
                  <w:tcW w:w="559" w:type="pct"/>
                  <w:tcBorders>
                    <w:tl2br w:val="nil"/>
                    <w:tr2bl w:val="nil"/>
                  </w:tcBorders>
                  <w:vAlign w:val="center"/>
                </w:tcPr>
                <w:p w14:paraId="2A5E62C5">
                  <w:pPr>
                    <w:overflowPunct w:val="0"/>
                    <w:adjustRightInd w:val="0"/>
                    <w:snapToGrid w:val="0"/>
                    <w:jc w:val="center"/>
                    <w:rPr>
                      <w:bCs/>
                      <w:color w:val="auto"/>
                    </w:rPr>
                  </w:pPr>
                  <w:r>
                    <w:rPr>
                      <w:rFonts w:hint="eastAsia"/>
                      <w:bCs/>
                      <w:color w:val="auto"/>
                    </w:rPr>
                    <w:t>符合</w:t>
                  </w:r>
                </w:p>
              </w:tc>
            </w:tr>
            <w:tr w14:paraId="67CFA86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498" w:type="pct"/>
                  <w:tcBorders>
                    <w:tl2br w:val="nil"/>
                    <w:tr2bl w:val="nil"/>
                  </w:tcBorders>
                  <w:vAlign w:val="center"/>
                </w:tcPr>
                <w:p w14:paraId="493AD841">
                  <w:pPr>
                    <w:overflowPunct w:val="0"/>
                    <w:adjustRightInd w:val="0"/>
                    <w:snapToGrid w:val="0"/>
                    <w:jc w:val="center"/>
                    <w:rPr>
                      <w:bCs/>
                      <w:color w:val="auto"/>
                    </w:rPr>
                  </w:pPr>
                  <w:r>
                    <w:rPr>
                      <w:rFonts w:hint="eastAsia"/>
                      <w:bCs/>
                      <w:color w:val="auto"/>
                    </w:rPr>
                    <w:t>污染物排放管控</w:t>
                  </w:r>
                </w:p>
              </w:tc>
              <w:tc>
                <w:tcPr>
                  <w:tcW w:w="1987" w:type="pct"/>
                  <w:tcBorders>
                    <w:tl2br w:val="nil"/>
                    <w:tr2bl w:val="nil"/>
                  </w:tcBorders>
                  <w:vAlign w:val="center"/>
                </w:tcPr>
                <w:p w14:paraId="1B9405DE">
                  <w:pPr>
                    <w:overflowPunct w:val="0"/>
                    <w:adjustRightInd w:val="0"/>
                    <w:snapToGrid w:val="0"/>
                    <w:rPr>
                      <w:bCs/>
                      <w:color w:val="auto"/>
                    </w:rPr>
                  </w:pPr>
                  <w:r>
                    <w:rPr>
                      <w:rFonts w:hint="eastAsia"/>
                      <w:bCs/>
                      <w:color w:val="auto"/>
                    </w:rPr>
                    <w:t>城镇污水处理厂、纺织工业、化学工业、造纸工业、钢铁工业、电镀工业和食品工业的污水处理设施执行《太湖地区城镇污水处理厂及重点工业行业主要水污染物排放限值》。</w:t>
                  </w:r>
                </w:p>
              </w:tc>
              <w:tc>
                <w:tcPr>
                  <w:tcW w:w="1954" w:type="pct"/>
                  <w:tcBorders>
                    <w:tl2br w:val="nil"/>
                    <w:tr2bl w:val="nil"/>
                  </w:tcBorders>
                  <w:vAlign w:val="center"/>
                </w:tcPr>
                <w:p w14:paraId="55FC2C9C">
                  <w:pPr>
                    <w:overflowPunct w:val="0"/>
                    <w:adjustRightInd w:val="0"/>
                    <w:snapToGrid w:val="0"/>
                    <w:jc w:val="center"/>
                    <w:rPr>
                      <w:bCs/>
                      <w:color w:val="auto"/>
                    </w:rPr>
                  </w:pPr>
                  <w:r>
                    <w:rPr>
                      <w:rFonts w:hint="eastAsia"/>
                      <w:bCs/>
                      <w:color w:val="auto"/>
                    </w:rPr>
                    <w:t>本项目行业类别为</w:t>
                  </w:r>
                  <w:r>
                    <w:rPr>
                      <w:rFonts w:hint="eastAsia"/>
                      <w:bCs/>
                      <w:color w:val="auto"/>
                      <w:lang w:eastAsia="zh-CN"/>
                    </w:rPr>
                    <w:t>C3811发电机及发电机组制造</w:t>
                  </w:r>
                  <w:r>
                    <w:rPr>
                      <w:rFonts w:hint="eastAsia"/>
                      <w:bCs/>
                      <w:color w:val="auto"/>
                    </w:rPr>
                    <w:t>，不属于城镇污水处理厂、纺织工业、化学工业、造纸工业、钢铁工业、电镀工业和食品工业。</w:t>
                  </w:r>
                </w:p>
              </w:tc>
              <w:tc>
                <w:tcPr>
                  <w:tcW w:w="559" w:type="pct"/>
                  <w:tcBorders>
                    <w:tl2br w:val="nil"/>
                    <w:tr2bl w:val="nil"/>
                  </w:tcBorders>
                  <w:vAlign w:val="center"/>
                </w:tcPr>
                <w:p w14:paraId="0A438F9C">
                  <w:pPr>
                    <w:overflowPunct w:val="0"/>
                    <w:adjustRightInd w:val="0"/>
                    <w:snapToGrid w:val="0"/>
                    <w:jc w:val="center"/>
                    <w:rPr>
                      <w:bCs/>
                      <w:color w:val="auto"/>
                    </w:rPr>
                  </w:pPr>
                  <w:r>
                    <w:rPr>
                      <w:rFonts w:hint="eastAsia"/>
                      <w:bCs/>
                      <w:color w:val="auto"/>
                    </w:rPr>
                    <w:t>符合</w:t>
                  </w:r>
                </w:p>
              </w:tc>
            </w:tr>
            <w:tr w14:paraId="003B1CC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498" w:type="pct"/>
                  <w:tcBorders>
                    <w:tl2br w:val="nil"/>
                    <w:tr2bl w:val="nil"/>
                  </w:tcBorders>
                  <w:vAlign w:val="center"/>
                </w:tcPr>
                <w:p w14:paraId="620A449A">
                  <w:pPr>
                    <w:overflowPunct w:val="0"/>
                    <w:adjustRightInd w:val="0"/>
                    <w:snapToGrid w:val="0"/>
                    <w:jc w:val="center"/>
                    <w:rPr>
                      <w:bCs/>
                      <w:color w:val="auto"/>
                    </w:rPr>
                  </w:pPr>
                  <w:r>
                    <w:rPr>
                      <w:rFonts w:hint="eastAsia"/>
                      <w:bCs/>
                      <w:color w:val="auto"/>
                    </w:rPr>
                    <w:t>环境风险防控</w:t>
                  </w:r>
                </w:p>
              </w:tc>
              <w:tc>
                <w:tcPr>
                  <w:tcW w:w="1987" w:type="pct"/>
                  <w:tcBorders>
                    <w:tl2br w:val="nil"/>
                    <w:tr2bl w:val="nil"/>
                  </w:tcBorders>
                  <w:vAlign w:val="center"/>
                </w:tcPr>
                <w:p w14:paraId="6451F688">
                  <w:pPr>
                    <w:overflowPunct w:val="0"/>
                    <w:adjustRightInd w:val="0"/>
                    <w:snapToGrid w:val="0"/>
                    <w:rPr>
                      <w:bCs/>
                      <w:color w:val="auto"/>
                    </w:rPr>
                  </w:pPr>
                  <w:r>
                    <w:rPr>
                      <w:rFonts w:hint="eastAsia"/>
                      <w:bCs/>
                      <w:color w:val="auto"/>
                    </w:rPr>
                    <w:t>1.运输剧毒物质、危险化学品的船舶不得进入太湖。</w:t>
                  </w:r>
                </w:p>
                <w:p w14:paraId="2C1AE01A">
                  <w:pPr>
                    <w:overflowPunct w:val="0"/>
                    <w:adjustRightInd w:val="0"/>
                    <w:snapToGrid w:val="0"/>
                    <w:rPr>
                      <w:bCs/>
                      <w:color w:val="auto"/>
                    </w:rPr>
                  </w:pPr>
                  <w:r>
                    <w:rPr>
                      <w:rFonts w:hint="eastAsia"/>
                      <w:bCs/>
                      <w:color w:val="auto"/>
                    </w:rPr>
                    <w:t>2.禁止向太湖流域水体排放或者倾倒油类、酸液、碱液、剧毒废渣废液、含放射性废渣废液、含病原体污水、工业废渣以及其他废弃物。</w:t>
                  </w:r>
                </w:p>
                <w:p w14:paraId="65782600">
                  <w:pPr>
                    <w:overflowPunct w:val="0"/>
                    <w:adjustRightInd w:val="0"/>
                    <w:snapToGrid w:val="0"/>
                    <w:rPr>
                      <w:bCs/>
                      <w:color w:val="auto"/>
                    </w:rPr>
                  </w:pPr>
                  <w:r>
                    <w:rPr>
                      <w:rFonts w:hint="eastAsia"/>
                      <w:bCs/>
                      <w:color w:val="auto"/>
                    </w:rPr>
                    <w:t>3.加强太湖流域生态环境风险应急管控，着力提高防控太湖蓝藻水华风险预警和应急处置能力。</w:t>
                  </w:r>
                </w:p>
              </w:tc>
              <w:tc>
                <w:tcPr>
                  <w:tcW w:w="1954" w:type="pct"/>
                  <w:tcBorders>
                    <w:tl2br w:val="nil"/>
                    <w:tr2bl w:val="nil"/>
                  </w:tcBorders>
                  <w:vAlign w:val="center"/>
                </w:tcPr>
                <w:p w14:paraId="6CE6F92B">
                  <w:pPr>
                    <w:overflowPunct w:val="0"/>
                    <w:adjustRightInd w:val="0"/>
                    <w:snapToGrid w:val="0"/>
                    <w:jc w:val="center"/>
                    <w:rPr>
                      <w:bCs/>
                      <w:color w:val="auto"/>
                    </w:rPr>
                  </w:pPr>
                  <w:r>
                    <w:rPr>
                      <w:color w:val="auto"/>
                      <w:kern w:val="24"/>
                    </w:rPr>
                    <w:t>本项目不使用船舶运输剧毒物质、危险化学品等</w:t>
                  </w:r>
                  <w:r>
                    <w:rPr>
                      <w:rFonts w:hint="eastAsia"/>
                      <w:color w:val="auto"/>
                      <w:kern w:val="24"/>
                    </w:rPr>
                    <w:t>，</w:t>
                  </w:r>
                  <w:r>
                    <w:rPr>
                      <w:rFonts w:hint="eastAsia"/>
                      <w:color w:val="auto"/>
                    </w:rPr>
                    <w:t>不向太湖流域水体排放或者倾倒油类、酸液、碱液、剧毒废渣废液、含放射性废渣废液、含病原体污水、工业废渣以及其他废弃物，</w:t>
                  </w:r>
                  <w:r>
                    <w:rPr>
                      <w:color w:val="auto"/>
                      <w:kern w:val="24"/>
                    </w:rPr>
                    <w:t>项目建成后实施严格的环境风险防控，建立环境应急预案，定期进行演练。</w:t>
                  </w:r>
                </w:p>
              </w:tc>
              <w:tc>
                <w:tcPr>
                  <w:tcW w:w="559" w:type="pct"/>
                  <w:tcBorders>
                    <w:tl2br w:val="nil"/>
                    <w:tr2bl w:val="nil"/>
                  </w:tcBorders>
                  <w:vAlign w:val="center"/>
                </w:tcPr>
                <w:p w14:paraId="2E6EDD30">
                  <w:pPr>
                    <w:overflowPunct w:val="0"/>
                    <w:adjustRightInd w:val="0"/>
                    <w:snapToGrid w:val="0"/>
                    <w:jc w:val="center"/>
                    <w:rPr>
                      <w:color w:val="auto"/>
                      <w:kern w:val="24"/>
                    </w:rPr>
                  </w:pPr>
                  <w:r>
                    <w:rPr>
                      <w:rFonts w:hint="eastAsia"/>
                      <w:bCs/>
                      <w:color w:val="auto"/>
                    </w:rPr>
                    <w:t>符合</w:t>
                  </w:r>
                </w:p>
              </w:tc>
            </w:tr>
            <w:tr w14:paraId="5F1DAF4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498" w:type="pct"/>
                  <w:tcBorders>
                    <w:tl2br w:val="nil"/>
                    <w:tr2bl w:val="nil"/>
                  </w:tcBorders>
                  <w:vAlign w:val="center"/>
                </w:tcPr>
                <w:p w14:paraId="74CEA1AD">
                  <w:pPr>
                    <w:overflowPunct w:val="0"/>
                    <w:adjustRightInd w:val="0"/>
                    <w:snapToGrid w:val="0"/>
                    <w:jc w:val="center"/>
                    <w:rPr>
                      <w:bCs/>
                      <w:color w:val="auto"/>
                    </w:rPr>
                  </w:pPr>
                  <w:r>
                    <w:rPr>
                      <w:rFonts w:hint="eastAsia"/>
                      <w:bCs/>
                      <w:color w:val="auto"/>
                    </w:rPr>
                    <w:t>资源利用效率要求</w:t>
                  </w:r>
                </w:p>
              </w:tc>
              <w:tc>
                <w:tcPr>
                  <w:tcW w:w="1987" w:type="pct"/>
                  <w:tcBorders>
                    <w:tl2br w:val="nil"/>
                    <w:tr2bl w:val="nil"/>
                  </w:tcBorders>
                  <w:vAlign w:val="center"/>
                </w:tcPr>
                <w:p w14:paraId="4B5327B4">
                  <w:pPr>
                    <w:overflowPunct w:val="0"/>
                    <w:adjustRightInd w:val="0"/>
                    <w:snapToGrid w:val="0"/>
                    <w:rPr>
                      <w:bCs/>
                      <w:color w:val="auto"/>
                    </w:rPr>
                  </w:pPr>
                  <w:r>
                    <w:rPr>
                      <w:rFonts w:hint="eastAsia"/>
                      <w:bCs/>
                      <w:color w:val="auto"/>
                    </w:rPr>
                    <w:t>1.太湖流域加强水资源配置与调度，优先满足居民生活用水，兼顾生产、生态用水以及航运等需要。</w:t>
                  </w:r>
                </w:p>
                <w:p w14:paraId="2D2D5E9F">
                  <w:pPr>
                    <w:overflowPunct w:val="0"/>
                    <w:adjustRightInd w:val="0"/>
                    <w:snapToGrid w:val="0"/>
                    <w:rPr>
                      <w:bCs/>
                      <w:color w:val="auto"/>
                    </w:rPr>
                  </w:pPr>
                  <w:r>
                    <w:rPr>
                      <w:rFonts w:hint="eastAsia"/>
                      <w:bCs/>
                      <w:color w:val="auto"/>
                    </w:rPr>
                    <w:t>2.2020年底前，太湖流域所有省级以上开发区开展园区循环化改造。</w:t>
                  </w:r>
                </w:p>
              </w:tc>
              <w:tc>
                <w:tcPr>
                  <w:tcW w:w="1954" w:type="pct"/>
                  <w:tcBorders>
                    <w:tl2br w:val="nil"/>
                    <w:tr2bl w:val="nil"/>
                  </w:tcBorders>
                  <w:vAlign w:val="center"/>
                </w:tcPr>
                <w:p w14:paraId="743F5304">
                  <w:pPr>
                    <w:overflowPunct w:val="0"/>
                    <w:adjustRightInd w:val="0"/>
                    <w:snapToGrid w:val="0"/>
                    <w:jc w:val="center"/>
                    <w:rPr>
                      <w:bCs/>
                      <w:color w:val="auto"/>
                    </w:rPr>
                  </w:pPr>
                  <w:r>
                    <w:rPr>
                      <w:rFonts w:hint="eastAsia"/>
                      <w:color w:val="auto"/>
                    </w:rPr>
                    <w:t>项目运营过程中将消耗一定量的水资源，水资源消耗量相对区域资源利用总量较少，不会影响居民生活用水。</w:t>
                  </w:r>
                </w:p>
              </w:tc>
              <w:tc>
                <w:tcPr>
                  <w:tcW w:w="559" w:type="pct"/>
                  <w:tcBorders>
                    <w:tl2br w:val="nil"/>
                    <w:tr2bl w:val="nil"/>
                  </w:tcBorders>
                  <w:vAlign w:val="center"/>
                </w:tcPr>
                <w:p w14:paraId="39FBC5F0">
                  <w:pPr>
                    <w:overflowPunct w:val="0"/>
                    <w:adjustRightInd w:val="0"/>
                    <w:snapToGrid w:val="0"/>
                    <w:jc w:val="center"/>
                    <w:rPr>
                      <w:color w:val="auto"/>
                    </w:rPr>
                  </w:pPr>
                  <w:r>
                    <w:rPr>
                      <w:rFonts w:hint="eastAsia"/>
                      <w:bCs/>
                      <w:color w:val="auto"/>
                    </w:rPr>
                    <w:t>符合</w:t>
                  </w:r>
                </w:p>
              </w:tc>
            </w:tr>
          </w:tbl>
          <w:p w14:paraId="01F81BAD">
            <w:pPr>
              <w:autoSpaceDE w:val="0"/>
              <w:autoSpaceDN w:val="0"/>
              <w:adjustRightInd w:val="0"/>
              <w:snapToGrid w:val="0"/>
              <w:spacing w:line="360" w:lineRule="auto"/>
              <w:ind w:firstLine="420" w:firstLineChars="200"/>
              <w:jc w:val="left"/>
              <w:rPr>
                <w:rFonts w:cs="宋体"/>
                <w:color w:val="auto"/>
                <w:kern w:val="0"/>
                <w:lang w:bidi="ar"/>
              </w:rPr>
            </w:pPr>
            <w:r>
              <w:rPr>
                <w:rFonts w:hint="eastAsia"/>
                <w:color w:val="auto"/>
              </w:rPr>
              <w:t>根据上表分析可知，本项目符合《江苏省“三线一单”生态环境分区管控方案》（苏政发</w:t>
            </w:r>
            <w:r>
              <w:rPr>
                <w:color w:val="auto"/>
              </w:rPr>
              <w:t>[2020]49</w:t>
            </w:r>
            <w:r>
              <w:rPr>
                <w:rFonts w:hint="eastAsia"/>
                <w:color w:val="auto"/>
              </w:rPr>
              <w:t>号）中的各项管控要求</w:t>
            </w:r>
            <w:r>
              <w:rPr>
                <w:rFonts w:hint="eastAsia" w:cs="宋体"/>
                <w:color w:val="auto"/>
                <w:kern w:val="0"/>
                <w:lang w:bidi="ar"/>
              </w:rPr>
              <w:t>。</w:t>
            </w:r>
          </w:p>
          <w:p w14:paraId="1DC20E3C">
            <w:pPr>
              <w:pStyle w:val="5"/>
              <w:adjustRightInd w:val="0"/>
              <w:snapToGrid w:val="0"/>
              <w:ind w:firstLine="0"/>
              <w:jc w:val="center"/>
              <w:rPr>
                <w:b/>
                <w:bCs/>
                <w:color w:val="auto"/>
                <w:szCs w:val="21"/>
              </w:rPr>
            </w:pPr>
            <w:r>
              <w:rPr>
                <w:b/>
                <w:bCs/>
                <w:color w:val="auto"/>
                <w:szCs w:val="21"/>
              </w:rPr>
              <w:t>表1-</w:t>
            </w:r>
            <w:r>
              <w:rPr>
                <w:rFonts w:hint="eastAsia"/>
                <w:b/>
                <w:bCs/>
                <w:color w:val="auto"/>
                <w:szCs w:val="21"/>
                <w:lang w:val="en-US" w:eastAsia="zh-CN"/>
              </w:rPr>
              <w:t>8</w:t>
            </w:r>
            <w:r>
              <w:rPr>
                <w:rFonts w:hint="eastAsia"/>
                <w:b/>
                <w:bCs/>
                <w:color w:val="auto"/>
                <w:szCs w:val="21"/>
              </w:rPr>
              <w:t xml:space="preserve">   </w:t>
            </w:r>
            <w:r>
              <w:rPr>
                <w:b/>
                <w:bCs/>
                <w:color w:val="auto"/>
                <w:szCs w:val="21"/>
              </w:rPr>
              <w:t>与常州市</w:t>
            </w:r>
            <w:r>
              <w:rPr>
                <w:rFonts w:hint="eastAsia"/>
                <w:b/>
                <w:bCs/>
                <w:color w:val="auto"/>
                <w:szCs w:val="21"/>
              </w:rPr>
              <w:t>“</w:t>
            </w:r>
            <w:r>
              <w:rPr>
                <w:b/>
                <w:bCs/>
                <w:color w:val="auto"/>
                <w:szCs w:val="21"/>
              </w:rPr>
              <w:t>三线一单</w:t>
            </w:r>
            <w:r>
              <w:rPr>
                <w:rFonts w:hint="eastAsia"/>
                <w:b/>
                <w:bCs/>
                <w:color w:val="auto"/>
                <w:szCs w:val="21"/>
              </w:rPr>
              <w:t>”</w:t>
            </w:r>
            <w:r>
              <w:rPr>
                <w:b/>
                <w:bCs/>
                <w:color w:val="auto"/>
                <w:szCs w:val="21"/>
              </w:rPr>
              <w:t>生态环境分区管控实施方案相符性</w:t>
            </w:r>
          </w:p>
          <w:tbl>
            <w:tblPr>
              <w:tblStyle w:val="59"/>
              <w:tblW w:w="4998" w:type="pct"/>
              <w:tblInd w:w="0" w:type="dxa"/>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0" w:type="dxa"/>
                <w:bottom w:w="0" w:type="dxa"/>
                <w:right w:w="0" w:type="dxa"/>
              </w:tblCellMar>
            </w:tblPr>
            <w:tblGrid>
              <w:gridCol w:w="607"/>
              <w:gridCol w:w="750"/>
              <w:gridCol w:w="4496"/>
              <w:gridCol w:w="1599"/>
              <w:gridCol w:w="696"/>
            </w:tblGrid>
            <w:tr w14:paraId="09ED816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c>
                <w:tcPr>
                  <w:tcW w:w="372" w:type="pct"/>
                  <w:tcBorders>
                    <w:tl2br w:val="nil"/>
                    <w:tr2bl w:val="nil"/>
                  </w:tcBorders>
                  <w:vAlign w:val="center"/>
                </w:tcPr>
                <w:p w14:paraId="5629F5F1">
                  <w:pPr>
                    <w:adjustRightInd w:val="0"/>
                    <w:snapToGrid w:val="0"/>
                    <w:jc w:val="center"/>
                    <w:rPr>
                      <w:b/>
                      <w:bCs/>
                      <w:color w:val="auto"/>
                      <w:kern w:val="0"/>
                    </w:rPr>
                  </w:pPr>
                  <w:r>
                    <w:rPr>
                      <w:b/>
                      <w:bCs/>
                      <w:color w:val="auto"/>
                      <w:kern w:val="0"/>
                    </w:rPr>
                    <w:t>序号</w:t>
                  </w:r>
                </w:p>
              </w:tc>
              <w:tc>
                <w:tcPr>
                  <w:tcW w:w="3218" w:type="pct"/>
                  <w:gridSpan w:val="2"/>
                  <w:tcBorders>
                    <w:tl2br w:val="nil"/>
                    <w:tr2bl w:val="nil"/>
                  </w:tcBorders>
                  <w:vAlign w:val="center"/>
                </w:tcPr>
                <w:p w14:paraId="6DDBB97A">
                  <w:pPr>
                    <w:adjustRightInd w:val="0"/>
                    <w:snapToGrid w:val="0"/>
                    <w:jc w:val="center"/>
                    <w:rPr>
                      <w:b/>
                      <w:bCs/>
                      <w:color w:val="auto"/>
                      <w:kern w:val="0"/>
                    </w:rPr>
                  </w:pPr>
                  <w:r>
                    <w:rPr>
                      <w:b/>
                      <w:bCs/>
                      <w:color w:val="auto"/>
                      <w:kern w:val="0"/>
                    </w:rPr>
                    <w:t>管控要求</w:t>
                  </w:r>
                </w:p>
              </w:tc>
              <w:tc>
                <w:tcPr>
                  <w:tcW w:w="981" w:type="pct"/>
                  <w:tcBorders>
                    <w:tl2br w:val="nil"/>
                    <w:tr2bl w:val="nil"/>
                  </w:tcBorders>
                  <w:vAlign w:val="center"/>
                </w:tcPr>
                <w:p w14:paraId="199F4A19">
                  <w:pPr>
                    <w:adjustRightInd w:val="0"/>
                    <w:snapToGrid w:val="0"/>
                    <w:jc w:val="center"/>
                    <w:rPr>
                      <w:b/>
                      <w:bCs/>
                      <w:color w:val="auto"/>
                      <w:kern w:val="0"/>
                    </w:rPr>
                  </w:pPr>
                  <w:r>
                    <w:rPr>
                      <w:b/>
                      <w:color w:val="auto"/>
                      <w:kern w:val="0"/>
                    </w:rPr>
                    <w:t>本项目相关内容</w:t>
                  </w:r>
                </w:p>
              </w:tc>
              <w:tc>
                <w:tcPr>
                  <w:tcW w:w="427" w:type="pct"/>
                  <w:tcBorders>
                    <w:tl2br w:val="nil"/>
                    <w:tr2bl w:val="nil"/>
                  </w:tcBorders>
                  <w:vAlign w:val="center"/>
                </w:tcPr>
                <w:p w14:paraId="38A1E950">
                  <w:pPr>
                    <w:adjustRightInd w:val="0"/>
                    <w:snapToGrid w:val="0"/>
                    <w:jc w:val="center"/>
                    <w:rPr>
                      <w:b/>
                      <w:bCs/>
                      <w:color w:val="auto"/>
                      <w:kern w:val="0"/>
                    </w:rPr>
                  </w:pPr>
                  <w:r>
                    <w:rPr>
                      <w:b/>
                      <w:bCs/>
                      <w:color w:val="auto"/>
                      <w:kern w:val="0"/>
                    </w:rPr>
                    <w:t>相符性</w:t>
                  </w:r>
                </w:p>
              </w:tc>
            </w:tr>
            <w:tr w14:paraId="40761D2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c>
                <w:tcPr>
                  <w:tcW w:w="372" w:type="pct"/>
                  <w:tcBorders>
                    <w:tl2br w:val="nil"/>
                    <w:tr2bl w:val="nil"/>
                  </w:tcBorders>
                  <w:vAlign w:val="center"/>
                </w:tcPr>
                <w:p w14:paraId="0611FD32">
                  <w:pPr>
                    <w:adjustRightInd w:val="0"/>
                    <w:snapToGrid w:val="0"/>
                    <w:jc w:val="center"/>
                    <w:rPr>
                      <w:color w:val="auto"/>
                      <w:kern w:val="0"/>
                    </w:rPr>
                  </w:pPr>
                  <w:r>
                    <w:rPr>
                      <w:color w:val="auto"/>
                      <w:kern w:val="0"/>
                    </w:rPr>
                    <w:t>1</w:t>
                  </w:r>
                </w:p>
              </w:tc>
              <w:tc>
                <w:tcPr>
                  <w:tcW w:w="460" w:type="pct"/>
                  <w:tcBorders>
                    <w:tl2br w:val="nil"/>
                    <w:tr2bl w:val="nil"/>
                  </w:tcBorders>
                  <w:vAlign w:val="center"/>
                </w:tcPr>
                <w:p w14:paraId="31EC046B">
                  <w:pPr>
                    <w:adjustRightInd w:val="0"/>
                    <w:snapToGrid w:val="0"/>
                    <w:jc w:val="center"/>
                    <w:rPr>
                      <w:color w:val="auto"/>
                      <w:kern w:val="0"/>
                    </w:rPr>
                  </w:pPr>
                  <w:r>
                    <w:rPr>
                      <w:color w:val="auto"/>
                      <w:kern w:val="0"/>
                    </w:rPr>
                    <w:t>空间布局约束</w:t>
                  </w:r>
                </w:p>
              </w:tc>
              <w:tc>
                <w:tcPr>
                  <w:tcW w:w="2757" w:type="pct"/>
                  <w:tcBorders>
                    <w:tl2br w:val="nil"/>
                    <w:tr2bl w:val="nil"/>
                  </w:tcBorders>
                  <w:vAlign w:val="center"/>
                </w:tcPr>
                <w:p w14:paraId="15668A3D">
                  <w:pPr>
                    <w:adjustRightInd w:val="0"/>
                    <w:snapToGrid w:val="0"/>
                    <w:jc w:val="center"/>
                    <w:rPr>
                      <w:color w:val="auto"/>
                      <w:kern w:val="0"/>
                    </w:rPr>
                  </w:pPr>
                  <w:r>
                    <w:rPr>
                      <w:color w:val="auto"/>
                      <w:kern w:val="0"/>
                    </w:rPr>
                    <w:t>（1）不得新建、改建、扩建化学制浆造纸、制革、酿造、染料、印染、电镀以及其他排放含磷、氮等污染物的企业和项目；不得新建、扩建化工、医药等企业和项目；不得增设排污口；禁止建设排放致癌、致畸、致突变物质和恶臭气体的项目。</w:t>
                  </w:r>
                </w:p>
                <w:p w14:paraId="75EF5B4B">
                  <w:pPr>
                    <w:adjustRightInd w:val="0"/>
                    <w:snapToGrid w:val="0"/>
                    <w:jc w:val="center"/>
                    <w:rPr>
                      <w:color w:val="auto"/>
                      <w:kern w:val="0"/>
                    </w:rPr>
                  </w:pPr>
                  <w:r>
                    <w:rPr>
                      <w:color w:val="auto"/>
                      <w:kern w:val="0"/>
                    </w:rPr>
                    <w:t>（2）鼓励发展低污染、无污染、节水和资源综合利用的项目，不得新上、转移、生产和采用国家明令禁止的工艺和产品。凡属《江苏省太湖水污染防治条例》（省十届人大常委会公告第141号）明确禁止建设的项目；《国务院关于环境保护若干问题的决定》（国发﹝1996﹞31号）明确禁止建设的</w:t>
                  </w:r>
                  <w:r>
                    <w:rPr>
                      <w:rFonts w:hint="eastAsia"/>
                      <w:color w:val="auto"/>
                      <w:kern w:val="0"/>
                    </w:rPr>
                    <w:t>“</w:t>
                  </w:r>
                  <w:r>
                    <w:rPr>
                      <w:color w:val="auto"/>
                      <w:kern w:val="0"/>
                    </w:rPr>
                    <w:t>十五小</w:t>
                  </w:r>
                  <w:r>
                    <w:rPr>
                      <w:rFonts w:hint="eastAsia"/>
                      <w:color w:val="auto"/>
                      <w:kern w:val="0"/>
                    </w:rPr>
                    <w:t>”</w:t>
                  </w:r>
                  <w:r>
                    <w:rPr>
                      <w:color w:val="auto"/>
                      <w:kern w:val="0"/>
                    </w:rPr>
                    <w:t>项目；</w:t>
                  </w:r>
                  <w:r>
                    <w:rPr>
                      <w:rFonts w:hint="eastAsia"/>
                      <w:color w:val="auto"/>
                      <w:kern w:val="0"/>
                    </w:rPr>
                    <w:t>“</w:t>
                  </w:r>
                  <w:r>
                    <w:rPr>
                      <w:color w:val="auto"/>
                      <w:kern w:val="0"/>
                    </w:rPr>
                    <w:t>新五小</w:t>
                  </w:r>
                  <w:r>
                    <w:rPr>
                      <w:rFonts w:hint="eastAsia"/>
                      <w:color w:val="auto"/>
                      <w:kern w:val="0"/>
                    </w:rPr>
                    <w:t>”</w:t>
                  </w:r>
                  <w:r>
                    <w:rPr>
                      <w:color w:val="auto"/>
                      <w:kern w:val="0"/>
                    </w:rPr>
                    <w:t>项目</w:t>
                  </w:r>
                  <w:r>
                    <w:rPr>
                      <w:rFonts w:hint="eastAsia"/>
                      <w:color w:val="auto"/>
                      <w:kern w:val="0"/>
                    </w:rPr>
                    <w:t>（</w:t>
                  </w:r>
                  <w:r>
                    <w:rPr>
                      <w:color w:val="auto"/>
                      <w:kern w:val="0"/>
                    </w:rPr>
                    <w:t>小火电机组、小玻璃厂、小水泥厂、小炼油厂、小钢铁厂</w:t>
                  </w:r>
                  <w:r>
                    <w:rPr>
                      <w:rFonts w:hint="eastAsia"/>
                      <w:color w:val="auto"/>
                      <w:kern w:val="0"/>
                    </w:rPr>
                    <w:t>）</w:t>
                  </w:r>
                  <w:r>
                    <w:rPr>
                      <w:color w:val="auto"/>
                      <w:kern w:val="0"/>
                    </w:rPr>
                    <w:t>；以及国家明令淘汰和禁止发展的能耗物耗高、环境污染严重、不符合产业政策和市场准入条件的建设项目，均禁止建设。</w:t>
                  </w:r>
                </w:p>
              </w:tc>
              <w:tc>
                <w:tcPr>
                  <w:tcW w:w="981" w:type="pct"/>
                  <w:tcBorders>
                    <w:tl2br w:val="nil"/>
                    <w:tr2bl w:val="nil"/>
                  </w:tcBorders>
                  <w:vAlign w:val="center"/>
                </w:tcPr>
                <w:p w14:paraId="5F4D6262">
                  <w:pPr>
                    <w:adjustRightInd w:val="0"/>
                    <w:snapToGrid w:val="0"/>
                    <w:jc w:val="center"/>
                    <w:rPr>
                      <w:color w:val="auto"/>
                      <w:kern w:val="0"/>
                    </w:rPr>
                  </w:pPr>
                  <w:r>
                    <w:rPr>
                      <w:color w:val="auto"/>
                      <w:kern w:val="0"/>
                    </w:rPr>
                    <w:t>项目行业</w:t>
                  </w:r>
                  <w:r>
                    <w:rPr>
                      <w:rFonts w:hint="eastAsia"/>
                      <w:color w:val="auto"/>
                      <w:kern w:val="0"/>
                    </w:rPr>
                    <w:t>类别为</w:t>
                  </w:r>
                  <w:r>
                    <w:rPr>
                      <w:rFonts w:hint="eastAsia"/>
                      <w:color w:val="auto"/>
                      <w:kern w:val="0"/>
                      <w:lang w:eastAsia="zh-CN"/>
                    </w:rPr>
                    <w:t>C3811发电机及发电机组制造</w:t>
                  </w:r>
                  <w:r>
                    <w:rPr>
                      <w:color w:val="auto"/>
                      <w:kern w:val="0"/>
                    </w:rPr>
                    <w:t>，不属于以上禁止类项目</w:t>
                  </w:r>
                </w:p>
              </w:tc>
              <w:tc>
                <w:tcPr>
                  <w:tcW w:w="427" w:type="pct"/>
                  <w:tcBorders>
                    <w:tl2br w:val="nil"/>
                    <w:tr2bl w:val="nil"/>
                  </w:tcBorders>
                  <w:vAlign w:val="center"/>
                </w:tcPr>
                <w:p w14:paraId="40AA0801">
                  <w:pPr>
                    <w:adjustRightInd w:val="0"/>
                    <w:snapToGrid w:val="0"/>
                    <w:jc w:val="center"/>
                    <w:rPr>
                      <w:color w:val="auto"/>
                      <w:kern w:val="0"/>
                    </w:rPr>
                  </w:pPr>
                  <w:r>
                    <w:rPr>
                      <w:color w:val="auto"/>
                      <w:kern w:val="0"/>
                    </w:rPr>
                    <w:t>相符</w:t>
                  </w:r>
                </w:p>
              </w:tc>
            </w:tr>
            <w:tr w14:paraId="215CB4C3">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c>
                <w:tcPr>
                  <w:tcW w:w="372" w:type="pct"/>
                  <w:tcBorders>
                    <w:tl2br w:val="nil"/>
                    <w:tr2bl w:val="nil"/>
                  </w:tcBorders>
                  <w:vAlign w:val="center"/>
                </w:tcPr>
                <w:p w14:paraId="4EF0C0A8">
                  <w:pPr>
                    <w:adjustRightInd w:val="0"/>
                    <w:snapToGrid w:val="0"/>
                    <w:jc w:val="center"/>
                    <w:rPr>
                      <w:color w:val="auto"/>
                      <w:kern w:val="0"/>
                    </w:rPr>
                  </w:pPr>
                  <w:r>
                    <w:rPr>
                      <w:color w:val="auto"/>
                      <w:kern w:val="0"/>
                    </w:rPr>
                    <w:t>2</w:t>
                  </w:r>
                </w:p>
              </w:tc>
              <w:tc>
                <w:tcPr>
                  <w:tcW w:w="460" w:type="pct"/>
                  <w:tcBorders>
                    <w:tl2br w:val="nil"/>
                    <w:tr2bl w:val="nil"/>
                  </w:tcBorders>
                  <w:vAlign w:val="center"/>
                </w:tcPr>
                <w:p w14:paraId="654EC20A">
                  <w:pPr>
                    <w:adjustRightInd w:val="0"/>
                    <w:snapToGrid w:val="0"/>
                    <w:jc w:val="center"/>
                    <w:rPr>
                      <w:color w:val="auto"/>
                      <w:kern w:val="0"/>
                    </w:rPr>
                  </w:pPr>
                  <w:r>
                    <w:rPr>
                      <w:color w:val="auto"/>
                      <w:kern w:val="0"/>
                    </w:rPr>
                    <w:t>污染物排放管控</w:t>
                  </w:r>
                </w:p>
              </w:tc>
              <w:tc>
                <w:tcPr>
                  <w:tcW w:w="2757" w:type="pct"/>
                  <w:tcBorders>
                    <w:tl2br w:val="nil"/>
                    <w:tr2bl w:val="nil"/>
                  </w:tcBorders>
                  <w:vAlign w:val="center"/>
                </w:tcPr>
                <w:p w14:paraId="47D5827A">
                  <w:pPr>
                    <w:adjustRightInd w:val="0"/>
                    <w:snapToGrid w:val="0"/>
                    <w:jc w:val="center"/>
                    <w:rPr>
                      <w:color w:val="auto"/>
                      <w:kern w:val="0"/>
                    </w:rPr>
                  </w:pPr>
                  <w:r>
                    <w:rPr>
                      <w:color w:val="auto"/>
                      <w:kern w:val="0"/>
                    </w:rPr>
                    <w:t>（1）严格实施污染物总量控制制度，根据区域环境质量改善目标，采取有效措施减少主要污染物排放总量，确保区域环境质量持续改善。（2）园区污染物排放总量不得突破环评报告及批复的总量。</w:t>
                  </w:r>
                </w:p>
              </w:tc>
              <w:tc>
                <w:tcPr>
                  <w:tcW w:w="981" w:type="pct"/>
                  <w:tcBorders>
                    <w:tl2br w:val="nil"/>
                    <w:tr2bl w:val="nil"/>
                  </w:tcBorders>
                  <w:vAlign w:val="center"/>
                </w:tcPr>
                <w:p w14:paraId="12997C42">
                  <w:pPr>
                    <w:adjustRightInd w:val="0"/>
                    <w:snapToGrid w:val="0"/>
                    <w:jc w:val="center"/>
                    <w:rPr>
                      <w:color w:val="auto"/>
                      <w:kern w:val="0"/>
                    </w:rPr>
                  </w:pPr>
                  <w:r>
                    <w:rPr>
                      <w:color w:val="auto"/>
                      <w:kern w:val="0"/>
                    </w:rPr>
                    <w:t>建设项目将根据要求向常州市金坛生态环境局申请总量</w:t>
                  </w:r>
                </w:p>
              </w:tc>
              <w:tc>
                <w:tcPr>
                  <w:tcW w:w="427" w:type="pct"/>
                  <w:tcBorders>
                    <w:tl2br w:val="nil"/>
                    <w:tr2bl w:val="nil"/>
                  </w:tcBorders>
                  <w:vAlign w:val="center"/>
                </w:tcPr>
                <w:p w14:paraId="21E8D24F">
                  <w:pPr>
                    <w:adjustRightInd w:val="0"/>
                    <w:snapToGrid w:val="0"/>
                    <w:jc w:val="center"/>
                    <w:rPr>
                      <w:color w:val="auto"/>
                      <w:kern w:val="0"/>
                    </w:rPr>
                  </w:pPr>
                  <w:r>
                    <w:rPr>
                      <w:color w:val="auto"/>
                      <w:kern w:val="0"/>
                    </w:rPr>
                    <w:t>相符</w:t>
                  </w:r>
                </w:p>
              </w:tc>
            </w:tr>
            <w:tr w14:paraId="0D6025E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c>
                <w:tcPr>
                  <w:tcW w:w="372" w:type="pct"/>
                  <w:tcBorders>
                    <w:tl2br w:val="nil"/>
                    <w:tr2bl w:val="nil"/>
                  </w:tcBorders>
                  <w:vAlign w:val="center"/>
                </w:tcPr>
                <w:p w14:paraId="3F372112">
                  <w:pPr>
                    <w:adjustRightInd w:val="0"/>
                    <w:snapToGrid w:val="0"/>
                    <w:jc w:val="center"/>
                    <w:rPr>
                      <w:color w:val="auto"/>
                      <w:kern w:val="0"/>
                    </w:rPr>
                  </w:pPr>
                  <w:r>
                    <w:rPr>
                      <w:color w:val="auto"/>
                      <w:kern w:val="0"/>
                    </w:rPr>
                    <w:t>3</w:t>
                  </w:r>
                </w:p>
              </w:tc>
              <w:tc>
                <w:tcPr>
                  <w:tcW w:w="460" w:type="pct"/>
                  <w:tcBorders>
                    <w:tl2br w:val="nil"/>
                    <w:tr2bl w:val="nil"/>
                  </w:tcBorders>
                  <w:vAlign w:val="center"/>
                </w:tcPr>
                <w:p w14:paraId="5B113798">
                  <w:pPr>
                    <w:adjustRightInd w:val="0"/>
                    <w:snapToGrid w:val="0"/>
                    <w:jc w:val="center"/>
                    <w:rPr>
                      <w:color w:val="auto"/>
                      <w:kern w:val="0"/>
                    </w:rPr>
                  </w:pPr>
                  <w:r>
                    <w:rPr>
                      <w:color w:val="auto"/>
                      <w:kern w:val="0"/>
                    </w:rPr>
                    <w:t>环境风险防控</w:t>
                  </w:r>
                </w:p>
              </w:tc>
              <w:tc>
                <w:tcPr>
                  <w:tcW w:w="2757" w:type="pct"/>
                  <w:tcBorders>
                    <w:tl2br w:val="nil"/>
                    <w:tr2bl w:val="nil"/>
                  </w:tcBorders>
                  <w:vAlign w:val="center"/>
                </w:tcPr>
                <w:p w14:paraId="0019839B">
                  <w:pPr>
                    <w:adjustRightInd w:val="0"/>
                    <w:snapToGrid w:val="0"/>
                    <w:jc w:val="center"/>
                    <w:rPr>
                      <w:color w:val="auto"/>
                      <w:kern w:val="0"/>
                    </w:rPr>
                  </w:pPr>
                  <w:r>
                    <w:rPr>
                      <w:color w:val="auto"/>
                      <w:kern w:val="0"/>
                    </w:rPr>
                    <w:t>（1）园区建立环境应急体系，完善事故应急救援体系，加强应急物资装备储备，编制突发环境事件应急预案，定期开展演练。（2）生产、使用、储存</w:t>
                  </w:r>
                  <w:r>
                    <w:rPr>
                      <w:rFonts w:hint="eastAsia"/>
                      <w:color w:val="auto"/>
                      <w:kern w:val="0"/>
                    </w:rPr>
                    <w:t>化学品</w:t>
                  </w:r>
                  <w:r>
                    <w:rPr>
                      <w:color w:val="auto"/>
                      <w:kern w:val="0"/>
                    </w:rPr>
                    <w:t>或其他存在环境风险的企事业单位，应当制定风险防范措施，编制完善突发环境事件应急预案，防止发生环境污染事故。（3）加强环境影响跟踪监测，建立健全各环境要素监控体系，完善并落实园区日常环境监测与污染源监控计划。</w:t>
                  </w:r>
                </w:p>
              </w:tc>
              <w:tc>
                <w:tcPr>
                  <w:tcW w:w="981" w:type="pct"/>
                  <w:tcBorders>
                    <w:tl2br w:val="nil"/>
                    <w:tr2bl w:val="nil"/>
                  </w:tcBorders>
                  <w:vAlign w:val="center"/>
                </w:tcPr>
                <w:p w14:paraId="386C65A9">
                  <w:pPr>
                    <w:adjustRightInd w:val="0"/>
                    <w:snapToGrid w:val="0"/>
                    <w:jc w:val="center"/>
                    <w:rPr>
                      <w:color w:val="auto"/>
                      <w:kern w:val="0"/>
                    </w:rPr>
                  </w:pPr>
                  <w:r>
                    <w:rPr>
                      <w:rFonts w:hint="eastAsia"/>
                      <w:color w:val="auto"/>
                      <w:kern w:val="0"/>
                    </w:rPr>
                    <w:t>项目生产等工程涉及到环境风险，将自行按照要求</w:t>
                  </w:r>
                  <w:r>
                    <w:rPr>
                      <w:color w:val="auto"/>
                      <w:kern w:val="0"/>
                    </w:rPr>
                    <w:t>编制完善突发环境事件应急预案，将根据要求制定监测计划</w:t>
                  </w:r>
                </w:p>
              </w:tc>
              <w:tc>
                <w:tcPr>
                  <w:tcW w:w="427" w:type="pct"/>
                  <w:tcBorders>
                    <w:tl2br w:val="nil"/>
                    <w:tr2bl w:val="nil"/>
                  </w:tcBorders>
                  <w:vAlign w:val="center"/>
                </w:tcPr>
                <w:p w14:paraId="0286E615">
                  <w:pPr>
                    <w:adjustRightInd w:val="0"/>
                    <w:snapToGrid w:val="0"/>
                    <w:jc w:val="center"/>
                    <w:rPr>
                      <w:color w:val="auto"/>
                      <w:kern w:val="0"/>
                    </w:rPr>
                  </w:pPr>
                  <w:r>
                    <w:rPr>
                      <w:color w:val="auto"/>
                      <w:kern w:val="0"/>
                    </w:rPr>
                    <w:t>相符</w:t>
                  </w:r>
                </w:p>
              </w:tc>
            </w:tr>
            <w:tr w14:paraId="06C27A8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c>
                <w:tcPr>
                  <w:tcW w:w="372" w:type="pct"/>
                  <w:tcBorders>
                    <w:tl2br w:val="nil"/>
                    <w:tr2bl w:val="nil"/>
                  </w:tcBorders>
                  <w:vAlign w:val="center"/>
                </w:tcPr>
                <w:p w14:paraId="6EE25E7A">
                  <w:pPr>
                    <w:adjustRightInd w:val="0"/>
                    <w:snapToGrid w:val="0"/>
                    <w:jc w:val="center"/>
                    <w:rPr>
                      <w:color w:val="auto"/>
                      <w:kern w:val="0"/>
                    </w:rPr>
                  </w:pPr>
                  <w:r>
                    <w:rPr>
                      <w:color w:val="auto"/>
                      <w:kern w:val="0"/>
                    </w:rPr>
                    <w:t>4</w:t>
                  </w:r>
                </w:p>
              </w:tc>
              <w:tc>
                <w:tcPr>
                  <w:tcW w:w="460" w:type="pct"/>
                  <w:tcBorders>
                    <w:tl2br w:val="nil"/>
                    <w:tr2bl w:val="nil"/>
                  </w:tcBorders>
                  <w:vAlign w:val="center"/>
                </w:tcPr>
                <w:p w14:paraId="3BED76A8">
                  <w:pPr>
                    <w:adjustRightInd w:val="0"/>
                    <w:snapToGrid w:val="0"/>
                    <w:jc w:val="center"/>
                    <w:rPr>
                      <w:color w:val="auto"/>
                      <w:kern w:val="0"/>
                    </w:rPr>
                  </w:pPr>
                  <w:r>
                    <w:rPr>
                      <w:color w:val="auto"/>
                      <w:kern w:val="0"/>
                    </w:rPr>
                    <w:t>资源利用效率要求</w:t>
                  </w:r>
                </w:p>
              </w:tc>
              <w:tc>
                <w:tcPr>
                  <w:tcW w:w="2757" w:type="pct"/>
                  <w:tcBorders>
                    <w:tl2br w:val="nil"/>
                    <w:tr2bl w:val="nil"/>
                  </w:tcBorders>
                  <w:vAlign w:val="center"/>
                </w:tcPr>
                <w:p w14:paraId="5D2AECC2">
                  <w:pPr>
                    <w:adjustRightInd w:val="0"/>
                    <w:snapToGrid w:val="0"/>
                    <w:jc w:val="center"/>
                    <w:rPr>
                      <w:color w:val="auto"/>
                      <w:kern w:val="0"/>
                    </w:rPr>
                  </w:pPr>
                  <w:r>
                    <w:rPr>
                      <w:color w:val="auto"/>
                      <w:kern w:val="0"/>
                    </w:rPr>
                    <w:t>（1）大力倡导使用清洁能源。（2）提升废水资源化技术，提高水资源回用率。（3）严禁自建燃煤设施。</w:t>
                  </w:r>
                </w:p>
              </w:tc>
              <w:tc>
                <w:tcPr>
                  <w:tcW w:w="981" w:type="pct"/>
                  <w:tcBorders>
                    <w:tl2br w:val="nil"/>
                    <w:tr2bl w:val="nil"/>
                  </w:tcBorders>
                  <w:vAlign w:val="center"/>
                </w:tcPr>
                <w:p w14:paraId="64F3268B">
                  <w:pPr>
                    <w:adjustRightInd w:val="0"/>
                    <w:snapToGrid w:val="0"/>
                    <w:jc w:val="center"/>
                    <w:rPr>
                      <w:color w:val="auto"/>
                      <w:kern w:val="0"/>
                    </w:rPr>
                  </w:pPr>
                  <w:r>
                    <w:rPr>
                      <w:color w:val="auto"/>
                      <w:kern w:val="0"/>
                    </w:rPr>
                    <w:t>项目无生产废水排放，不使用燃料</w:t>
                  </w:r>
                  <w:r>
                    <w:rPr>
                      <w:rFonts w:hint="eastAsia"/>
                      <w:color w:val="auto"/>
                      <w:kern w:val="0"/>
                    </w:rPr>
                    <w:t>，不建设燃煤设施</w:t>
                  </w:r>
                </w:p>
              </w:tc>
              <w:tc>
                <w:tcPr>
                  <w:tcW w:w="427" w:type="pct"/>
                  <w:tcBorders>
                    <w:tl2br w:val="nil"/>
                    <w:tr2bl w:val="nil"/>
                  </w:tcBorders>
                  <w:vAlign w:val="center"/>
                </w:tcPr>
                <w:p w14:paraId="44949CB8">
                  <w:pPr>
                    <w:adjustRightInd w:val="0"/>
                    <w:snapToGrid w:val="0"/>
                    <w:jc w:val="center"/>
                    <w:rPr>
                      <w:color w:val="auto"/>
                      <w:kern w:val="0"/>
                    </w:rPr>
                  </w:pPr>
                  <w:r>
                    <w:rPr>
                      <w:color w:val="auto"/>
                      <w:kern w:val="0"/>
                    </w:rPr>
                    <w:t>相符</w:t>
                  </w:r>
                </w:p>
              </w:tc>
            </w:tr>
          </w:tbl>
          <w:p w14:paraId="6FA1CDC5">
            <w:pPr>
              <w:autoSpaceDE w:val="0"/>
              <w:autoSpaceDN w:val="0"/>
              <w:adjustRightInd w:val="0"/>
              <w:snapToGrid w:val="0"/>
              <w:spacing w:line="360" w:lineRule="auto"/>
              <w:ind w:firstLine="420" w:firstLineChars="200"/>
              <w:jc w:val="left"/>
              <w:rPr>
                <w:rFonts w:cs="宋体"/>
                <w:color w:val="auto"/>
                <w:kern w:val="0"/>
                <w:lang w:bidi="ar"/>
              </w:rPr>
            </w:pPr>
            <w:r>
              <w:rPr>
                <w:rFonts w:hint="eastAsia"/>
                <w:color w:val="auto"/>
              </w:rPr>
              <w:t>根据上表分析可知，本项目符合</w:t>
            </w:r>
            <w:r>
              <w:rPr>
                <w:color w:val="auto"/>
              </w:rPr>
              <w:t>《常州市</w:t>
            </w:r>
            <w:r>
              <w:rPr>
                <w:rFonts w:hint="eastAsia"/>
                <w:color w:val="auto"/>
              </w:rPr>
              <w:t>“</w:t>
            </w:r>
            <w:r>
              <w:rPr>
                <w:color w:val="auto"/>
              </w:rPr>
              <w:t>三线一单</w:t>
            </w:r>
            <w:r>
              <w:rPr>
                <w:rFonts w:hint="eastAsia"/>
                <w:color w:val="auto"/>
              </w:rPr>
              <w:t>”</w:t>
            </w:r>
            <w:r>
              <w:rPr>
                <w:color w:val="auto"/>
              </w:rPr>
              <w:t>生态环境分区管控实施方案》（常环[2020]95号）</w:t>
            </w:r>
            <w:r>
              <w:rPr>
                <w:rFonts w:hint="eastAsia"/>
                <w:color w:val="auto"/>
              </w:rPr>
              <w:t>中的各项管控要求</w:t>
            </w:r>
            <w:r>
              <w:rPr>
                <w:rFonts w:hint="eastAsia" w:cs="宋体"/>
                <w:color w:val="auto"/>
                <w:kern w:val="0"/>
                <w:lang w:bidi="ar"/>
              </w:rPr>
              <w:t>。</w:t>
            </w:r>
          </w:p>
          <w:p w14:paraId="536206A4">
            <w:pPr>
              <w:pStyle w:val="5"/>
              <w:adjustRightInd w:val="0"/>
              <w:snapToGrid w:val="0"/>
              <w:spacing w:line="360" w:lineRule="auto"/>
              <w:ind w:firstLine="482"/>
              <w:rPr>
                <w:b/>
                <w:bCs/>
                <w:color w:val="auto"/>
                <w:szCs w:val="21"/>
              </w:rPr>
            </w:pPr>
            <w:r>
              <w:rPr>
                <w:b/>
                <w:bCs/>
                <w:color w:val="auto"/>
                <w:szCs w:val="21"/>
              </w:rPr>
              <w:t>（</w:t>
            </w:r>
            <w:r>
              <w:rPr>
                <w:rFonts w:hint="eastAsia"/>
                <w:b/>
                <w:bCs/>
                <w:color w:val="auto"/>
                <w:szCs w:val="21"/>
                <w:lang w:val="en-US" w:eastAsia="zh-CN"/>
              </w:rPr>
              <w:t>3</w:t>
            </w:r>
            <w:r>
              <w:rPr>
                <w:b/>
                <w:bCs/>
                <w:color w:val="auto"/>
                <w:szCs w:val="21"/>
              </w:rPr>
              <w:t>）与《省生态环境厅关于进一步做好建设项目环境审批工作的通知》（苏环办[2019]36号）相符性</w:t>
            </w:r>
          </w:p>
          <w:p w14:paraId="704A0A26">
            <w:pPr>
              <w:pStyle w:val="5"/>
              <w:adjustRightInd w:val="0"/>
              <w:snapToGrid w:val="0"/>
              <w:spacing w:line="360" w:lineRule="auto"/>
              <w:ind w:firstLine="480"/>
              <w:rPr>
                <w:b/>
                <w:bCs/>
                <w:color w:val="auto"/>
                <w:szCs w:val="21"/>
              </w:rPr>
            </w:pPr>
            <w:r>
              <w:rPr>
                <w:color w:val="auto"/>
                <w:szCs w:val="21"/>
              </w:rPr>
              <w:t>项目与《省生态环境厅关于进一步做好建设项目环境审批工作的通知》（苏环办[2019]36号）相符性分析见</w:t>
            </w:r>
            <w:r>
              <w:rPr>
                <w:rFonts w:hint="eastAsia"/>
                <w:color w:val="auto"/>
                <w:szCs w:val="21"/>
              </w:rPr>
              <w:t>下表</w:t>
            </w:r>
            <w:r>
              <w:rPr>
                <w:color w:val="auto"/>
                <w:szCs w:val="21"/>
              </w:rPr>
              <w:t>。</w:t>
            </w:r>
          </w:p>
          <w:p w14:paraId="3303CF6D">
            <w:pPr>
              <w:pStyle w:val="5"/>
              <w:adjustRightInd w:val="0"/>
              <w:snapToGrid w:val="0"/>
              <w:ind w:firstLine="0"/>
              <w:jc w:val="center"/>
              <w:rPr>
                <w:b/>
                <w:bCs/>
                <w:color w:val="auto"/>
                <w:szCs w:val="21"/>
              </w:rPr>
            </w:pPr>
            <w:r>
              <w:rPr>
                <w:b/>
                <w:bCs/>
                <w:color w:val="auto"/>
                <w:szCs w:val="21"/>
              </w:rPr>
              <w:t>表1-</w:t>
            </w:r>
            <w:r>
              <w:rPr>
                <w:rFonts w:hint="eastAsia"/>
                <w:b/>
                <w:bCs/>
                <w:color w:val="auto"/>
                <w:szCs w:val="21"/>
                <w:lang w:val="en-US" w:eastAsia="zh-CN"/>
              </w:rPr>
              <w:t>9</w:t>
            </w:r>
            <w:r>
              <w:rPr>
                <w:rFonts w:hint="eastAsia"/>
                <w:b/>
                <w:bCs/>
                <w:color w:val="auto"/>
                <w:szCs w:val="21"/>
              </w:rPr>
              <w:t xml:space="preserve">   </w:t>
            </w:r>
            <w:r>
              <w:rPr>
                <w:b/>
                <w:bCs/>
                <w:color w:val="auto"/>
                <w:szCs w:val="21"/>
              </w:rPr>
              <w:t>与《省生态环境厅关于进一步做好建设项目环评审批工作的通知》相符性分析</w:t>
            </w:r>
          </w:p>
          <w:tbl>
            <w:tblPr>
              <w:tblStyle w:val="59"/>
              <w:tblW w:w="5000"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28" w:type="dxa"/>
                <w:bottom w:w="0" w:type="dxa"/>
                <w:right w:w="28" w:type="dxa"/>
              </w:tblCellMar>
            </w:tblPr>
            <w:tblGrid>
              <w:gridCol w:w="4561"/>
              <w:gridCol w:w="2856"/>
              <w:gridCol w:w="734"/>
            </w:tblGrid>
            <w:tr w14:paraId="232036CF">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28" w:type="dxa"/>
                  <w:bottom w:w="0" w:type="dxa"/>
                  <w:right w:w="28" w:type="dxa"/>
                </w:tblCellMar>
              </w:tblPrEx>
              <w:trPr>
                <w:jc w:val="center"/>
              </w:trPr>
              <w:tc>
                <w:tcPr>
                  <w:tcW w:w="2797" w:type="pct"/>
                  <w:tcBorders>
                    <w:tl2br w:val="nil"/>
                    <w:tr2bl w:val="nil"/>
                  </w:tcBorders>
                  <w:vAlign w:val="center"/>
                </w:tcPr>
                <w:p w14:paraId="7FC24689">
                  <w:pPr>
                    <w:pStyle w:val="558"/>
                    <w:adjustRightInd w:val="0"/>
                    <w:rPr>
                      <w:b/>
                      <w:color w:val="auto"/>
                    </w:rPr>
                  </w:pPr>
                  <w:r>
                    <w:rPr>
                      <w:b/>
                      <w:color w:val="auto"/>
                    </w:rPr>
                    <w:t>与项目相关要求</w:t>
                  </w:r>
                </w:p>
              </w:tc>
              <w:tc>
                <w:tcPr>
                  <w:tcW w:w="1751" w:type="pct"/>
                  <w:tcBorders>
                    <w:tl2br w:val="nil"/>
                    <w:tr2bl w:val="nil"/>
                  </w:tcBorders>
                  <w:vAlign w:val="center"/>
                </w:tcPr>
                <w:p w14:paraId="4F045CB0">
                  <w:pPr>
                    <w:pStyle w:val="558"/>
                    <w:adjustRightInd w:val="0"/>
                    <w:rPr>
                      <w:b/>
                      <w:color w:val="auto"/>
                    </w:rPr>
                  </w:pPr>
                  <w:r>
                    <w:rPr>
                      <w:b/>
                      <w:color w:val="auto"/>
                    </w:rPr>
                    <w:t>本项目相符性分析</w:t>
                  </w:r>
                </w:p>
              </w:tc>
              <w:tc>
                <w:tcPr>
                  <w:tcW w:w="450" w:type="pct"/>
                  <w:tcBorders>
                    <w:tl2br w:val="nil"/>
                    <w:tr2bl w:val="nil"/>
                  </w:tcBorders>
                  <w:vAlign w:val="center"/>
                </w:tcPr>
                <w:p w14:paraId="0F229886">
                  <w:pPr>
                    <w:pStyle w:val="558"/>
                    <w:adjustRightInd w:val="0"/>
                    <w:rPr>
                      <w:b/>
                      <w:color w:val="auto"/>
                    </w:rPr>
                  </w:pPr>
                  <w:r>
                    <w:rPr>
                      <w:b/>
                      <w:color w:val="auto"/>
                    </w:rPr>
                    <w:t>是否符合</w:t>
                  </w:r>
                </w:p>
              </w:tc>
            </w:tr>
            <w:tr w14:paraId="09A102D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28" w:type="dxa"/>
                  <w:bottom w:w="0" w:type="dxa"/>
                  <w:right w:w="28" w:type="dxa"/>
                </w:tblCellMar>
              </w:tblPrEx>
              <w:trPr>
                <w:jc w:val="center"/>
              </w:trPr>
              <w:tc>
                <w:tcPr>
                  <w:tcW w:w="2797" w:type="pct"/>
                  <w:tcBorders>
                    <w:tl2br w:val="nil"/>
                    <w:tr2bl w:val="nil"/>
                  </w:tcBorders>
                  <w:vAlign w:val="center"/>
                </w:tcPr>
                <w:p w14:paraId="2972FCE0">
                  <w:pPr>
                    <w:adjustRightInd w:val="0"/>
                    <w:snapToGrid w:val="0"/>
                    <w:jc w:val="center"/>
                    <w:rPr>
                      <w:color w:val="auto"/>
                    </w:rPr>
                  </w:pPr>
                  <w:r>
                    <w:rPr>
                      <w:color w:val="auto"/>
                    </w:rPr>
                    <w:t>有下列情形之一的，不予批准：（1）建设项目类型及其选址、布局、规模等不符合环境保护法律法规和相关法定规划；（2）所在区域环境质量未达到国家或者地方环境质量标准，且建设项目拟采取的措施不能满足区域环境质量改善目标管理要求；（3）建设项目采取的污染防治措施无法确保污染物排放达到国家和地方排放标准，或者未采取必要措施预防和控制生态破坏；（4）改建、扩建和技术改造项目，未针对项目原有环境污染和生态破坏提出有效防止措施；（5）建设项目的环境影响报告书、环境影响报告表的基础资料数据明显不实，内容存在重大缺陷、遗漏，或者环境影响评价结论不明确、不合理。</w:t>
                  </w:r>
                </w:p>
              </w:tc>
              <w:tc>
                <w:tcPr>
                  <w:tcW w:w="1751" w:type="pct"/>
                  <w:tcBorders>
                    <w:tl2br w:val="nil"/>
                    <w:tr2bl w:val="nil"/>
                  </w:tcBorders>
                  <w:vAlign w:val="center"/>
                </w:tcPr>
                <w:p w14:paraId="455A3E5D">
                  <w:pPr>
                    <w:adjustRightInd w:val="0"/>
                    <w:snapToGrid w:val="0"/>
                    <w:jc w:val="center"/>
                    <w:rPr>
                      <w:color w:val="auto"/>
                    </w:rPr>
                  </w:pPr>
                  <w:r>
                    <w:rPr>
                      <w:color w:val="auto"/>
                    </w:rPr>
                    <w:t>（1）项目选址位于</w:t>
                  </w:r>
                  <w:r>
                    <w:rPr>
                      <w:rFonts w:hint="eastAsia"/>
                      <w:color w:val="auto"/>
                      <w:lang w:eastAsia="zh-CN"/>
                    </w:rPr>
                    <w:t>江苏省常州市金坛区亿晶路99号</w:t>
                  </w:r>
                  <w:r>
                    <w:rPr>
                      <w:color w:val="auto"/>
                    </w:rPr>
                    <w:t>，符合其规划要求；（2）项目采取的措施能够满足区域环境质量改善目标管理要求；（3）项目采取的污染防治措施能够满足污染物排放达到相关排放标准；（4）本项目为</w:t>
                  </w:r>
                  <w:r>
                    <w:rPr>
                      <w:rFonts w:hint="eastAsia"/>
                      <w:color w:val="auto"/>
                    </w:rPr>
                    <w:t>新建</w:t>
                  </w:r>
                  <w:r>
                    <w:rPr>
                      <w:color w:val="auto"/>
                    </w:rPr>
                    <w:t>项目，</w:t>
                  </w:r>
                  <w:r>
                    <w:rPr>
                      <w:rFonts w:hint="eastAsia"/>
                      <w:color w:val="auto"/>
                    </w:rPr>
                    <w:t>无原有环境污染和生态破坏；</w:t>
                  </w:r>
                  <w:r>
                    <w:rPr>
                      <w:color w:val="auto"/>
                    </w:rPr>
                    <w:t>（5）本项目基础资料数据符合实际情况。</w:t>
                  </w:r>
                </w:p>
              </w:tc>
              <w:tc>
                <w:tcPr>
                  <w:tcW w:w="450" w:type="pct"/>
                  <w:tcBorders>
                    <w:tl2br w:val="nil"/>
                    <w:tr2bl w:val="nil"/>
                  </w:tcBorders>
                  <w:vAlign w:val="center"/>
                </w:tcPr>
                <w:p w14:paraId="1E71337E">
                  <w:pPr>
                    <w:pStyle w:val="558"/>
                    <w:adjustRightInd w:val="0"/>
                    <w:rPr>
                      <w:color w:val="auto"/>
                    </w:rPr>
                  </w:pPr>
                  <w:r>
                    <w:rPr>
                      <w:color w:val="auto"/>
                    </w:rPr>
                    <w:t>符合</w:t>
                  </w:r>
                </w:p>
              </w:tc>
            </w:tr>
            <w:tr w14:paraId="6A40FEB7">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28" w:type="dxa"/>
                  <w:bottom w:w="0" w:type="dxa"/>
                  <w:right w:w="28" w:type="dxa"/>
                </w:tblCellMar>
              </w:tblPrEx>
              <w:trPr>
                <w:jc w:val="center"/>
              </w:trPr>
              <w:tc>
                <w:tcPr>
                  <w:tcW w:w="2797" w:type="pct"/>
                  <w:tcBorders>
                    <w:tl2br w:val="nil"/>
                    <w:tr2bl w:val="nil"/>
                  </w:tcBorders>
                  <w:vAlign w:val="center"/>
                </w:tcPr>
                <w:p w14:paraId="2971E377">
                  <w:pPr>
                    <w:adjustRightInd w:val="0"/>
                    <w:snapToGrid w:val="0"/>
                    <w:jc w:val="center"/>
                    <w:rPr>
                      <w:color w:val="auto"/>
                    </w:rPr>
                  </w:pPr>
                  <w:r>
                    <w:rPr>
                      <w:color w:val="auto"/>
                    </w:rPr>
                    <w:t>排放主要污染物的建设项目，在环境影响评价文件审批前，须取得主要污染物排放总量指标。</w:t>
                  </w:r>
                </w:p>
              </w:tc>
              <w:tc>
                <w:tcPr>
                  <w:tcW w:w="1751" w:type="pct"/>
                  <w:tcBorders>
                    <w:tl2br w:val="nil"/>
                    <w:tr2bl w:val="nil"/>
                  </w:tcBorders>
                  <w:vAlign w:val="center"/>
                </w:tcPr>
                <w:p w14:paraId="074C9A97">
                  <w:pPr>
                    <w:adjustRightInd w:val="0"/>
                    <w:snapToGrid w:val="0"/>
                    <w:jc w:val="center"/>
                    <w:rPr>
                      <w:color w:val="auto"/>
                    </w:rPr>
                  </w:pPr>
                  <w:r>
                    <w:rPr>
                      <w:color w:val="auto"/>
                    </w:rPr>
                    <w:t>本项目需按要求取得总量指标。</w:t>
                  </w:r>
                </w:p>
              </w:tc>
              <w:tc>
                <w:tcPr>
                  <w:tcW w:w="450" w:type="pct"/>
                  <w:tcBorders>
                    <w:tl2br w:val="nil"/>
                    <w:tr2bl w:val="nil"/>
                  </w:tcBorders>
                  <w:vAlign w:val="center"/>
                </w:tcPr>
                <w:p w14:paraId="0E433D0C">
                  <w:pPr>
                    <w:adjustRightInd w:val="0"/>
                    <w:snapToGrid w:val="0"/>
                    <w:jc w:val="center"/>
                    <w:rPr>
                      <w:color w:val="auto"/>
                    </w:rPr>
                  </w:pPr>
                  <w:r>
                    <w:rPr>
                      <w:color w:val="auto"/>
                    </w:rPr>
                    <w:t>符合</w:t>
                  </w:r>
                </w:p>
              </w:tc>
            </w:tr>
            <w:tr w14:paraId="1AA7758F">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28" w:type="dxa"/>
                  <w:bottom w:w="0" w:type="dxa"/>
                  <w:right w:w="28" w:type="dxa"/>
                </w:tblCellMar>
              </w:tblPrEx>
              <w:trPr>
                <w:jc w:val="center"/>
              </w:trPr>
              <w:tc>
                <w:tcPr>
                  <w:tcW w:w="2797" w:type="pct"/>
                  <w:tcBorders>
                    <w:tl2br w:val="nil"/>
                    <w:tr2bl w:val="nil"/>
                  </w:tcBorders>
                  <w:vAlign w:val="center"/>
                </w:tcPr>
                <w:p w14:paraId="5BAFA997">
                  <w:pPr>
                    <w:adjustRightInd w:val="0"/>
                    <w:snapToGrid w:val="0"/>
                    <w:jc w:val="center"/>
                    <w:rPr>
                      <w:color w:val="auto"/>
                    </w:rPr>
                  </w:pPr>
                  <w:r>
                    <w:rPr>
                      <w:color w:val="auto"/>
                    </w:rPr>
                    <w:t>严禁在长江干流及主要支流岸线1公里范围内新建布局化工园区和化工企业。</w:t>
                  </w:r>
                </w:p>
              </w:tc>
              <w:tc>
                <w:tcPr>
                  <w:tcW w:w="1751" w:type="pct"/>
                  <w:tcBorders>
                    <w:tl2br w:val="nil"/>
                    <w:tr2bl w:val="nil"/>
                  </w:tcBorders>
                  <w:vAlign w:val="center"/>
                </w:tcPr>
                <w:p w14:paraId="4B299E03">
                  <w:pPr>
                    <w:adjustRightInd w:val="0"/>
                    <w:snapToGrid w:val="0"/>
                    <w:jc w:val="center"/>
                    <w:rPr>
                      <w:color w:val="auto"/>
                    </w:rPr>
                  </w:pPr>
                  <w:r>
                    <w:rPr>
                      <w:color w:val="auto"/>
                    </w:rPr>
                    <w:t>本项目不在长江干流及主要支流岸线1公里范围内。</w:t>
                  </w:r>
                </w:p>
              </w:tc>
              <w:tc>
                <w:tcPr>
                  <w:tcW w:w="450" w:type="pct"/>
                  <w:tcBorders>
                    <w:tl2br w:val="nil"/>
                    <w:tr2bl w:val="nil"/>
                  </w:tcBorders>
                  <w:vAlign w:val="center"/>
                </w:tcPr>
                <w:p w14:paraId="67BDB4D5">
                  <w:pPr>
                    <w:adjustRightInd w:val="0"/>
                    <w:snapToGrid w:val="0"/>
                    <w:jc w:val="center"/>
                    <w:rPr>
                      <w:color w:val="auto"/>
                    </w:rPr>
                  </w:pPr>
                  <w:r>
                    <w:rPr>
                      <w:color w:val="auto"/>
                    </w:rPr>
                    <w:t>符合</w:t>
                  </w:r>
                </w:p>
              </w:tc>
            </w:tr>
            <w:tr w14:paraId="2FF0A5E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28" w:type="dxa"/>
                  <w:bottom w:w="0" w:type="dxa"/>
                  <w:right w:w="28" w:type="dxa"/>
                </w:tblCellMar>
              </w:tblPrEx>
              <w:trPr>
                <w:jc w:val="center"/>
              </w:trPr>
              <w:tc>
                <w:tcPr>
                  <w:tcW w:w="2797" w:type="pct"/>
                  <w:tcBorders>
                    <w:tl2br w:val="nil"/>
                    <w:tr2bl w:val="nil"/>
                  </w:tcBorders>
                  <w:vAlign w:val="center"/>
                </w:tcPr>
                <w:p w14:paraId="496CF5BB">
                  <w:pPr>
                    <w:adjustRightInd w:val="0"/>
                    <w:snapToGrid w:val="0"/>
                    <w:jc w:val="center"/>
                    <w:rPr>
                      <w:color w:val="auto"/>
                    </w:rPr>
                  </w:pPr>
                  <w:r>
                    <w:rPr>
                      <w:color w:val="auto"/>
                    </w:rPr>
                    <w:t>生态保护红线原则上按禁止开发区域的要求进行管理，严禁不符合主体功能定位的各类开发活动，严禁任意改变用途。</w:t>
                  </w:r>
                </w:p>
              </w:tc>
              <w:tc>
                <w:tcPr>
                  <w:tcW w:w="1751" w:type="pct"/>
                  <w:tcBorders>
                    <w:tl2br w:val="nil"/>
                    <w:tr2bl w:val="nil"/>
                  </w:tcBorders>
                  <w:vAlign w:val="center"/>
                </w:tcPr>
                <w:p w14:paraId="1FCE4A4D">
                  <w:pPr>
                    <w:adjustRightInd w:val="0"/>
                    <w:snapToGrid w:val="0"/>
                    <w:jc w:val="center"/>
                    <w:rPr>
                      <w:color w:val="auto"/>
                    </w:rPr>
                  </w:pPr>
                  <w:r>
                    <w:rPr>
                      <w:color w:val="auto"/>
                    </w:rPr>
                    <w:t>本项目不在生态保护红线范围内。</w:t>
                  </w:r>
                </w:p>
              </w:tc>
              <w:tc>
                <w:tcPr>
                  <w:tcW w:w="450" w:type="pct"/>
                  <w:tcBorders>
                    <w:tl2br w:val="nil"/>
                    <w:tr2bl w:val="nil"/>
                  </w:tcBorders>
                  <w:vAlign w:val="center"/>
                </w:tcPr>
                <w:p w14:paraId="5AECC02F">
                  <w:pPr>
                    <w:adjustRightInd w:val="0"/>
                    <w:snapToGrid w:val="0"/>
                    <w:jc w:val="center"/>
                    <w:rPr>
                      <w:color w:val="auto"/>
                    </w:rPr>
                  </w:pPr>
                  <w:r>
                    <w:rPr>
                      <w:color w:val="auto"/>
                    </w:rPr>
                    <w:t>符合</w:t>
                  </w:r>
                </w:p>
              </w:tc>
            </w:tr>
            <w:tr w14:paraId="684FA50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28" w:type="dxa"/>
                  <w:bottom w:w="0" w:type="dxa"/>
                  <w:right w:w="28" w:type="dxa"/>
                </w:tblCellMar>
              </w:tblPrEx>
              <w:trPr>
                <w:jc w:val="center"/>
              </w:trPr>
              <w:tc>
                <w:tcPr>
                  <w:tcW w:w="2797" w:type="pct"/>
                  <w:tcBorders>
                    <w:tl2br w:val="nil"/>
                    <w:tr2bl w:val="nil"/>
                  </w:tcBorders>
                  <w:vAlign w:val="center"/>
                </w:tcPr>
                <w:p w14:paraId="6AD82777">
                  <w:pPr>
                    <w:adjustRightInd w:val="0"/>
                    <w:snapToGrid w:val="0"/>
                    <w:jc w:val="center"/>
                    <w:rPr>
                      <w:color w:val="auto"/>
                    </w:rPr>
                  </w:pPr>
                  <w:r>
                    <w:rPr>
                      <w:color w:val="auto"/>
                    </w:rPr>
                    <w:t>禁止审批无法落实危险废物利用、处置途径的项目，从严审批危险废物产生量大、本地无配套利用处置能力、且需设区市统筹解决的项目。</w:t>
                  </w:r>
                </w:p>
              </w:tc>
              <w:tc>
                <w:tcPr>
                  <w:tcW w:w="1751" w:type="pct"/>
                  <w:tcBorders>
                    <w:tl2br w:val="nil"/>
                    <w:tr2bl w:val="nil"/>
                  </w:tcBorders>
                  <w:vAlign w:val="center"/>
                </w:tcPr>
                <w:p w14:paraId="25A60F9C">
                  <w:pPr>
                    <w:adjustRightInd w:val="0"/>
                    <w:snapToGrid w:val="0"/>
                    <w:jc w:val="center"/>
                    <w:rPr>
                      <w:color w:val="auto"/>
                    </w:rPr>
                  </w:pPr>
                  <w:r>
                    <w:rPr>
                      <w:color w:val="auto"/>
                    </w:rPr>
                    <w:t>本项目产生的危险废物</w:t>
                  </w:r>
                  <w:r>
                    <w:rPr>
                      <w:rFonts w:hint="eastAsia"/>
                      <w:color w:val="auto"/>
                    </w:rPr>
                    <w:t>均收集后</w:t>
                  </w:r>
                  <w:r>
                    <w:rPr>
                      <w:color w:val="auto"/>
                    </w:rPr>
                    <w:t>委托有资质单位处置。</w:t>
                  </w:r>
                </w:p>
              </w:tc>
              <w:tc>
                <w:tcPr>
                  <w:tcW w:w="450" w:type="pct"/>
                  <w:tcBorders>
                    <w:tl2br w:val="nil"/>
                    <w:tr2bl w:val="nil"/>
                  </w:tcBorders>
                  <w:vAlign w:val="center"/>
                </w:tcPr>
                <w:p w14:paraId="41AD1F72">
                  <w:pPr>
                    <w:adjustRightInd w:val="0"/>
                    <w:snapToGrid w:val="0"/>
                    <w:jc w:val="center"/>
                    <w:rPr>
                      <w:color w:val="auto"/>
                    </w:rPr>
                  </w:pPr>
                  <w:r>
                    <w:rPr>
                      <w:color w:val="auto"/>
                    </w:rPr>
                    <w:t>符合</w:t>
                  </w:r>
                </w:p>
              </w:tc>
            </w:tr>
          </w:tbl>
          <w:p w14:paraId="2EF078FB">
            <w:pPr>
              <w:pStyle w:val="2"/>
              <w:keepNext/>
              <w:keepLines/>
              <w:pageBreakBefore w:val="0"/>
              <w:widowControl w:val="0"/>
              <w:kinsoku/>
              <w:wordWrap/>
              <w:overflowPunct/>
              <w:topLinePunct w:val="0"/>
              <w:autoSpaceDE/>
              <w:autoSpaceDN/>
              <w:bidi w:val="0"/>
              <w:adjustRightInd w:val="0"/>
              <w:snapToGrid w:val="0"/>
              <w:spacing w:before="0" w:beforeAutospacing="0" w:after="0" w:afterAutospacing="0" w:line="360" w:lineRule="auto"/>
              <w:ind w:firstLine="422" w:firstLineChars="200"/>
              <w:jc w:val="both"/>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（4）与《关于加强重点行业涉新污染物建设项目环境影响评价工作的意见》（环环评【2025】28号）</w:t>
            </w:r>
            <w:r>
              <w:rPr>
                <w:rFonts w:hint="eastAsia" w:cs="Times New Roman"/>
                <w:color w:val="auto"/>
                <w:sz w:val="21"/>
                <w:szCs w:val="21"/>
                <w:lang w:val="en-US" w:eastAsia="zh-CN"/>
              </w:rPr>
              <w:t>及其附表</w:t>
            </w:r>
            <w:r>
              <w:rPr>
                <w:rFonts w:hint="default" w:ascii="Times New Roman" w:hAnsi="Times New Roman" w:cs="Times New Roman"/>
                <w:color w:val="auto"/>
                <w:sz w:val="21"/>
                <w:szCs w:val="21"/>
                <w:lang w:val="en-US" w:eastAsia="zh-CN"/>
              </w:rPr>
              <w:t>《不予审批环评的项目类别》相符性</w:t>
            </w:r>
          </w:p>
          <w:p w14:paraId="2A43ED5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b/>
                <w:bCs/>
                <w:color w:val="auto"/>
                <w:lang w:val="en-US" w:eastAsia="zh-CN"/>
              </w:rPr>
            </w:pPr>
            <w:r>
              <w:rPr>
                <w:rFonts w:hint="eastAsia"/>
                <w:b/>
                <w:bCs/>
                <w:color w:val="auto"/>
                <w:lang w:val="en-US" w:eastAsia="zh-CN"/>
              </w:rPr>
              <w:t>表1-10   与《关于加强重点行业涉新污染物建设项目环境影响评价工作的意见》（环环评【2025】28号）相符性分析</w:t>
            </w:r>
          </w:p>
          <w:tbl>
            <w:tblPr>
              <w:tblStyle w:val="60"/>
              <w:tblW w:w="4998"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902"/>
              <w:gridCol w:w="3318"/>
              <w:gridCol w:w="3005"/>
              <w:gridCol w:w="923"/>
            </w:tblGrid>
            <w:tr w14:paraId="4B75631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908" w:type="dxa"/>
                  <w:tcBorders>
                    <w:tl2br w:val="nil"/>
                    <w:tr2bl w:val="nil"/>
                  </w:tcBorders>
                  <w:noWrap w:val="0"/>
                  <w:vAlign w:val="center"/>
                </w:tcPr>
                <w:p w14:paraId="5F3E734D">
                  <w:pPr>
                    <w:pStyle w:val="2"/>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类别</w:t>
                  </w:r>
                </w:p>
              </w:tc>
              <w:tc>
                <w:tcPr>
                  <w:tcW w:w="3345" w:type="dxa"/>
                  <w:tcBorders>
                    <w:tl2br w:val="nil"/>
                    <w:tr2bl w:val="nil"/>
                  </w:tcBorders>
                  <w:noWrap w:val="0"/>
                  <w:vAlign w:val="center"/>
                </w:tcPr>
                <w:p w14:paraId="2EB64FD5">
                  <w:pPr>
                    <w:pStyle w:val="2"/>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内容</w:t>
                  </w:r>
                </w:p>
              </w:tc>
              <w:tc>
                <w:tcPr>
                  <w:tcW w:w="3030" w:type="dxa"/>
                  <w:tcBorders>
                    <w:tl2br w:val="nil"/>
                    <w:tr2bl w:val="nil"/>
                  </w:tcBorders>
                  <w:noWrap w:val="0"/>
                  <w:vAlign w:val="center"/>
                </w:tcPr>
                <w:p w14:paraId="44B79D40">
                  <w:pPr>
                    <w:pStyle w:val="2"/>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本项目情况</w:t>
                  </w:r>
                </w:p>
              </w:tc>
              <w:tc>
                <w:tcPr>
                  <w:tcW w:w="929" w:type="dxa"/>
                  <w:tcBorders>
                    <w:tl2br w:val="nil"/>
                    <w:tr2bl w:val="nil"/>
                  </w:tcBorders>
                  <w:noWrap w:val="0"/>
                  <w:vAlign w:val="center"/>
                </w:tcPr>
                <w:p w14:paraId="304CD233">
                  <w:pPr>
                    <w:pStyle w:val="2"/>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相符性</w:t>
                  </w:r>
                </w:p>
              </w:tc>
            </w:tr>
            <w:tr w14:paraId="008497E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908" w:type="dxa"/>
                  <w:tcBorders>
                    <w:tl2br w:val="nil"/>
                    <w:tr2bl w:val="nil"/>
                  </w:tcBorders>
                  <w:noWrap w:val="0"/>
                  <w:vAlign w:val="center"/>
                </w:tcPr>
                <w:p w14:paraId="6247AAE1">
                  <w:pPr>
                    <w:pStyle w:val="2"/>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rPr>
                  </w:pPr>
                  <w:r>
                    <w:rPr>
                      <w:rFonts w:hint="default" w:ascii="Times New Roman" w:hAnsi="Times New Roman" w:cs="Times New Roman"/>
                      <w:b w:val="0"/>
                      <w:bCs w:val="0"/>
                      <w:color w:val="auto"/>
                      <w:kern w:val="0"/>
                      <w:sz w:val="21"/>
                      <w:szCs w:val="21"/>
                      <w:vertAlign w:val="baseline"/>
                      <w:lang w:val="en-US" w:eastAsia="zh-CN"/>
                    </w:rPr>
                    <w:t>突出管理重点</w:t>
                  </w:r>
                </w:p>
              </w:tc>
              <w:tc>
                <w:tcPr>
                  <w:tcW w:w="3345" w:type="dxa"/>
                  <w:tcBorders>
                    <w:tl2br w:val="nil"/>
                    <w:tr2bl w:val="nil"/>
                  </w:tcBorders>
                  <w:noWrap w:val="0"/>
                  <w:vAlign w:val="center"/>
                </w:tcPr>
                <w:p w14:paraId="649FCB4E">
                  <w:pPr>
                    <w:pStyle w:val="2"/>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rPr>
                  </w:pPr>
                  <w:r>
                    <w:rPr>
                      <w:rFonts w:hint="default" w:ascii="Times New Roman" w:hAnsi="Times New Roman" w:eastAsia="宋体" w:cs="Times New Roman"/>
                      <w:b w:val="0"/>
                      <w:bCs w:val="0"/>
                      <w:color w:val="auto"/>
                      <w:kern w:val="0"/>
                      <w:sz w:val="21"/>
                      <w:szCs w:val="21"/>
                      <w:vertAlign w:val="baseline"/>
                      <w:lang w:val="en-US" w:eastAsia="zh-CN"/>
                    </w:rPr>
                    <w:t>重点关注重点管控新污染物清单、有毒有害污染物名录、优先控制化学品名录以及《关于持久性有机污染物的斯德哥尔摩公约》（简称《斯德哥尔摩公约》）附件中已发布环境质量标准、污染物排放标准、环境监测方法标准或其他具有污染治理技术的污染物。重点关注石化、涂料、纺织印染、橡胶、农药、医药等重点行业建设项目，在建设项目环评工作中做好上述新污染物识别，涉及上述新污染物的，执行本意见要求；不涉及新污染物的，无需开展相关工作。</w:t>
                  </w:r>
                </w:p>
              </w:tc>
              <w:tc>
                <w:tcPr>
                  <w:tcW w:w="3030" w:type="dxa"/>
                  <w:tcBorders>
                    <w:tl2br w:val="nil"/>
                    <w:tr2bl w:val="nil"/>
                  </w:tcBorders>
                  <w:noWrap w:val="0"/>
                  <w:vAlign w:val="center"/>
                </w:tcPr>
                <w:p w14:paraId="4D3B1291">
                  <w:pPr>
                    <w:pStyle w:val="2"/>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rPr>
                  </w:pPr>
                  <w:r>
                    <w:rPr>
                      <w:rFonts w:hint="default" w:ascii="Times New Roman" w:hAnsi="Times New Roman" w:cs="Times New Roman"/>
                      <w:b w:val="0"/>
                      <w:bCs w:val="0"/>
                      <w:color w:val="auto"/>
                      <w:kern w:val="0"/>
                      <w:sz w:val="21"/>
                      <w:szCs w:val="21"/>
                      <w:vertAlign w:val="baseline"/>
                      <w:lang w:val="en-US" w:eastAsia="zh-CN"/>
                    </w:rPr>
                    <w:t>本项目废气</w:t>
                  </w:r>
                  <w:r>
                    <w:rPr>
                      <w:rFonts w:hint="eastAsia" w:ascii="Times New Roman" w:hAnsi="Times New Roman" w:cs="Times New Roman"/>
                      <w:b w:val="0"/>
                      <w:bCs w:val="0"/>
                      <w:color w:val="auto"/>
                      <w:kern w:val="0"/>
                      <w:sz w:val="21"/>
                      <w:szCs w:val="21"/>
                      <w:vertAlign w:val="baseline"/>
                      <w:lang w:val="en-US" w:eastAsia="zh-CN"/>
                    </w:rPr>
                    <w:t>为非甲烷总烃、颗粒物</w:t>
                  </w:r>
                  <w:r>
                    <w:rPr>
                      <w:rFonts w:hint="default" w:ascii="Times New Roman" w:hAnsi="Times New Roman" w:cs="Times New Roman"/>
                      <w:b w:val="0"/>
                      <w:bCs w:val="0"/>
                      <w:color w:val="auto"/>
                      <w:kern w:val="0"/>
                      <w:sz w:val="21"/>
                      <w:szCs w:val="21"/>
                      <w:vertAlign w:val="baseline"/>
                      <w:lang w:val="en-US" w:eastAsia="zh-CN"/>
                    </w:rPr>
                    <w:t>，</w:t>
                  </w:r>
                  <w:r>
                    <w:rPr>
                      <w:rFonts w:hint="eastAsia" w:ascii="Times New Roman" w:hAnsi="Times New Roman" w:cs="Times New Roman"/>
                      <w:b w:val="0"/>
                      <w:bCs w:val="0"/>
                      <w:color w:val="auto"/>
                      <w:kern w:val="0"/>
                      <w:sz w:val="21"/>
                      <w:szCs w:val="21"/>
                      <w:vertAlign w:val="baseline"/>
                      <w:lang w:val="en-US" w:eastAsia="zh-CN"/>
                    </w:rPr>
                    <w:t>不属于重点管控新污染物清单、有毒有害污染物名录、优先控制化学品名录以及《斯德哥尔摩公约》中污染物</w:t>
                  </w:r>
                  <w:r>
                    <w:rPr>
                      <w:rFonts w:hint="default" w:ascii="Times New Roman" w:hAnsi="Times New Roman" w:cs="Times New Roman"/>
                      <w:b w:val="0"/>
                      <w:bCs w:val="0"/>
                      <w:color w:val="auto"/>
                      <w:kern w:val="0"/>
                      <w:sz w:val="21"/>
                      <w:szCs w:val="21"/>
                      <w:vertAlign w:val="baseline"/>
                      <w:lang w:val="en-US" w:eastAsia="zh-CN"/>
                    </w:rPr>
                    <w:t>。本项目不属于石化、涂料、纺织印染、橡胶、农药、医药等重点行业建设项目</w:t>
                  </w:r>
                </w:p>
              </w:tc>
              <w:tc>
                <w:tcPr>
                  <w:tcW w:w="929" w:type="dxa"/>
                  <w:tcBorders>
                    <w:tl2br w:val="nil"/>
                    <w:tr2bl w:val="nil"/>
                  </w:tcBorders>
                  <w:noWrap w:val="0"/>
                  <w:vAlign w:val="center"/>
                </w:tcPr>
                <w:p w14:paraId="2483940A">
                  <w:pPr>
                    <w:pStyle w:val="2"/>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rPr>
                  </w:pPr>
                  <w:r>
                    <w:rPr>
                      <w:rFonts w:hint="default" w:ascii="Times New Roman" w:hAnsi="Times New Roman" w:cs="Times New Roman"/>
                      <w:b w:val="0"/>
                      <w:bCs w:val="0"/>
                      <w:color w:val="auto"/>
                      <w:kern w:val="0"/>
                      <w:sz w:val="21"/>
                      <w:szCs w:val="21"/>
                      <w:vertAlign w:val="baseline"/>
                      <w:lang w:val="en-US" w:eastAsia="zh-CN"/>
                    </w:rPr>
                    <w:t>相符</w:t>
                  </w:r>
                </w:p>
              </w:tc>
            </w:tr>
            <w:tr w14:paraId="13A82E0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908" w:type="dxa"/>
                  <w:tcBorders>
                    <w:tl2br w:val="nil"/>
                    <w:tr2bl w:val="nil"/>
                  </w:tcBorders>
                  <w:noWrap w:val="0"/>
                  <w:vAlign w:val="center"/>
                </w:tcPr>
                <w:p w14:paraId="19C48961">
                  <w:pPr>
                    <w:pStyle w:val="2"/>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rPr>
                  </w:pPr>
                  <w:r>
                    <w:rPr>
                      <w:rFonts w:hint="default" w:ascii="Times New Roman" w:hAnsi="Times New Roman" w:cs="Times New Roman"/>
                      <w:b w:val="0"/>
                      <w:bCs w:val="0"/>
                      <w:color w:val="auto"/>
                      <w:kern w:val="0"/>
                      <w:sz w:val="21"/>
                      <w:szCs w:val="21"/>
                      <w:vertAlign w:val="baseline"/>
                      <w:lang w:val="en-US" w:eastAsia="zh-CN"/>
                    </w:rPr>
                    <w:t>禁止审批不符合新污染物管控要求的建设项目</w:t>
                  </w:r>
                </w:p>
              </w:tc>
              <w:tc>
                <w:tcPr>
                  <w:tcW w:w="3345" w:type="dxa"/>
                  <w:tcBorders>
                    <w:tl2br w:val="nil"/>
                    <w:tr2bl w:val="nil"/>
                  </w:tcBorders>
                  <w:noWrap w:val="0"/>
                  <w:vAlign w:val="center"/>
                </w:tcPr>
                <w:p w14:paraId="5E042A12">
                  <w:pPr>
                    <w:pStyle w:val="2"/>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rPr>
                  </w:pPr>
                  <w:r>
                    <w:rPr>
                      <w:rFonts w:hint="default" w:ascii="Times New Roman" w:hAnsi="Times New Roman" w:eastAsia="宋体" w:cs="Times New Roman"/>
                      <w:b w:val="0"/>
                      <w:bCs w:val="0"/>
                      <w:color w:val="auto"/>
                      <w:kern w:val="0"/>
                      <w:sz w:val="21"/>
                      <w:szCs w:val="21"/>
                      <w:vertAlign w:val="baseline"/>
                      <w:lang w:val="en-US" w:eastAsia="zh-CN"/>
                    </w:rPr>
                    <w:t>各级环评审批部门在受理和审批建设项目环评文件时，应落实重点管控新污染物清单、产业结构调整指导目录、《斯德哥尔摩公约》、生态环境分区管控方案和项目所在园区规划环评等有关管控要求。对照不予审批环评的项目类别，严格审核建设项目原辅材料和产品，对于以禁止生产、加工使用的新污染物作为原辅料或产品的建设项目，依法不予审批。</w:t>
                  </w:r>
                </w:p>
              </w:tc>
              <w:tc>
                <w:tcPr>
                  <w:tcW w:w="3030" w:type="dxa"/>
                  <w:tcBorders>
                    <w:tl2br w:val="nil"/>
                    <w:tr2bl w:val="nil"/>
                  </w:tcBorders>
                  <w:noWrap w:val="0"/>
                  <w:vAlign w:val="center"/>
                </w:tcPr>
                <w:p w14:paraId="3ED1740F">
                  <w:pPr>
                    <w:pStyle w:val="2"/>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rPr>
                  </w:pPr>
                  <w:r>
                    <w:rPr>
                      <w:rFonts w:hint="default" w:ascii="Times New Roman" w:hAnsi="Times New Roman" w:cs="Times New Roman"/>
                      <w:b w:val="0"/>
                      <w:bCs w:val="0"/>
                      <w:color w:val="auto"/>
                      <w:kern w:val="0"/>
                      <w:sz w:val="21"/>
                      <w:szCs w:val="21"/>
                      <w:vertAlign w:val="baseline"/>
                      <w:lang w:val="en-US" w:eastAsia="zh-CN"/>
                    </w:rPr>
                    <w:t>本项目排放污染物为</w:t>
                  </w:r>
                  <w:r>
                    <w:rPr>
                      <w:rFonts w:hint="eastAsia" w:ascii="Times New Roman" w:hAnsi="Times New Roman" w:cs="Times New Roman"/>
                      <w:b w:val="0"/>
                      <w:bCs w:val="0"/>
                      <w:color w:val="auto"/>
                      <w:kern w:val="0"/>
                      <w:sz w:val="21"/>
                      <w:szCs w:val="21"/>
                      <w:vertAlign w:val="baseline"/>
                      <w:lang w:val="en-US" w:eastAsia="zh-CN"/>
                    </w:rPr>
                    <w:t>非甲烷总烃、颗粒物</w:t>
                  </w:r>
                  <w:r>
                    <w:rPr>
                      <w:rFonts w:hint="default" w:ascii="Times New Roman" w:hAnsi="Times New Roman" w:cs="Times New Roman"/>
                      <w:b w:val="0"/>
                      <w:bCs w:val="0"/>
                      <w:color w:val="auto"/>
                      <w:kern w:val="0"/>
                      <w:sz w:val="21"/>
                      <w:szCs w:val="21"/>
                      <w:vertAlign w:val="baseline"/>
                      <w:lang w:val="en-US" w:eastAsia="zh-CN"/>
                    </w:rPr>
                    <w:t>，不属于重点管控新污染物清单中污染物，不属于《产业结构调整指导目录（2024年本）》中限制类或淘汰类项目，不属于《斯德哥尔摩公约》中持久性有机污染物，满足生态环境分区管控方案和项目所在园区规划环评等有关管控要求，不属于不予审批环评的项目类别。</w:t>
                  </w:r>
                </w:p>
              </w:tc>
              <w:tc>
                <w:tcPr>
                  <w:tcW w:w="929" w:type="dxa"/>
                  <w:tcBorders>
                    <w:tl2br w:val="nil"/>
                    <w:tr2bl w:val="nil"/>
                  </w:tcBorders>
                  <w:noWrap w:val="0"/>
                  <w:vAlign w:val="center"/>
                </w:tcPr>
                <w:p w14:paraId="06B12CD0">
                  <w:pPr>
                    <w:pStyle w:val="2"/>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rPr>
                  </w:pPr>
                  <w:r>
                    <w:rPr>
                      <w:rFonts w:hint="default" w:ascii="Times New Roman" w:hAnsi="Times New Roman" w:cs="Times New Roman"/>
                      <w:b w:val="0"/>
                      <w:bCs w:val="0"/>
                      <w:color w:val="auto"/>
                      <w:kern w:val="0"/>
                      <w:sz w:val="21"/>
                      <w:szCs w:val="21"/>
                      <w:vertAlign w:val="baseline"/>
                      <w:lang w:val="en-US" w:eastAsia="zh-CN"/>
                    </w:rPr>
                    <w:t>相符</w:t>
                  </w:r>
                </w:p>
              </w:tc>
            </w:tr>
          </w:tbl>
          <w:p w14:paraId="3C526B13">
            <w:pPr>
              <w:pStyle w:val="2"/>
              <w:keepNext/>
              <w:keepLines/>
              <w:pageBreakBefore w:val="0"/>
              <w:widowControl w:val="0"/>
              <w:kinsoku/>
              <w:wordWrap/>
              <w:overflowPunct/>
              <w:topLinePunct w:val="0"/>
              <w:autoSpaceDE/>
              <w:autoSpaceDN/>
              <w:bidi w:val="0"/>
              <w:adjustRightInd w:val="0"/>
              <w:snapToGrid w:val="0"/>
              <w:spacing w:before="0" w:beforeAutospacing="0" w:after="0" w:afterAutospacing="0"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表1-</w:t>
            </w:r>
            <w:r>
              <w:rPr>
                <w:rFonts w:hint="eastAsia" w:cs="Times New Roman"/>
                <w:color w:val="auto"/>
                <w:sz w:val="21"/>
                <w:szCs w:val="21"/>
                <w:lang w:val="en-US" w:eastAsia="zh-CN"/>
              </w:rPr>
              <w:t>11</w:t>
            </w:r>
            <w:r>
              <w:rPr>
                <w:rFonts w:hint="default" w:ascii="Times New Roman" w:hAnsi="Times New Roman" w:cs="Times New Roman"/>
                <w:color w:val="auto"/>
                <w:sz w:val="21"/>
                <w:szCs w:val="21"/>
                <w:lang w:val="en-US" w:eastAsia="zh-CN"/>
              </w:rPr>
              <w:t xml:space="preserve">   与《不予审批环评的项目类别》相符性分析</w:t>
            </w:r>
          </w:p>
          <w:tbl>
            <w:tblPr>
              <w:tblStyle w:val="60"/>
              <w:tblW w:w="4998"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779"/>
              <w:gridCol w:w="6077"/>
              <w:gridCol w:w="1292"/>
            </w:tblGrid>
            <w:tr w14:paraId="4CD593D3">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478" w:type="pct"/>
                  <w:tcBorders>
                    <w:tl2br w:val="nil"/>
                    <w:tr2bl w:val="nil"/>
                  </w:tcBorders>
                  <w:noWrap w:val="0"/>
                  <w:vAlign w:val="center"/>
                </w:tcPr>
                <w:p w14:paraId="54FEAFA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b/>
                      <w:bCs/>
                      <w:color w:val="auto"/>
                      <w:vertAlign w:val="baseline"/>
                      <w:lang w:val="en-US" w:eastAsia="zh-CN"/>
                    </w:rPr>
                  </w:pPr>
                  <w:r>
                    <w:rPr>
                      <w:rFonts w:hint="eastAsia"/>
                      <w:b/>
                      <w:bCs/>
                      <w:color w:val="auto"/>
                      <w:vertAlign w:val="baseline"/>
                      <w:lang w:val="en-US" w:eastAsia="zh-CN"/>
                    </w:rPr>
                    <w:t>编号</w:t>
                  </w:r>
                </w:p>
              </w:tc>
              <w:tc>
                <w:tcPr>
                  <w:tcW w:w="3729" w:type="pct"/>
                  <w:tcBorders>
                    <w:tl2br w:val="nil"/>
                    <w:tr2bl w:val="nil"/>
                  </w:tcBorders>
                  <w:noWrap w:val="0"/>
                  <w:vAlign w:val="center"/>
                </w:tcPr>
                <w:p w14:paraId="3E86CD5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b/>
                      <w:bCs/>
                      <w:color w:val="auto"/>
                      <w:vertAlign w:val="baseline"/>
                      <w:lang w:val="en-US" w:eastAsia="zh-CN"/>
                    </w:rPr>
                  </w:pPr>
                  <w:r>
                    <w:rPr>
                      <w:rFonts w:hint="eastAsia"/>
                      <w:b/>
                      <w:bCs/>
                      <w:color w:val="auto"/>
                      <w:vertAlign w:val="baseline"/>
                      <w:lang w:val="en-US" w:eastAsia="zh-CN"/>
                    </w:rPr>
                    <w:t>不予审批环评的项目类别</w:t>
                  </w:r>
                </w:p>
              </w:tc>
              <w:tc>
                <w:tcPr>
                  <w:tcW w:w="792" w:type="pct"/>
                  <w:tcBorders>
                    <w:tl2br w:val="nil"/>
                    <w:tr2bl w:val="nil"/>
                  </w:tcBorders>
                  <w:noWrap w:val="0"/>
                  <w:vAlign w:val="center"/>
                </w:tcPr>
                <w:p w14:paraId="01E27C6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b/>
                      <w:bCs/>
                      <w:color w:val="auto"/>
                      <w:vertAlign w:val="baseline"/>
                      <w:lang w:val="en-US" w:eastAsia="zh-CN"/>
                    </w:rPr>
                  </w:pPr>
                  <w:r>
                    <w:rPr>
                      <w:rFonts w:hint="eastAsia"/>
                      <w:b/>
                      <w:bCs/>
                      <w:color w:val="auto"/>
                      <w:vertAlign w:val="baseline"/>
                      <w:lang w:val="en-US" w:eastAsia="zh-CN"/>
                    </w:rPr>
                    <w:t>对照分析</w:t>
                  </w:r>
                </w:p>
              </w:tc>
            </w:tr>
            <w:tr w14:paraId="4A06002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478" w:type="pct"/>
                  <w:tcBorders>
                    <w:tl2br w:val="nil"/>
                    <w:tr2bl w:val="nil"/>
                  </w:tcBorders>
                  <w:noWrap w:val="0"/>
                  <w:vAlign w:val="center"/>
                </w:tcPr>
                <w:p w14:paraId="4F99866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color w:val="auto"/>
                      <w:vertAlign w:val="baseline"/>
                      <w:lang w:val="en-US" w:eastAsia="zh-CN"/>
                    </w:rPr>
                  </w:pPr>
                  <w:r>
                    <w:rPr>
                      <w:rFonts w:hint="eastAsia"/>
                      <w:color w:val="auto"/>
                      <w:vertAlign w:val="baseline"/>
                      <w:lang w:val="en-US" w:eastAsia="zh-CN"/>
                    </w:rPr>
                    <w:t>1</w:t>
                  </w:r>
                </w:p>
              </w:tc>
              <w:tc>
                <w:tcPr>
                  <w:tcW w:w="3729" w:type="pct"/>
                  <w:tcBorders>
                    <w:tl2br w:val="nil"/>
                    <w:tr2bl w:val="nil"/>
                  </w:tcBorders>
                  <w:noWrap w:val="0"/>
                  <w:vAlign w:val="center"/>
                </w:tcPr>
                <w:p w14:paraId="25D3AA6E">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color w:val="auto"/>
                      <w:vertAlign w:val="baseline"/>
                      <w:lang w:val="en-US" w:eastAsia="zh-CN"/>
                    </w:rPr>
                  </w:pPr>
                  <w:r>
                    <w:rPr>
                      <w:rFonts w:hint="eastAsia"/>
                      <w:color w:val="auto"/>
                      <w:vertAlign w:val="baseline"/>
                      <w:lang w:val="en-US" w:eastAsia="zh-CN"/>
                    </w:rPr>
                    <w:t>1.以全氟辛基磺酸及其盐类和全氟辛基磺酰氟（PFOS类）为产品的新改扩建设项目</w:t>
                  </w:r>
                </w:p>
                <w:p w14:paraId="607B64A2">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color w:val="auto"/>
                      <w:vertAlign w:val="baseline"/>
                      <w:lang w:val="en-US" w:eastAsia="zh-CN"/>
                    </w:rPr>
                  </w:pPr>
                  <w:r>
                    <w:rPr>
                      <w:rFonts w:hint="eastAsia"/>
                      <w:color w:val="auto"/>
                      <w:vertAlign w:val="baseline"/>
                      <w:lang w:val="en-US" w:eastAsia="zh-CN"/>
                    </w:rPr>
                    <w:t>2.以全氟辛基磺酸及其盐类和全氟辛基磺酰氟（PFOS类）为原辅材料的新改扩建项目</w:t>
                  </w:r>
                </w:p>
              </w:tc>
              <w:tc>
                <w:tcPr>
                  <w:tcW w:w="792" w:type="pct"/>
                  <w:vMerge w:val="restart"/>
                  <w:tcBorders>
                    <w:tl2br w:val="nil"/>
                    <w:tr2bl w:val="nil"/>
                  </w:tcBorders>
                  <w:noWrap w:val="0"/>
                  <w:vAlign w:val="center"/>
                </w:tcPr>
                <w:p w14:paraId="1CF6C53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color w:val="auto"/>
                      <w:vertAlign w:val="baseline"/>
                      <w:lang w:val="en-US" w:eastAsia="zh-CN"/>
                    </w:rPr>
                  </w:pPr>
                  <w:r>
                    <w:rPr>
                      <w:rFonts w:hint="eastAsia"/>
                      <w:color w:val="auto"/>
                      <w:vertAlign w:val="baseline"/>
                      <w:lang w:val="en-US" w:eastAsia="zh-CN"/>
                    </w:rPr>
                    <w:t>本项目属于</w:t>
                  </w:r>
                  <w:r>
                    <w:rPr>
                      <w:rFonts w:hint="eastAsia" w:eastAsia="宋体"/>
                      <w:color w:val="auto"/>
                      <w:szCs w:val="21"/>
                      <w:lang w:eastAsia="zh-CN"/>
                    </w:rPr>
                    <w:t>C3811发电机及发电机组制造</w:t>
                  </w:r>
                  <w:r>
                    <w:rPr>
                      <w:rFonts w:hint="eastAsia"/>
                      <w:color w:val="auto"/>
                      <w:vertAlign w:val="baseline"/>
                      <w:lang w:val="en-US" w:eastAsia="zh-CN"/>
                    </w:rPr>
                    <w:t>，主要使用钢砂、锌丝、涂料作为原辅料，不涉及不予审批环评的项目类别</w:t>
                  </w:r>
                </w:p>
              </w:tc>
            </w:tr>
            <w:tr w14:paraId="35CE3BC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478" w:type="pct"/>
                  <w:tcBorders>
                    <w:tl2br w:val="nil"/>
                    <w:tr2bl w:val="nil"/>
                  </w:tcBorders>
                  <w:noWrap w:val="0"/>
                  <w:vAlign w:val="center"/>
                </w:tcPr>
                <w:p w14:paraId="76CA4A1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color w:val="auto"/>
                      <w:vertAlign w:val="baseline"/>
                      <w:lang w:val="en-US" w:eastAsia="zh-CN"/>
                    </w:rPr>
                  </w:pPr>
                  <w:r>
                    <w:rPr>
                      <w:rFonts w:hint="eastAsia"/>
                      <w:color w:val="auto"/>
                      <w:vertAlign w:val="baseline"/>
                      <w:lang w:val="en-US" w:eastAsia="zh-CN"/>
                    </w:rPr>
                    <w:t>2</w:t>
                  </w:r>
                </w:p>
              </w:tc>
              <w:tc>
                <w:tcPr>
                  <w:tcW w:w="3729" w:type="pct"/>
                  <w:tcBorders>
                    <w:tl2br w:val="nil"/>
                    <w:tr2bl w:val="nil"/>
                  </w:tcBorders>
                  <w:noWrap w:val="0"/>
                  <w:vAlign w:val="center"/>
                </w:tcPr>
                <w:p w14:paraId="75A213C1">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color w:val="auto"/>
                      <w:vertAlign w:val="baseline"/>
                      <w:lang w:val="en-US" w:eastAsia="zh-CN"/>
                    </w:rPr>
                  </w:pPr>
                  <w:r>
                    <w:rPr>
                      <w:rFonts w:hint="eastAsia"/>
                      <w:color w:val="auto"/>
                      <w:vertAlign w:val="baseline"/>
                      <w:lang w:val="en-US" w:eastAsia="zh-CN"/>
                    </w:rPr>
                    <w:t>1.新建全氟辛酸生产装置的建设项目</w:t>
                  </w:r>
                </w:p>
                <w:p w14:paraId="1D63C0EE">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color w:val="auto"/>
                      <w:vertAlign w:val="baseline"/>
                      <w:lang w:val="en-US" w:eastAsia="zh-CN"/>
                    </w:rPr>
                  </w:pPr>
                  <w:r>
                    <w:rPr>
                      <w:rFonts w:hint="eastAsia"/>
                      <w:color w:val="auto"/>
                      <w:vertAlign w:val="baseline"/>
                      <w:lang w:val="en-US" w:eastAsia="zh-CN"/>
                    </w:rPr>
                    <w:t>2.以全氟辛酸及其盐类和相关化合物（PFOA类）为原辅材料或产品的新改扩建项目（满足豁免条件</w:t>
                  </w:r>
                  <w:r>
                    <w:rPr>
                      <w:rFonts w:hint="eastAsia"/>
                      <w:color w:val="auto"/>
                      <w:vertAlign w:val="superscript"/>
                      <w:lang w:val="en-US" w:eastAsia="zh-CN"/>
                    </w:rPr>
                    <w:t>1</w:t>
                  </w:r>
                  <w:r>
                    <w:rPr>
                      <w:rFonts w:hint="eastAsia"/>
                      <w:color w:val="auto"/>
                      <w:vertAlign w:val="baseline"/>
                      <w:lang w:val="en-US" w:eastAsia="zh-CN"/>
                    </w:rPr>
                    <w:t>的除外）</w:t>
                  </w:r>
                </w:p>
              </w:tc>
              <w:tc>
                <w:tcPr>
                  <w:tcW w:w="792" w:type="pct"/>
                  <w:vMerge w:val="continue"/>
                  <w:tcBorders>
                    <w:tl2br w:val="nil"/>
                    <w:tr2bl w:val="nil"/>
                  </w:tcBorders>
                  <w:noWrap w:val="0"/>
                  <w:vAlign w:val="center"/>
                </w:tcPr>
                <w:p w14:paraId="715BC6C2">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vertAlign w:val="baseline"/>
                      <w:lang w:val="en-US" w:eastAsia="zh-CN"/>
                    </w:rPr>
                  </w:pPr>
                </w:p>
              </w:tc>
            </w:tr>
            <w:tr w14:paraId="59EF7293">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478" w:type="pct"/>
                  <w:tcBorders>
                    <w:tl2br w:val="nil"/>
                    <w:tr2bl w:val="nil"/>
                  </w:tcBorders>
                  <w:noWrap w:val="0"/>
                  <w:vAlign w:val="center"/>
                </w:tcPr>
                <w:p w14:paraId="6ABECB2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color w:val="auto"/>
                      <w:vertAlign w:val="baseline"/>
                      <w:lang w:val="en-US" w:eastAsia="zh-CN"/>
                    </w:rPr>
                  </w:pPr>
                  <w:r>
                    <w:rPr>
                      <w:rFonts w:hint="eastAsia"/>
                      <w:color w:val="auto"/>
                      <w:vertAlign w:val="baseline"/>
                      <w:lang w:val="en-US" w:eastAsia="zh-CN"/>
                    </w:rPr>
                    <w:t>3</w:t>
                  </w:r>
                </w:p>
              </w:tc>
              <w:tc>
                <w:tcPr>
                  <w:tcW w:w="3729" w:type="pct"/>
                  <w:tcBorders>
                    <w:tl2br w:val="nil"/>
                    <w:tr2bl w:val="nil"/>
                  </w:tcBorders>
                  <w:noWrap w:val="0"/>
                  <w:vAlign w:val="center"/>
                </w:tcPr>
                <w:p w14:paraId="7091AF70">
                  <w:pPr>
                    <w:keepNext w:val="0"/>
                    <w:keepLines w:val="0"/>
                    <w:pageBreakBefore w:val="0"/>
                    <w:widowControl w:val="0"/>
                    <w:kinsoku/>
                    <w:wordWrap/>
                    <w:overflowPunct/>
                    <w:topLinePunct w:val="0"/>
                    <w:autoSpaceDE/>
                    <w:autoSpaceDN/>
                    <w:bidi w:val="0"/>
                    <w:adjustRightInd w:val="0"/>
                    <w:snapToGrid w:val="0"/>
                    <w:jc w:val="left"/>
                    <w:textAlignment w:val="auto"/>
                    <w:rPr>
                      <w:rFonts w:hint="eastAsia"/>
                      <w:color w:val="auto"/>
                      <w:vertAlign w:val="baseline"/>
                      <w:lang w:val="en-US" w:eastAsia="zh-CN"/>
                    </w:rPr>
                  </w:pPr>
                  <w:r>
                    <w:rPr>
                      <w:rFonts w:hint="eastAsia"/>
                      <w:color w:val="auto"/>
                      <w:vertAlign w:val="baseline"/>
                      <w:lang w:val="en-US" w:eastAsia="zh-CN"/>
                    </w:rPr>
                    <w:t>以十溴二苯醚为原辅材料或产品的新改扩建项目</w:t>
                  </w:r>
                </w:p>
              </w:tc>
              <w:tc>
                <w:tcPr>
                  <w:tcW w:w="792" w:type="pct"/>
                  <w:vMerge w:val="continue"/>
                  <w:tcBorders>
                    <w:tl2br w:val="nil"/>
                    <w:tr2bl w:val="nil"/>
                  </w:tcBorders>
                  <w:noWrap w:val="0"/>
                  <w:vAlign w:val="center"/>
                </w:tcPr>
                <w:p w14:paraId="1CF2EE8E">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vertAlign w:val="baseline"/>
                      <w:lang w:val="en-US" w:eastAsia="zh-CN"/>
                    </w:rPr>
                  </w:pPr>
                </w:p>
              </w:tc>
            </w:tr>
            <w:tr w14:paraId="6D627FA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478" w:type="pct"/>
                  <w:tcBorders>
                    <w:tl2br w:val="nil"/>
                    <w:tr2bl w:val="nil"/>
                  </w:tcBorders>
                  <w:noWrap w:val="0"/>
                  <w:vAlign w:val="center"/>
                </w:tcPr>
                <w:p w14:paraId="64CDEC8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color w:val="auto"/>
                      <w:vertAlign w:val="baseline"/>
                      <w:lang w:val="en-US" w:eastAsia="zh-CN"/>
                    </w:rPr>
                  </w:pPr>
                  <w:r>
                    <w:rPr>
                      <w:rFonts w:hint="eastAsia"/>
                      <w:color w:val="auto"/>
                      <w:vertAlign w:val="baseline"/>
                      <w:lang w:val="en-US" w:eastAsia="zh-CN"/>
                    </w:rPr>
                    <w:t>4</w:t>
                  </w:r>
                </w:p>
              </w:tc>
              <w:tc>
                <w:tcPr>
                  <w:tcW w:w="3729" w:type="pct"/>
                  <w:tcBorders>
                    <w:tl2br w:val="nil"/>
                    <w:tr2bl w:val="nil"/>
                  </w:tcBorders>
                  <w:noWrap w:val="0"/>
                  <w:vAlign w:val="center"/>
                </w:tcPr>
                <w:p w14:paraId="682D1CB4">
                  <w:pPr>
                    <w:keepNext w:val="0"/>
                    <w:keepLines w:val="0"/>
                    <w:pageBreakBefore w:val="0"/>
                    <w:widowControl w:val="0"/>
                    <w:kinsoku/>
                    <w:wordWrap/>
                    <w:overflowPunct/>
                    <w:topLinePunct w:val="0"/>
                    <w:autoSpaceDE/>
                    <w:autoSpaceDN/>
                    <w:bidi w:val="0"/>
                    <w:adjustRightInd w:val="0"/>
                    <w:snapToGrid w:val="0"/>
                    <w:jc w:val="left"/>
                    <w:textAlignment w:val="auto"/>
                    <w:rPr>
                      <w:rFonts w:hint="eastAsia"/>
                      <w:color w:val="auto"/>
                      <w:vertAlign w:val="baseline"/>
                      <w:lang w:val="en-US" w:eastAsia="zh-CN"/>
                    </w:rPr>
                  </w:pPr>
                  <w:r>
                    <w:rPr>
                      <w:rFonts w:hint="eastAsia"/>
                      <w:color w:val="auto"/>
                      <w:vertAlign w:val="baseline"/>
                      <w:lang w:val="en-US" w:eastAsia="zh-CN"/>
                    </w:rPr>
                    <w:t>以短链氯化石蜡</w:t>
                  </w:r>
                  <w:r>
                    <w:rPr>
                      <w:rFonts w:hint="eastAsia"/>
                      <w:color w:val="auto"/>
                      <w:vertAlign w:val="superscript"/>
                      <w:lang w:val="en-US" w:eastAsia="zh-CN"/>
                    </w:rPr>
                    <w:t>2</w:t>
                  </w:r>
                  <w:r>
                    <w:rPr>
                      <w:rFonts w:hint="eastAsia"/>
                      <w:color w:val="auto"/>
                      <w:vertAlign w:val="baseline"/>
                      <w:lang w:val="en-US" w:eastAsia="zh-CN"/>
                    </w:rPr>
                    <w:t>为原辅材料或产品的新改扩建项目</w:t>
                  </w:r>
                </w:p>
              </w:tc>
              <w:tc>
                <w:tcPr>
                  <w:tcW w:w="792" w:type="pct"/>
                  <w:vMerge w:val="continue"/>
                  <w:tcBorders>
                    <w:tl2br w:val="nil"/>
                    <w:tr2bl w:val="nil"/>
                  </w:tcBorders>
                  <w:noWrap w:val="0"/>
                  <w:vAlign w:val="center"/>
                </w:tcPr>
                <w:p w14:paraId="36011950">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vertAlign w:val="baseline"/>
                      <w:lang w:val="en-US" w:eastAsia="zh-CN"/>
                    </w:rPr>
                  </w:pPr>
                </w:p>
              </w:tc>
            </w:tr>
            <w:tr w14:paraId="6F47F2C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478" w:type="pct"/>
                  <w:tcBorders>
                    <w:tl2br w:val="nil"/>
                    <w:tr2bl w:val="nil"/>
                  </w:tcBorders>
                  <w:noWrap w:val="0"/>
                  <w:vAlign w:val="center"/>
                </w:tcPr>
                <w:p w14:paraId="3A84308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color w:val="auto"/>
                      <w:vertAlign w:val="baseline"/>
                      <w:lang w:val="en-US" w:eastAsia="zh-CN"/>
                    </w:rPr>
                  </w:pPr>
                  <w:r>
                    <w:rPr>
                      <w:rFonts w:hint="eastAsia"/>
                      <w:color w:val="auto"/>
                      <w:vertAlign w:val="baseline"/>
                      <w:lang w:val="en-US" w:eastAsia="zh-CN"/>
                    </w:rPr>
                    <w:t>5</w:t>
                  </w:r>
                </w:p>
              </w:tc>
              <w:tc>
                <w:tcPr>
                  <w:tcW w:w="3729" w:type="pct"/>
                  <w:tcBorders>
                    <w:tl2br w:val="nil"/>
                    <w:tr2bl w:val="nil"/>
                  </w:tcBorders>
                  <w:noWrap w:val="0"/>
                  <w:vAlign w:val="center"/>
                </w:tcPr>
                <w:p w14:paraId="725204B9">
                  <w:pPr>
                    <w:keepNext w:val="0"/>
                    <w:keepLines w:val="0"/>
                    <w:pageBreakBefore w:val="0"/>
                    <w:widowControl w:val="0"/>
                    <w:kinsoku/>
                    <w:wordWrap/>
                    <w:overflowPunct/>
                    <w:topLinePunct w:val="0"/>
                    <w:autoSpaceDE/>
                    <w:autoSpaceDN/>
                    <w:bidi w:val="0"/>
                    <w:adjustRightInd w:val="0"/>
                    <w:snapToGrid w:val="0"/>
                    <w:jc w:val="left"/>
                    <w:textAlignment w:val="auto"/>
                    <w:rPr>
                      <w:rFonts w:hint="eastAsia"/>
                      <w:color w:val="auto"/>
                      <w:vertAlign w:val="baseline"/>
                      <w:lang w:val="en-US" w:eastAsia="zh-CN"/>
                    </w:rPr>
                  </w:pPr>
                  <w:r>
                    <w:rPr>
                      <w:rFonts w:hint="eastAsia"/>
                      <w:color w:val="auto"/>
                      <w:vertAlign w:val="baseline"/>
                      <w:lang w:val="en-US" w:eastAsia="zh-CN"/>
                    </w:rPr>
                    <w:t>以六氯丁二烯为原辅材料或产品的新改扩建项目</w:t>
                  </w:r>
                </w:p>
              </w:tc>
              <w:tc>
                <w:tcPr>
                  <w:tcW w:w="792" w:type="pct"/>
                  <w:vMerge w:val="continue"/>
                  <w:tcBorders>
                    <w:tl2br w:val="nil"/>
                    <w:tr2bl w:val="nil"/>
                  </w:tcBorders>
                  <w:noWrap w:val="0"/>
                  <w:vAlign w:val="center"/>
                </w:tcPr>
                <w:p w14:paraId="0B213B13">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vertAlign w:val="baseline"/>
                      <w:lang w:val="en-US" w:eastAsia="zh-CN"/>
                    </w:rPr>
                  </w:pPr>
                </w:p>
              </w:tc>
            </w:tr>
            <w:tr w14:paraId="21526217">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478" w:type="pct"/>
                  <w:tcBorders>
                    <w:tl2br w:val="nil"/>
                    <w:tr2bl w:val="nil"/>
                  </w:tcBorders>
                  <w:noWrap w:val="0"/>
                  <w:vAlign w:val="center"/>
                </w:tcPr>
                <w:p w14:paraId="7A766D7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color w:val="auto"/>
                      <w:vertAlign w:val="baseline"/>
                      <w:lang w:val="en-US" w:eastAsia="zh-CN"/>
                    </w:rPr>
                  </w:pPr>
                  <w:r>
                    <w:rPr>
                      <w:rFonts w:hint="eastAsia"/>
                      <w:color w:val="auto"/>
                      <w:vertAlign w:val="baseline"/>
                      <w:lang w:val="en-US" w:eastAsia="zh-CN"/>
                    </w:rPr>
                    <w:t>6</w:t>
                  </w:r>
                </w:p>
              </w:tc>
              <w:tc>
                <w:tcPr>
                  <w:tcW w:w="3729" w:type="pct"/>
                  <w:tcBorders>
                    <w:tl2br w:val="nil"/>
                    <w:tr2bl w:val="nil"/>
                  </w:tcBorders>
                  <w:noWrap w:val="0"/>
                  <w:vAlign w:val="center"/>
                </w:tcPr>
                <w:p w14:paraId="2BD960BC">
                  <w:pPr>
                    <w:keepNext w:val="0"/>
                    <w:keepLines w:val="0"/>
                    <w:pageBreakBefore w:val="0"/>
                    <w:widowControl w:val="0"/>
                    <w:kinsoku/>
                    <w:wordWrap/>
                    <w:overflowPunct/>
                    <w:topLinePunct w:val="0"/>
                    <w:autoSpaceDE/>
                    <w:autoSpaceDN/>
                    <w:bidi w:val="0"/>
                    <w:adjustRightInd w:val="0"/>
                    <w:snapToGrid w:val="0"/>
                    <w:jc w:val="left"/>
                    <w:textAlignment w:val="auto"/>
                    <w:rPr>
                      <w:rFonts w:hint="eastAsia"/>
                      <w:color w:val="auto"/>
                      <w:vertAlign w:val="baseline"/>
                      <w:lang w:val="en-US" w:eastAsia="zh-CN"/>
                    </w:rPr>
                  </w:pPr>
                  <w:r>
                    <w:rPr>
                      <w:rFonts w:hint="eastAsia"/>
                      <w:color w:val="auto"/>
                      <w:vertAlign w:val="baseline"/>
                      <w:lang w:val="en-US" w:eastAsia="zh-CN"/>
                    </w:rPr>
                    <w:t>以五氯苯酚及其盐类和酯类为原辅材料或产品的新改扩建项目</w:t>
                  </w:r>
                </w:p>
              </w:tc>
              <w:tc>
                <w:tcPr>
                  <w:tcW w:w="792" w:type="pct"/>
                  <w:vMerge w:val="continue"/>
                  <w:tcBorders>
                    <w:tl2br w:val="nil"/>
                    <w:tr2bl w:val="nil"/>
                  </w:tcBorders>
                  <w:noWrap w:val="0"/>
                  <w:vAlign w:val="center"/>
                </w:tcPr>
                <w:p w14:paraId="4F65FAD7">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vertAlign w:val="baseline"/>
                      <w:lang w:val="en-US" w:eastAsia="zh-CN"/>
                    </w:rPr>
                  </w:pPr>
                </w:p>
              </w:tc>
            </w:tr>
            <w:tr w14:paraId="3FB179B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478" w:type="pct"/>
                  <w:tcBorders>
                    <w:tl2br w:val="nil"/>
                    <w:tr2bl w:val="nil"/>
                  </w:tcBorders>
                  <w:noWrap w:val="0"/>
                  <w:vAlign w:val="center"/>
                </w:tcPr>
                <w:p w14:paraId="3483D3F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color w:val="auto"/>
                      <w:vertAlign w:val="baseline"/>
                      <w:lang w:val="en-US" w:eastAsia="zh-CN"/>
                    </w:rPr>
                  </w:pPr>
                  <w:r>
                    <w:rPr>
                      <w:rFonts w:hint="eastAsia"/>
                      <w:color w:val="auto"/>
                      <w:vertAlign w:val="baseline"/>
                      <w:lang w:val="en-US" w:eastAsia="zh-CN"/>
                    </w:rPr>
                    <w:t>7</w:t>
                  </w:r>
                </w:p>
              </w:tc>
              <w:tc>
                <w:tcPr>
                  <w:tcW w:w="3729" w:type="pct"/>
                  <w:tcBorders>
                    <w:tl2br w:val="nil"/>
                    <w:tr2bl w:val="nil"/>
                  </w:tcBorders>
                  <w:noWrap w:val="0"/>
                  <w:vAlign w:val="center"/>
                </w:tcPr>
                <w:p w14:paraId="4483A9D1">
                  <w:pPr>
                    <w:keepNext w:val="0"/>
                    <w:keepLines w:val="0"/>
                    <w:pageBreakBefore w:val="0"/>
                    <w:widowControl w:val="0"/>
                    <w:kinsoku/>
                    <w:wordWrap/>
                    <w:overflowPunct/>
                    <w:topLinePunct w:val="0"/>
                    <w:autoSpaceDE/>
                    <w:autoSpaceDN/>
                    <w:bidi w:val="0"/>
                    <w:adjustRightInd w:val="0"/>
                    <w:snapToGrid w:val="0"/>
                    <w:jc w:val="left"/>
                    <w:textAlignment w:val="auto"/>
                    <w:rPr>
                      <w:rFonts w:hint="eastAsia"/>
                      <w:color w:val="auto"/>
                      <w:vertAlign w:val="baseline"/>
                      <w:lang w:val="en-US" w:eastAsia="zh-CN"/>
                    </w:rPr>
                  </w:pPr>
                  <w:r>
                    <w:rPr>
                      <w:rFonts w:hint="eastAsia"/>
                      <w:color w:val="auto"/>
                      <w:vertAlign w:val="baseline"/>
                      <w:lang w:val="en-US" w:eastAsia="zh-CN"/>
                    </w:rPr>
                    <w:t>以三氯杀螨醇为原辅材料或产品的新改扩建项目</w:t>
                  </w:r>
                </w:p>
              </w:tc>
              <w:tc>
                <w:tcPr>
                  <w:tcW w:w="792" w:type="pct"/>
                  <w:vMerge w:val="continue"/>
                  <w:tcBorders>
                    <w:tl2br w:val="nil"/>
                    <w:tr2bl w:val="nil"/>
                  </w:tcBorders>
                  <w:noWrap w:val="0"/>
                  <w:vAlign w:val="center"/>
                </w:tcPr>
                <w:p w14:paraId="27E2FE54">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vertAlign w:val="baseline"/>
                      <w:lang w:val="en-US" w:eastAsia="zh-CN"/>
                    </w:rPr>
                  </w:pPr>
                </w:p>
              </w:tc>
            </w:tr>
            <w:tr w14:paraId="23E6F5C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478" w:type="pct"/>
                  <w:tcBorders>
                    <w:tl2br w:val="nil"/>
                    <w:tr2bl w:val="nil"/>
                  </w:tcBorders>
                  <w:noWrap w:val="0"/>
                  <w:vAlign w:val="center"/>
                </w:tcPr>
                <w:p w14:paraId="49F1A37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color w:val="auto"/>
                      <w:vertAlign w:val="baseline"/>
                      <w:lang w:val="en-US" w:eastAsia="zh-CN"/>
                    </w:rPr>
                  </w:pPr>
                  <w:r>
                    <w:rPr>
                      <w:rFonts w:hint="eastAsia"/>
                      <w:color w:val="auto"/>
                      <w:vertAlign w:val="baseline"/>
                      <w:lang w:val="en-US" w:eastAsia="zh-CN"/>
                    </w:rPr>
                    <w:t>8</w:t>
                  </w:r>
                </w:p>
              </w:tc>
              <w:tc>
                <w:tcPr>
                  <w:tcW w:w="3729" w:type="pct"/>
                  <w:tcBorders>
                    <w:tl2br w:val="nil"/>
                    <w:tr2bl w:val="nil"/>
                  </w:tcBorders>
                  <w:noWrap w:val="0"/>
                  <w:vAlign w:val="center"/>
                </w:tcPr>
                <w:p w14:paraId="0921748F">
                  <w:pPr>
                    <w:keepNext w:val="0"/>
                    <w:keepLines w:val="0"/>
                    <w:pageBreakBefore w:val="0"/>
                    <w:widowControl w:val="0"/>
                    <w:kinsoku/>
                    <w:wordWrap/>
                    <w:overflowPunct/>
                    <w:topLinePunct w:val="0"/>
                    <w:autoSpaceDE/>
                    <w:autoSpaceDN/>
                    <w:bidi w:val="0"/>
                    <w:adjustRightInd w:val="0"/>
                    <w:snapToGrid w:val="0"/>
                    <w:jc w:val="left"/>
                    <w:textAlignment w:val="auto"/>
                    <w:rPr>
                      <w:rFonts w:hint="eastAsia"/>
                      <w:color w:val="auto"/>
                      <w:vertAlign w:val="baseline"/>
                      <w:lang w:val="en-US" w:eastAsia="zh-CN"/>
                    </w:rPr>
                  </w:pPr>
                  <w:r>
                    <w:rPr>
                      <w:rFonts w:hint="eastAsia"/>
                      <w:color w:val="auto"/>
                      <w:vertAlign w:val="baseline"/>
                      <w:lang w:val="en-US" w:eastAsia="zh-CN"/>
                    </w:rPr>
                    <w:t>以全氟己基磺酸及其盐类和相关化合物（PFHxS类）为原辅材料或产品的新改扩建项目</w:t>
                  </w:r>
                </w:p>
              </w:tc>
              <w:tc>
                <w:tcPr>
                  <w:tcW w:w="792" w:type="pct"/>
                  <w:vMerge w:val="continue"/>
                  <w:tcBorders>
                    <w:tl2br w:val="nil"/>
                    <w:tr2bl w:val="nil"/>
                  </w:tcBorders>
                  <w:noWrap w:val="0"/>
                  <w:vAlign w:val="center"/>
                </w:tcPr>
                <w:p w14:paraId="1D8F619B">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vertAlign w:val="baseline"/>
                      <w:lang w:val="en-US" w:eastAsia="zh-CN"/>
                    </w:rPr>
                  </w:pPr>
                </w:p>
              </w:tc>
            </w:tr>
            <w:tr w14:paraId="7C496D9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478" w:type="pct"/>
                  <w:tcBorders>
                    <w:tl2br w:val="nil"/>
                    <w:tr2bl w:val="nil"/>
                  </w:tcBorders>
                  <w:noWrap w:val="0"/>
                  <w:vAlign w:val="center"/>
                </w:tcPr>
                <w:p w14:paraId="2963A09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color w:val="auto"/>
                      <w:vertAlign w:val="baseline"/>
                      <w:lang w:val="en-US" w:eastAsia="zh-CN"/>
                    </w:rPr>
                  </w:pPr>
                  <w:r>
                    <w:rPr>
                      <w:rFonts w:hint="eastAsia"/>
                      <w:color w:val="auto"/>
                      <w:vertAlign w:val="baseline"/>
                      <w:lang w:val="en-US" w:eastAsia="zh-CN"/>
                    </w:rPr>
                    <w:t>9</w:t>
                  </w:r>
                </w:p>
              </w:tc>
              <w:tc>
                <w:tcPr>
                  <w:tcW w:w="3729" w:type="pct"/>
                  <w:tcBorders>
                    <w:tl2br w:val="nil"/>
                    <w:tr2bl w:val="nil"/>
                  </w:tcBorders>
                  <w:noWrap w:val="0"/>
                  <w:vAlign w:val="center"/>
                </w:tcPr>
                <w:p w14:paraId="2EFB2FBF">
                  <w:pPr>
                    <w:keepNext w:val="0"/>
                    <w:keepLines w:val="0"/>
                    <w:pageBreakBefore w:val="0"/>
                    <w:widowControl w:val="0"/>
                    <w:kinsoku/>
                    <w:wordWrap/>
                    <w:overflowPunct/>
                    <w:topLinePunct w:val="0"/>
                    <w:autoSpaceDE/>
                    <w:autoSpaceDN/>
                    <w:bidi w:val="0"/>
                    <w:adjustRightInd w:val="0"/>
                    <w:snapToGrid w:val="0"/>
                    <w:jc w:val="left"/>
                    <w:textAlignment w:val="auto"/>
                    <w:rPr>
                      <w:rFonts w:hint="eastAsia"/>
                      <w:color w:val="auto"/>
                      <w:vertAlign w:val="baseline"/>
                      <w:lang w:val="en-US" w:eastAsia="zh-CN"/>
                    </w:rPr>
                  </w:pPr>
                  <w:r>
                    <w:rPr>
                      <w:rFonts w:hint="eastAsia"/>
                      <w:color w:val="auto"/>
                      <w:vertAlign w:val="baseline"/>
                      <w:lang w:val="en-US" w:eastAsia="zh-CN"/>
                    </w:rPr>
                    <w:t>以得克隆及其顺式异构体和反式异构体为原辅材料或产品的新改扩建项目</w:t>
                  </w:r>
                </w:p>
              </w:tc>
              <w:tc>
                <w:tcPr>
                  <w:tcW w:w="792" w:type="pct"/>
                  <w:vMerge w:val="continue"/>
                  <w:tcBorders>
                    <w:tl2br w:val="nil"/>
                    <w:tr2bl w:val="nil"/>
                  </w:tcBorders>
                  <w:noWrap w:val="0"/>
                  <w:vAlign w:val="center"/>
                </w:tcPr>
                <w:p w14:paraId="7D27CA82">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vertAlign w:val="baseline"/>
                      <w:lang w:val="en-US" w:eastAsia="zh-CN"/>
                    </w:rPr>
                  </w:pPr>
                </w:p>
              </w:tc>
            </w:tr>
            <w:tr w14:paraId="7460214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478" w:type="pct"/>
                  <w:tcBorders>
                    <w:tl2br w:val="nil"/>
                    <w:tr2bl w:val="nil"/>
                  </w:tcBorders>
                  <w:noWrap w:val="0"/>
                  <w:vAlign w:val="center"/>
                </w:tcPr>
                <w:p w14:paraId="09A6A21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color w:val="auto"/>
                      <w:vertAlign w:val="baseline"/>
                      <w:lang w:val="en-US" w:eastAsia="zh-CN"/>
                    </w:rPr>
                  </w:pPr>
                  <w:r>
                    <w:rPr>
                      <w:rFonts w:hint="eastAsia"/>
                      <w:color w:val="auto"/>
                      <w:vertAlign w:val="baseline"/>
                      <w:lang w:val="en-US" w:eastAsia="zh-CN"/>
                    </w:rPr>
                    <w:t>10</w:t>
                  </w:r>
                </w:p>
              </w:tc>
              <w:tc>
                <w:tcPr>
                  <w:tcW w:w="3729" w:type="pct"/>
                  <w:tcBorders>
                    <w:tl2br w:val="nil"/>
                    <w:tr2bl w:val="nil"/>
                  </w:tcBorders>
                  <w:noWrap w:val="0"/>
                  <w:vAlign w:val="center"/>
                </w:tcPr>
                <w:p w14:paraId="0F7F8BB7">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color w:val="auto"/>
                      <w:vertAlign w:val="baseline"/>
                      <w:lang w:val="en-US" w:eastAsia="zh-CN"/>
                    </w:rPr>
                  </w:pPr>
                  <w:r>
                    <w:rPr>
                      <w:rFonts w:hint="eastAsia"/>
                      <w:color w:val="auto"/>
                      <w:vertAlign w:val="baseline"/>
                      <w:lang w:val="en-US" w:eastAsia="zh-CN"/>
                    </w:rPr>
                    <w:t>1.以含有二氯甲烷的脱漆剂为产品的新改扩建项目</w:t>
                  </w:r>
                </w:p>
                <w:p w14:paraId="18825C02">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color w:val="auto"/>
                      <w:vertAlign w:val="baseline"/>
                      <w:lang w:val="en-US" w:eastAsia="zh-CN"/>
                    </w:rPr>
                  </w:pPr>
                  <w:r>
                    <w:rPr>
                      <w:rFonts w:hint="eastAsia"/>
                      <w:color w:val="auto"/>
                      <w:vertAlign w:val="baseline"/>
                      <w:lang w:val="en-US" w:eastAsia="zh-CN"/>
                    </w:rPr>
                    <w:t>2.以含有二氯甲烷组分的化妆品为产品的生产项目</w:t>
                  </w:r>
                </w:p>
              </w:tc>
              <w:tc>
                <w:tcPr>
                  <w:tcW w:w="792" w:type="pct"/>
                  <w:vMerge w:val="continue"/>
                  <w:tcBorders>
                    <w:tl2br w:val="nil"/>
                    <w:tr2bl w:val="nil"/>
                  </w:tcBorders>
                  <w:noWrap w:val="0"/>
                  <w:vAlign w:val="center"/>
                </w:tcPr>
                <w:p w14:paraId="208BB559">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vertAlign w:val="baseline"/>
                      <w:lang w:val="en-US" w:eastAsia="zh-CN"/>
                    </w:rPr>
                  </w:pPr>
                </w:p>
              </w:tc>
            </w:tr>
            <w:tr w14:paraId="38CA98E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478" w:type="pct"/>
                  <w:tcBorders>
                    <w:tl2br w:val="nil"/>
                    <w:tr2bl w:val="nil"/>
                  </w:tcBorders>
                  <w:noWrap w:val="0"/>
                  <w:vAlign w:val="center"/>
                </w:tcPr>
                <w:p w14:paraId="5574B09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color w:val="auto"/>
                      <w:vertAlign w:val="baseline"/>
                      <w:lang w:val="en-US" w:eastAsia="zh-CN"/>
                    </w:rPr>
                  </w:pPr>
                  <w:r>
                    <w:rPr>
                      <w:rFonts w:hint="eastAsia"/>
                      <w:color w:val="auto"/>
                      <w:vertAlign w:val="baseline"/>
                      <w:lang w:val="en-US" w:eastAsia="zh-CN"/>
                    </w:rPr>
                    <w:t>11</w:t>
                  </w:r>
                </w:p>
              </w:tc>
              <w:tc>
                <w:tcPr>
                  <w:tcW w:w="3729" w:type="pct"/>
                  <w:tcBorders>
                    <w:tl2br w:val="nil"/>
                    <w:tr2bl w:val="nil"/>
                  </w:tcBorders>
                  <w:noWrap w:val="0"/>
                  <w:vAlign w:val="center"/>
                </w:tcPr>
                <w:p w14:paraId="447CF04C">
                  <w:pPr>
                    <w:keepNext w:val="0"/>
                    <w:keepLines w:val="0"/>
                    <w:pageBreakBefore w:val="0"/>
                    <w:widowControl w:val="0"/>
                    <w:kinsoku/>
                    <w:wordWrap/>
                    <w:overflowPunct/>
                    <w:topLinePunct w:val="0"/>
                    <w:autoSpaceDE/>
                    <w:autoSpaceDN/>
                    <w:bidi w:val="0"/>
                    <w:adjustRightInd w:val="0"/>
                    <w:snapToGrid w:val="0"/>
                    <w:jc w:val="left"/>
                    <w:textAlignment w:val="auto"/>
                    <w:rPr>
                      <w:rFonts w:hint="eastAsia"/>
                      <w:color w:val="auto"/>
                      <w:vertAlign w:val="baseline"/>
                      <w:lang w:val="en-US" w:eastAsia="zh-CN"/>
                    </w:rPr>
                  </w:pPr>
                  <w:r>
                    <w:rPr>
                      <w:rFonts w:hint="eastAsia"/>
                      <w:color w:val="auto"/>
                      <w:vertAlign w:val="baseline"/>
                      <w:lang w:val="en-US" w:eastAsia="zh-CN"/>
                    </w:rPr>
                    <w:t>以含有三氯甲烷的脱漆剂为产品的新改扩建项目</w:t>
                  </w:r>
                </w:p>
              </w:tc>
              <w:tc>
                <w:tcPr>
                  <w:tcW w:w="792" w:type="pct"/>
                  <w:vMerge w:val="continue"/>
                  <w:tcBorders>
                    <w:tl2br w:val="nil"/>
                    <w:tr2bl w:val="nil"/>
                  </w:tcBorders>
                  <w:noWrap w:val="0"/>
                  <w:vAlign w:val="center"/>
                </w:tcPr>
                <w:p w14:paraId="3EBBF6B6">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vertAlign w:val="baseline"/>
                      <w:lang w:val="en-US" w:eastAsia="zh-CN"/>
                    </w:rPr>
                  </w:pPr>
                </w:p>
              </w:tc>
            </w:tr>
            <w:tr w14:paraId="1003AAC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478" w:type="pct"/>
                  <w:tcBorders>
                    <w:tl2br w:val="nil"/>
                    <w:tr2bl w:val="nil"/>
                  </w:tcBorders>
                  <w:noWrap w:val="0"/>
                  <w:vAlign w:val="center"/>
                </w:tcPr>
                <w:p w14:paraId="60F34E0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color w:val="auto"/>
                      <w:vertAlign w:val="baseline"/>
                      <w:lang w:val="en-US" w:eastAsia="zh-CN"/>
                    </w:rPr>
                  </w:pPr>
                  <w:r>
                    <w:rPr>
                      <w:rFonts w:hint="eastAsia"/>
                      <w:color w:val="auto"/>
                      <w:vertAlign w:val="baseline"/>
                      <w:lang w:val="en-US" w:eastAsia="zh-CN"/>
                    </w:rPr>
                    <w:t>12</w:t>
                  </w:r>
                </w:p>
              </w:tc>
              <w:tc>
                <w:tcPr>
                  <w:tcW w:w="3729" w:type="pct"/>
                  <w:tcBorders>
                    <w:tl2br w:val="nil"/>
                    <w:tr2bl w:val="nil"/>
                  </w:tcBorders>
                  <w:noWrap w:val="0"/>
                  <w:vAlign w:val="center"/>
                </w:tcPr>
                <w:p w14:paraId="2062F33B">
                  <w:pPr>
                    <w:keepNext w:val="0"/>
                    <w:keepLines w:val="0"/>
                    <w:pageBreakBefore w:val="0"/>
                    <w:widowControl w:val="0"/>
                    <w:kinsoku/>
                    <w:wordWrap/>
                    <w:overflowPunct/>
                    <w:topLinePunct w:val="0"/>
                    <w:autoSpaceDE/>
                    <w:autoSpaceDN/>
                    <w:bidi w:val="0"/>
                    <w:adjustRightInd w:val="0"/>
                    <w:snapToGrid w:val="0"/>
                    <w:jc w:val="left"/>
                    <w:textAlignment w:val="auto"/>
                    <w:rPr>
                      <w:rFonts w:hint="default" w:ascii="Times New Roman" w:hAnsi="Times New Roman" w:cs="Times New Roman"/>
                      <w:color w:val="auto"/>
                      <w:vertAlign w:val="baseline"/>
                      <w:lang w:val="en-US" w:eastAsia="zh-CN"/>
                    </w:rPr>
                  </w:pPr>
                  <w:r>
                    <w:rPr>
                      <w:rFonts w:hint="default" w:ascii="Times New Roman" w:hAnsi="Times New Roman" w:cs="Times New Roman"/>
                      <w:color w:val="auto"/>
                      <w:vertAlign w:val="baseline"/>
                      <w:lang w:val="en-US" w:eastAsia="zh-CN"/>
                    </w:rPr>
                    <w:t>1.以壬基酚为助剂的新改扩建农药生产项目</w:t>
                  </w:r>
                </w:p>
                <w:p w14:paraId="53DCBDA5">
                  <w:pPr>
                    <w:keepNext w:val="0"/>
                    <w:keepLines w:val="0"/>
                    <w:pageBreakBefore w:val="0"/>
                    <w:widowControl w:val="0"/>
                    <w:kinsoku/>
                    <w:wordWrap/>
                    <w:overflowPunct/>
                    <w:topLinePunct w:val="0"/>
                    <w:autoSpaceDE/>
                    <w:autoSpaceDN/>
                    <w:bidi w:val="0"/>
                    <w:adjustRightInd w:val="0"/>
                    <w:snapToGrid w:val="0"/>
                    <w:jc w:val="left"/>
                    <w:textAlignment w:val="auto"/>
                    <w:rPr>
                      <w:rFonts w:hint="default" w:ascii="Times New Roman" w:hAnsi="Times New Roman" w:cs="Times New Roman"/>
                      <w:color w:val="auto"/>
                      <w:vertAlign w:val="baseline"/>
                      <w:lang w:val="en-US" w:eastAsia="zh-CN"/>
                    </w:rPr>
                  </w:pPr>
                  <w:r>
                    <w:rPr>
                      <w:rFonts w:hint="default" w:ascii="Times New Roman" w:hAnsi="Times New Roman" w:cs="Times New Roman"/>
                      <w:color w:val="auto"/>
                      <w:vertAlign w:val="baseline"/>
                      <w:lang w:val="en-US" w:eastAsia="zh-CN"/>
                    </w:rPr>
                    <w:t>2.以壬基酚为原料生产壬基酚聚氧乙烯醚的新改扩建项目</w:t>
                  </w:r>
                </w:p>
                <w:p w14:paraId="70C3ADA6">
                  <w:pPr>
                    <w:keepNext w:val="0"/>
                    <w:keepLines w:val="0"/>
                    <w:pageBreakBefore w:val="0"/>
                    <w:widowControl w:val="0"/>
                    <w:kinsoku/>
                    <w:wordWrap/>
                    <w:overflowPunct/>
                    <w:topLinePunct w:val="0"/>
                    <w:autoSpaceDE/>
                    <w:autoSpaceDN/>
                    <w:bidi w:val="0"/>
                    <w:adjustRightInd w:val="0"/>
                    <w:snapToGrid w:val="0"/>
                    <w:jc w:val="left"/>
                    <w:textAlignment w:val="auto"/>
                    <w:rPr>
                      <w:rFonts w:hint="default" w:ascii="Times New Roman" w:hAnsi="Times New Roman" w:cs="Times New Roman"/>
                      <w:color w:val="auto"/>
                      <w:vertAlign w:val="baseline"/>
                      <w:lang w:val="en-US" w:eastAsia="zh-CN"/>
                    </w:rPr>
                  </w:pPr>
                  <w:r>
                    <w:rPr>
                      <w:rFonts w:hint="default" w:ascii="Times New Roman" w:hAnsi="Times New Roman" w:cs="Times New Roman"/>
                      <w:color w:val="auto"/>
                      <w:vertAlign w:val="baseline"/>
                      <w:lang w:val="en-US" w:eastAsia="zh-CN"/>
                    </w:rPr>
                    <w:t>3.以含有壬基酚组分的化妆品为产品的新改扩建项目</w:t>
                  </w:r>
                </w:p>
              </w:tc>
              <w:tc>
                <w:tcPr>
                  <w:tcW w:w="792" w:type="pct"/>
                  <w:vMerge w:val="continue"/>
                  <w:tcBorders>
                    <w:tl2br w:val="nil"/>
                    <w:tr2bl w:val="nil"/>
                  </w:tcBorders>
                  <w:noWrap w:val="0"/>
                  <w:vAlign w:val="center"/>
                </w:tcPr>
                <w:p w14:paraId="2B674143">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vertAlign w:val="baseline"/>
                      <w:lang w:val="en-US" w:eastAsia="zh-CN"/>
                    </w:rPr>
                  </w:pPr>
                </w:p>
              </w:tc>
            </w:tr>
            <w:tr w14:paraId="7FC09DB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478" w:type="pct"/>
                  <w:tcBorders>
                    <w:tl2br w:val="nil"/>
                    <w:tr2bl w:val="nil"/>
                  </w:tcBorders>
                  <w:noWrap w:val="0"/>
                  <w:vAlign w:val="center"/>
                </w:tcPr>
                <w:p w14:paraId="40FFBCE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color w:val="auto"/>
                      <w:vertAlign w:val="baseline"/>
                      <w:lang w:val="en-US" w:eastAsia="zh-CN"/>
                    </w:rPr>
                  </w:pPr>
                  <w:r>
                    <w:rPr>
                      <w:rFonts w:hint="eastAsia"/>
                      <w:color w:val="auto"/>
                      <w:vertAlign w:val="baseline"/>
                      <w:lang w:val="en-US" w:eastAsia="zh-CN"/>
                    </w:rPr>
                    <w:t>13</w:t>
                  </w:r>
                </w:p>
              </w:tc>
              <w:tc>
                <w:tcPr>
                  <w:tcW w:w="3729" w:type="pct"/>
                  <w:tcBorders>
                    <w:tl2br w:val="nil"/>
                    <w:tr2bl w:val="nil"/>
                  </w:tcBorders>
                  <w:noWrap w:val="0"/>
                  <w:vAlign w:val="center"/>
                </w:tcPr>
                <w:p w14:paraId="656D8846">
                  <w:pPr>
                    <w:keepNext w:val="0"/>
                    <w:keepLines w:val="0"/>
                    <w:pageBreakBefore w:val="0"/>
                    <w:widowControl w:val="0"/>
                    <w:kinsoku/>
                    <w:wordWrap/>
                    <w:overflowPunct/>
                    <w:topLinePunct w:val="0"/>
                    <w:autoSpaceDE/>
                    <w:autoSpaceDN/>
                    <w:bidi w:val="0"/>
                    <w:adjustRightInd w:val="0"/>
                    <w:snapToGrid w:val="0"/>
                    <w:jc w:val="left"/>
                    <w:textAlignment w:val="auto"/>
                    <w:rPr>
                      <w:rFonts w:hint="default" w:ascii="Times New Roman" w:hAnsi="Times New Roman" w:cs="Times New Roman"/>
                      <w:color w:val="auto"/>
                      <w:vertAlign w:val="baseline"/>
                      <w:lang w:val="en-US" w:eastAsia="zh-CN"/>
                    </w:rPr>
                  </w:pPr>
                  <w:r>
                    <w:rPr>
                      <w:rFonts w:hint="default" w:ascii="Times New Roman" w:hAnsi="Times New Roman" w:cs="Times New Roman"/>
                      <w:color w:val="auto"/>
                      <w:vertAlign w:val="baseline"/>
                      <w:lang w:val="en-US" w:eastAsia="zh-CN"/>
                    </w:rPr>
                    <w:t>以六溴环十二烷、氯丹、灭蚁灵、六氯苯、滴滴涕、α-六氯环己烷、β-六氯环己烷、林丹、硫丹原药及其相关异构体、多氯联苯为原辅材料或产品的新改扩建项目</w:t>
                  </w:r>
                </w:p>
              </w:tc>
              <w:tc>
                <w:tcPr>
                  <w:tcW w:w="792" w:type="pct"/>
                  <w:vMerge w:val="continue"/>
                  <w:tcBorders>
                    <w:tl2br w:val="nil"/>
                    <w:tr2bl w:val="nil"/>
                  </w:tcBorders>
                  <w:noWrap w:val="0"/>
                  <w:vAlign w:val="center"/>
                </w:tcPr>
                <w:p w14:paraId="33294891">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vertAlign w:val="baseline"/>
                      <w:lang w:val="en-US" w:eastAsia="zh-CN"/>
                    </w:rPr>
                  </w:pPr>
                </w:p>
              </w:tc>
            </w:tr>
            <w:tr w14:paraId="3078498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5000" w:type="pct"/>
                  <w:gridSpan w:val="3"/>
                  <w:tcBorders>
                    <w:tl2br w:val="nil"/>
                    <w:tr2bl w:val="nil"/>
                  </w:tcBorders>
                  <w:noWrap w:val="0"/>
                  <w:vAlign w:val="center"/>
                </w:tcPr>
                <w:p w14:paraId="6563C4DF">
                  <w:pPr>
                    <w:keepNext w:val="0"/>
                    <w:keepLines w:val="0"/>
                    <w:pageBreakBefore w:val="0"/>
                    <w:widowControl w:val="0"/>
                    <w:kinsoku/>
                    <w:wordWrap/>
                    <w:overflowPunct/>
                    <w:topLinePunct w:val="0"/>
                    <w:autoSpaceDE/>
                    <w:autoSpaceDN/>
                    <w:bidi w:val="0"/>
                    <w:adjustRightInd w:val="0"/>
                    <w:snapToGrid w:val="0"/>
                    <w:jc w:val="left"/>
                    <w:textAlignment w:val="auto"/>
                    <w:rPr>
                      <w:rFonts w:hint="default"/>
                      <w:color w:val="auto"/>
                      <w:vertAlign w:val="baseline"/>
                      <w:lang w:val="en-US" w:eastAsia="zh-CN"/>
                    </w:rPr>
                  </w:pPr>
                  <w:r>
                    <w:rPr>
                      <w:rFonts w:hint="eastAsia"/>
                      <w:color w:val="auto"/>
                      <w:vertAlign w:val="baseline"/>
                      <w:lang w:val="en-US" w:eastAsia="zh-CN"/>
                    </w:rPr>
                    <w:t>注1：PFOA类豁免项目包括：</w:t>
                  </w:r>
                </w:p>
                <w:p w14:paraId="07A70DF9">
                  <w:pPr>
                    <w:keepNext w:val="0"/>
                    <w:keepLines w:val="0"/>
                    <w:pageBreakBefore w:val="0"/>
                    <w:widowControl w:val="0"/>
                    <w:kinsoku/>
                    <w:wordWrap/>
                    <w:overflowPunct/>
                    <w:topLinePunct w:val="0"/>
                    <w:autoSpaceDE/>
                    <w:autoSpaceDN/>
                    <w:bidi w:val="0"/>
                    <w:adjustRightInd w:val="0"/>
                    <w:snapToGrid w:val="0"/>
                    <w:jc w:val="left"/>
                    <w:textAlignment w:val="auto"/>
                    <w:rPr>
                      <w:rFonts w:hint="eastAsia"/>
                      <w:color w:val="auto"/>
                      <w:vertAlign w:val="baseline"/>
                      <w:lang w:val="en-US" w:eastAsia="zh-CN"/>
                    </w:rPr>
                  </w:pPr>
                  <w:r>
                    <w:rPr>
                      <w:rFonts w:hint="eastAsia"/>
                      <w:color w:val="auto"/>
                      <w:vertAlign w:val="baseline"/>
                      <w:lang w:val="en-US" w:eastAsia="zh-CN"/>
                    </w:rPr>
                    <w:t>（1）半导体制造中的光刻或蚀刻工艺；</w:t>
                  </w:r>
                </w:p>
                <w:p w14:paraId="1E9A7DBC">
                  <w:pPr>
                    <w:keepNext w:val="0"/>
                    <w:keepLines w:val="0"/>
                    <w:pageBreakBefore w:val="0"/>
                    <w:widowControl w:val="0"/>
                    <w:kinsoku/>
                    <w:wordWrap/>
                    <w:overflowPunct/>
                    <w:topLinePunct w:val="0"/>
                    <w:autoSpaceDE/>
                    <w:autoSpaceDN/>
                    <w:bidi w:val="0"/>
                    <w:adjustRightInd w:val="0"/>
                    <w:snapToGrid w:val="0"/>
                    <w:jc w:val="left"/>
                    <w:textAlignment w:val="auto"/>
                    <w:rPr>
                      <w:rFonts w:hint="eastAsia"/>
                      <w:color w:val="auto"/>
                      <w:vertAlign w:val="baseline"/>
                      <w:lang w:val="en-US" w:eastAsia="zh-CN"/>
                    </w:rPr>
                  </w:pPr>
                  <w:r>
                    <w:rPr>
                      <w:rFonts w:hint="eastAsia"/>
                      <w:color w:val="auto"/>
                      <w:vertAlign w:val="baseline"/>
                      <w:lang w:val="en-US" w:eastAsia="zh-CN"/>
                    </w:rPr>
                    <w:t>（2）用于胶卷的摄影涂料；</w:t>
                  </w:r>
                </w:p>
                <w:p w14:paraId="1BC027D2">
                  <w:pPr>
                    <w:keepNext w:val="0"/>
                    <w:keepLines w:val="0"/>
                    <w:pageBreakBefore w:val="0"/>
                    <w:widowControl w:val="0"/>
                    <w:kinsoku/>
                    <w:wordWrap/>
                    <w:overflowPunct/>
                    <w:topLinePunct w:val="0"/>
                    <w:autoSpaceDE/>
                    <w:autoSpaceDN/>
                    <w:bidi w:val="0"/>
                    <w:adjustRightInd w:val="0"/>
                    <w:snapToGrid w:val="0"/>
                    <w:jc w:val="left"/>
                    <w:textAlignment w:val="auto"/>
                    <w:rPr>
                      <w:rFonts w:hint="eastAsia"/>
                      <w:color w:val="auto"/>
                      <w:vertAlign w:val="baseline"/>
                      <w:lang w:val="en-US" w:eastAsia="zh-CN"/>
                    </w:rPr>
                  </w:pPr>
                  <w:r>
                    <w:rPr>
                      <w:rFonts w:hint="eastAsia"/>
                      <w:color w:val="auto"/>
                      <w:vertAlign w:val="baseline"/>
                      <w:lang w:val="en-US" w:eastAsia="zh-CN"/>
                    </w:rPr>
                    <w:t>（3）保护工人免受危险液体造成的健康和安全风险影响的拒油拒水纺织品；</w:t>
                  </w:r>
                </w:p>
                <w:p w14:paraId="23EE4B1E">
                  <w:pPr>
                    <w:keepNext w:val="0"/>
                    <w:keepLines w:val="0"/>
                    <w:pageBreakBefore w:val="0"/>
                    <w:widowControl w:val="0"/>
                    <w:kinsoku/>
                    <w:wordWrap/>
                    <w:overflowPunct/>
                    <w:topLinePunct w:val="0"/>
                    <w:autoSpaceDE/>
                    <w:autoSpaceDN/>
                    <w:bidi w:val="0"/>
                    <w:adjustRightInd w:val="0"/>
                    <w:snapToGrid w:val="0"/>
                    <w:jc w:val="left"/>
                    <w:textAlignment w:val="auto"/>
                    <w:rPr>
                      <w:rFonts w:hint="eastAsia"/>
                      <w:color w:val="auto"/>
                      <w:vertAlign w:val="baseline"/>
                      <w:lang w:val="en-US" w:eastAsia="zh-CN"/>
                    </w:rPr>
                  </w:pPr>
                  <w:r>
                    <w:rPr>
                      <w:rFonts w:hint="eastAsia"/>
                      <w:color w:val="auto"/>
                      <w:vertAlign w:val="baseline"/>
                      <w:lang w:val="en-US" w:eastAsia="zh-CN"/>
                    </w:rPr>
                    <w:t>（4）侵入性和可植入的医疗装置；</w:t>
                  </w:r>
                </w:p>
                <w:p w14:paraId="18FBBC40">
                  <w:pPr>
                    <w:keepNext w:val="0"/>
                    <w:keepLines w:val="0"/>
                    <w:pageBreakBefore w:val="0"/>
                    <w:widowControl w:val="0"/>
                    <w:kinsoku/>
                    <w:wordWrap/>
                    <w:overflowPunct/>
                    <w:topLinePunct w:val="0"/>
                    <w:autoSpaceDE/>
                    <w:autoSpaceDN/>
                    <w:bidi w:val="0"/>
                    <w:adjustRightInd w:val="0"/>
                    <w:snapToGrid w:val="0"/>
                    <w:jc w:val="left"/>
                    <w:textAlignment w:val="auto"/>
                    <w:rPr>
                      <w:rFonts w:hint="eastAsia"/>
                      <w:color w:val="auto"/>
                      <w:vertAlign w:val="baseline"/>
                      <w:lang w:val="en-US" w:eastAsia="zh-CN"/>
                    </w:rPr>
                  </w:pPr>
                  <w:r>
                    <w:rPr>
                      <w:rFonts w:hint="eastAsia"/>
                      <w:color w:val="auto"/>
                      <w:vertAlign w:val="baseline"/>
                      <w:lang w:val="en-US" w:eastAsia="zh-CN"/>
                    </w:rPr>
                    <w:t>（5）使用全氟碘辛烷生产全氟溴辛烷，用于药品生产目的；</w:t>
                  </w:r>
                </w:p>
                <w:p w14:paraId="122832D3">
                  <w:pPr>
                    <w:keepNext w:val="0"/>
                    <w:keepLines w:val="0"/>
                    <w:pageBreakBefore w:val="0"/>
                    <w:widowControl w:val="0"/>
                    <w:kinsoku/>
                    <w:wordWrap/>
                    <w:overflowPunct/>
                    <w:topLinePunct w:val="0"/>
                    <w:autoSpaceDE/>
                    <w:autoSpaceDN/>
                    <w:bidi w:val="0"/>
                    <w:adjustRightInd w:val="0"/>
                    <w:snapToGrid w:val="0"/>
                    <w:jc w:val="left"/>
                    <w:textAlignment w:val="auto"/>
                    <w:rPr>
                      <w:rFonts w:hint="eastAsia"/>
                      <w:color w:val="auto"/>
                      <w:vertAlign w:val="baseline"/>
                      <w:lang w:val="en-US" w:eastAsia="zh-CN"/>
                    </w:rPr>
                  </w:pPr>
                  <w:r>
                    <w:rPr>
                      <w:rFonts w:hint="eastAsia"/>
                      <w:color w:val="auto"/>
                      <w:vertAlign w:val="baseline"/>
                      <w:lang w:val="en-US" w:eastAsia="zh-CN"/>
                    </w:rPr>
                    <w:t>（6）为生产高性能耐腐蚀气体过滤膜、水过滤膜和医疗用布膜，工业废热交换器设备，以及能防止挥发性有机化合物和PM</w:t>
                  </w:r>
                  <w:r>
                    <w:rPr>
                      <w:rFonts w:hint="eastAsia"/>
                      <w:color w:val="auto"/>
                      <w:vertAlign w:val="subscript"/>
                      <w:lang w:val="en-US" w:eastAsia="zh-CN"/>
                    </w:rPr>
                    <w:t>2.5</w:t>
                  </w:r>
                  <w:r>
                    <w:rPr>
                      <w:rFonts w:hint="eastAsia"/>
                      <w:color w:val="auto"/>
                      <w:vertAlign w:val="baseline"/>
                      <w:lang w:val="en-US" w:eastAsia="zh-CN"/>
                    </w:rPr>
                    <w:t>颗粒泄露的工业密封剂等产品而制造聚四氟乙烯（PTFE）和聚偏氟乙烯（PVDF）；</w:t>
                  </w:r>
                </w:p>
                <w:p w14:paraId="157EFBEF">
                  <w:pPr>
                    <w:keepNext w:val="0"/>
                    <w:keepLines w:val="0"/>
                    <w:pageBreakBefore w:val="0"/>
                    <w:widowControl w:val="0"/>
                    <w:kinsoku/>
                    <w:wordWrap/>
                    <w:overflowPunct/>
                    <w:topLinePunct w:val="0"/>
                    <w:autoSpaceDE/>
                    <w:autoSpaceDN/>
                    <w:bidi w:val="0"/>
                    <w:adjustRightInd w:val="0"/>
                    <w:snapToGrid w:val="0"/>
                    <w:jc w:val="left"/>
                    <w:textAlignment w:val="auto"/>
                    <w:rPr>
                      <w:rFonts w:hint="eastAsia"/>
                      <w:color w:val="auto"/>
                      <w:vertAlign w:val="baseline"/>
                      <w:lang w:val="en-US" w:eastAsia="zh-CN"/>
                    </w:rPr>
                  </w:pPr>
                  <w:r>
                    <w:rPr>
                      <w:rFonts w:hint="eastAsia"/>
                      <w:color w:val="auto"/>
                      <w:vertAlign w:val="baseline"/>
                      <w:lang w:val="en-US" w:eastAsia="zh-CN"/>
                    </w:rPr>
                    <w:t>（7）制造用于生产输电用高压电线电缆的聚全氟乙丙烯（FEP）。</w:t>
                  </w:r>
                </w:p>
                <w:p w14:paraId="25AB43C6">
                  <w:pPr>
                    <w:keepNext w:val="0"/>
                    <w:keepLines w:val="0"/>
                    <w:pageBreakBefore w:val="0"/>
                    <w:widowControl w:val="0"/>
                    <w:kinsoku/>
                    <w:wordWrap/>
                    <w:overflowPunct/>
                    <w:topLinePunct w:val="0"/>
                    <w:autoSpaceDE/>
                    <w:autoSpaceDN/>
                    <w:bidi w:val="0"/>
                    <w:adjustRightInd w:val="0"/>
                    <w:snapToGrid w:val="0"/>
                    <w:jc w:val="left"/>
                    <w:textAlignment w:val="auto"/>
                    <w:rPr>
                      <w:rFonts w:hint="default"/>
                      <w:color w:val="auto"/>
                      <w:vertAlign w:val="baseline"/>
                      <w:lang w:val="en-US" w:eastAsia="zh-CN"/>
                    </w:rPr>
                  </w:pPr>
                  <w:r>
                    <w:rPr>
                      <w:rFonts w:hint="eastAsia"/>
                      <w:color w:val="auto"/>
                      <w:vertAlign w:val="baseline"/>
                      <w:lang w:val="en-US" w:eastAsia="zh-CN"/>
                    </w:rPr>
                    <w:t>注2：</w:t>
                  </w:r>
                  <w:r>
                    <w:rPr>
                      <w:rFonts w:hint="default"/>
                      <w:color w:val="auto"/>
                      <w:vertAlign w:val="baseline"/>
                      <w:lang w:val="en-US" w:eastAsia="zh-CN"/>
                    </w:rPr>
                    <w:t>短链氯化石蜡是指链长C10至C13的直链氯化碳氢化合物，且氯含量按重量计超过48%，其在混合物中的浓度按重量计大于或等于1%。</w:t>
                  </w:r>
                </w:p>
              </w:tc>
            </w:tr>
          </w:tbl>
          <w:p w14:paraId="10DDFFE1">
            <w:pPr>
              <w:pStyle w:val="2"/>
              <w:rPr>
                <w:color w:val="auto"/>
                <w:sz w:val="21"/>
                <w:szCs w:val="21"/>
              </w:rPr>
            </w:pPr>
          </w:p>
        </w:tc>
      </w:tr>
    </w:tbl>
    <w:p w14:paraId="483ADA73">
      <w:pPr>
        <w:spacing w:line="360" w:lineRule="auto"/>
        <w:rPr>
          <w:color w:val="auto"/>
          <w:sz w:val="24"/>
        </w:rPr>
        <w:sectPr>
          <w:footerReference r:id="rId4" w:type="default"/>
          <w:pgSz w:w="11906" w:h="16838"/>
          <w:pgMar w:top="1418" w:right="1418" w:bottom="1418" w:left="1418" w:header="851" w:footer="1077" w:gutter="0"/>
          <w:pgBorders>
            <w:top w:val="none" w:sz="0" w:space="0"/>
            <w:left w:val="none" w:sz="0" w:space="0"/>
            <w:bottom w:val="none" w:sz="0" w:space="0"/>
            <w:right w:val="none" w:sz="0" w:space="0"/>
          </w:pgBorders>
          <w:pgNumType w:start="1"/>
          <w:cols w:space="720" w:num="1"/>
          <w:docGrid w:linePitch="312" w:charSpace="0"/>
        </w:sectPr>
      </w:pPr>
    </w:p>
    <w:p w14:paraId="770A0344">
      <w:pPr>
        <w:pStyle w:val="55"/>
        <w:rPr>
          <w:color w:val="auto"/>
        </w:rPr>
      </w:pPr>
      <w:bookmarkStart w:id="8" w:name="_Toc11310"/>
      <w:bookmarkStart w:id="9" w:name="_Toc137559020"/>
      <w:bookmarkStart w:id="10" w:name="_Toc14795"/>
      <w:r>
        <w:rPr>
          <w:color w:val="auto"/>
        </w:rPr>
        <w:t>二、建设项目工程分析</w:t>
      </w:r>
      <w:bookmarkEnd w:id="8"/>
      <w:bookmarkEnd w:id="9"/>
      <w:bookmarkEnd w:id="10"/>
    </w:p>
    <w:tbl>
      <w:tblPr>
        <w:tblStyle w:val="59"/>
        <w:tblpPr w:leftFromText="180" w:rightFromText="180" w:vertAnchor="text" w:tblpXSpec="center" w:tblpY="1"/>
        <w:tblOverlap w:val="never"/>
        <w:tblW w:w="0" w:type="auto"/>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521"/>
        <w:gridCol w:w="8765"/>
      </w:tblGrid>
      <w:tr w14:paraId="3F1256A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3561" w:hRule="atLeast"/>
          <w:jc w:val="center"/>
        </w:trPr>
        <w:tc>
          <w:tcPr>
            <w:tcW w:w="521" w:type="dxa"/>
            <w:vAlign w:val="center"/>
          </w:tcPr>
          <w:p w14:paraId="00A7A1C4">
            <w:pPr>
              <w:pStyle w:val="55"/>
              <w:rPr>
                <w:color w:val="auto"/>
                <w:sz w:val="21"/>
                <w:szCs w:val="21"/>
              </w:rPr>
            </w:pPr>
            <w:r>
              <w:rPr>
                <w:color w:val="auto"/>
                <w:sz w:val="21"/>
                <w:szCs w:val="21"/>
              </w:rPr>
              <w:t>建设内容</w:t>
            </w:r>
          </w:p>
        </w:tc>
        <w:tc>
          <w:tcPr>
            <w:tcW w:w="8765" w:type="dxa"/>
          </w:tcPr>
          <w:p w14:paraId="2210EA91">
            <w:pPr>
              <w:autoSpaceDE w:val="0"/>
              <w:autoSpaceDN w:val="0"/>
              <w:adjustRightInd w:val="0"/>
              <w:snapToGrid w:val="0"/>
              <w:spacing w:line="360" w:lineRule="auto"/>
              <w:jc w:val="left"/>
              <w:rPr>
                <w:rFonts w:cs="宋体"/>
                <w:b/>
                <w:bCs/>
                <w:color w:val="auto"/>
              </w:rPr>
            </w:pPr>
            <w:r>
              <w:rPr>
                <w:rFonts w:hint="eastAsia" w:cs="宋体"/>
                <w:b/>
                <w:bCs/>
                <w:color w:val="auto"/>
              </w:rPr>
              <w:t>2.1 建设内容</w:t>
            </w:r>
          </w:p>
          <w:p w14:paraId="15D4A797">
            <w:pPr>
              <w:autoSpaceDE w:val="0"/>
              <w:autoSpaceDN w:val="0"/>
              <w:adjustRightInd w:val="0"/>
              <w:snapToGrid w:val="0"/>
              <w:spacing w:line="360" w:lineRule="auto"/>
              <w:jc w:val="left"/>
              <w:rPr>
                <w:rFonts w:cs="宋体"/>
                <w:b/>
                <w:bCs/>
                <w:color w:val="auto"/>
              </w:rPr>
            </w:pPr>
            <w:r>
              <w:rPr>
                <w:rFonts w:hint="eastAsia" w:cs="宋体"/>
                <w:b/>
                <w:bCs/>
                <w:color w:val="auto"/>
              </w:rPr>
              <w:t>2.1.1 项目由来</w:t>
            </w:r>
          </w:p>
          <w:p w14:paraId="3FE32858">
            <w:pPr>
              <w:adjustRightInd w:val="0"/>
              <w:snapToGrid w:val="0"/>
              <w:spacing w:line="360" w:lineRule="auto"/>
              <w:ind w:firstLine="420" w:firstLineChars="200"/>
              <w:rPr>
                <w:rFonts w:cs="宋体"/>
                <w:color w:val="auto"/>
              </w:rPr>
            </w:pPr>
            <w:r>
              <w:rPr>
                <w:rFonts w:hint="eastAsia" w:cs="新宋体"/>
                <w:color w:val="auto"/>
                <w:kern w:val="0"/>
                <w:lang w:eastAsia="zh-CN" w:bidi="ar"/>
              </w:rPr>
              <w:t>常州市永峰风能设备制造有限公司</w:t>
            </w:r>
            <w:r>
              <w:rPr>
                <w:rFonts w:hint="eastAsia" w:cs="宋体"/>
                <w:color w:val="auto"/>
              </w:rPr>
              <w:t>位于</w:t>
            </w:r>
            <w:r>
              <w:rPr>
                <w:rFonts w:hint="eastAsia"/>
                <w:color w:val="auto"/>
                <w:lang w:eastAsia="zh-CN"/>
              </w:rPr>
              <w:t>江苏省常州市金坛区亿晶路99号</w:t>
            </w:r>
            <w:r>
              <w:rPr>
                <w:rFonts w:hint="eastAsia" w:cs="宋体"/>
                <w:color w:val="auto"/>
              </w:rPr>
              <w:t>，成立于202</w:t>
            </w:r>
            <w:r>
              <w:rPr>
                <w:rFonts w:hint="eastAsia" w:cs="宋体"/>
                <w:color w:val="auto"/>
                <w:lang w:val="en-US" w:eastAsia="zh-CN"/>
              </w:rPr>
              <w:t>5</w:t>
            </w:r>
            <w:r>
              <w:rPr>
                <w:rFonts w:hint="eastAsia" w:cs="宋体"/>
                <w:color w:val="auto"/>
              </w:rPr>
              <w:t>年0</w:t>
            </w:r>
            <w:r>
              <w:rPr>
                <w:rFonts w:hint="eastAsia" w:cs="宋体"/>
                <w:color w:val="auto"/>
                <w:lang w:val="en-US" w:eastAsia="zh-CN"/>
              </w:rPr>
              <w:t>1</w:t>
            </w:r>
            <w:r>
              <w:rPr>
                <w:rFonts w:hint="eastAsia" w:cs="宋体"/>
                <w:color w:val="auto"/>
              </w:rPr>
              <w:t>月</w:t>
            </w:r>
            <w:r>
              <w:rPr>
                <w:rFonts w:hint="eastAsia" w:cs="宋体"/>
                <w:color w:val="auto"/>
                <w:lang w:val="en-US" w:eastAsia="zh-CN"/>
              </w:rPr>
              <w:t>10</w:t>
            </w:r>
            <w:r>
              <w:rPr>
                <w:rFonts w:hint="eastAsia" w:cs="宋体"/>
                <w:color w:val="auto"/>
              </w:rPr>
              <w:t>日。公司经营范围为：常州市永峰风能设备制造有限公司成立于2025-01-10，法定代表人为陈永春，注册资本为100万元，统一社会信用代码为91320413MAE9PB0H66，企业注册地址位于江苏省常州市金坛区亿晶路99号，所属行业为专用设备制造业，经营范围包含：一般项目：通用设备制造（不含特种设备制造）；风力发电技术服务；金属结构制造；金属链条及其他金属制品制造；喷涂加工；金属表面处理及热处理加工；金属加工机械制造；机械零件、零部件销售；五金产品零售（除依法须经批准的项目外，凭营业执照依法自主开展经营活动）。</w:t>
            </w:r>
          </w:p>
          <w:p w14:paraId="5384AADF">
            <w:pPr>
              <w:pStyle w:val="706"/>
              <w:adjustRightInd w:val="0"/>
              <w:snapToGrid w:val="0"/>
              <w:spacing w:line="360" w:lineRule="auto"/>
              <w:ind w:firstLine="420"/>
              <w:jc w:val="both"/>
              <w:rPr>
                <w:rFonts w:eastAsia="宋体"/>
                <w:b w:val="0"/>
                <w:bCs/>
                <w:color w:val="auto"/>
                <w:kern w:val="0"/>
                <w:sz w:val="21"/>
                <w:szCs w:val="21"/>
              </w:rPr>
            </w:pPr>
            <w:r>
              <w:rPr>
                <w:rFonts w:hint="eastAsia" w:eastAsia="宋体"/>
                <w:b w:val="0"/>
                <w:bCs/>
                <w:color w:val="auto"/>
                <w:sz w:val="21"/>
                <w:szCs w:val="21"/>
              </w:rPr>
              <w:t>建设单位拟投资</w:t>
            </w:r>
            <w:r>
              <w:rPr>
                <w:rFonts w:hint="eastAsia" w:eastAsia="宋体"/>
                <w:b w:val="0"/>
                <w:bCs/>
                <w:color w:val="auto"/>
                <w:sz w:val="21"/>
                <w:szCs w:val="21"/>
                <w:lang w:val="en-US" w:eastAsia="zh-CN"/>
              </w:rPr>
              <w:t>1000</w:t>
            </w:r>
            <w:r>
              <w:rPr>
                <w:rFonts w:hint="eastAsia" w:eastAsia="宋体"/>
                <w:b w:val="0"/>
                <w:bCs/>
                <w:color w:val="auto"/>
                <w:sz w:val="21"/>
                <w:szCs w:val="21"/>
              </w:rPr>
              <w:t>万元</w:t>
            </w:r>
            <w:r>
              <w:rPr>
                <w:rFonts w:hint="eastAsia" w:eastAsia="宋体"/>
                <w:b w:val="0"/>
                <w:bCs/>
                <w:color w:val="auto"/>
                <w:sz w:val="21"/>
                <w:szCs w:val="21"/>
                <w:lang w:eastAsia="zh-CN"/>
              </w:rPr>
              <w:t>新建年产1000件风电主轴，5000件风电轴承座和1000风电机架和轮毂项目</w:t>
            </w:r>
            <w:r>
              <w:rPr>
                <w:rFonts w:hint="eastAsia" w:eastAsia="宋体"/>
                <w:b w:val="0"/>
                <w:bCs/>
                <w:color w:val="auto"/>
                <w:sz w:val="21"/>
                <w:szCs w:val="21"/>
              </w:rPr>
              <w:t>，该项目位于</w:t>
            </w:r>
            <w:r>
              <w:rPr>
                <w:rFonts w:hint="eastAsia" w:eastAsia="宋体"/>
                <w:b w:val="0"/>
                <w:bCs/>
                <w:color w:val="auto"/>
                <w:sz w:val="21"/>
                <w:szCs w:val="21"/>
                <w:lang w:eastAsia="zh-CN"/>
              </w:rPr>
              <w:t>常州市金坛区亿晶路99号</w:t>
            </w:r>
            <w:r>
              <w:rPr>
                <w:rFonts w:hint="eastAsia" w:eastAsia="宋体"/>
                <w:b w:val="0"/>
                <w:bCs/>
                <w:color w:val="auto"/>
                <w:sz w:val="21"/>
                <w:szCs w:val="21"/>
              </w:rPr>
              <w:t>，租赁</w:t>
            </w:r>
            <w:r>
              <w:rPr>
                <w:rFonts w:hint="eastAsia" w:eastAsia="宋体"/>
                <w:b w:val="0"/>
                <w:bCs/>
                <w:color w:val="auto"/>
                <w:sz w:val="21"/>
                <w:szCs w:val="21"/>
                <w:lang w:val="en-US" w:eastAsia="zh-CN"/>
              </w:rPr>
              <w:t>江苏富卓新材料科技有限公司</w:t>
            </w:r>
            <w:r>
              <w:rPr>
                <w:rFonts w:hint="eastAsia" w:eastAsia="宋体"/>
                <w:b w:val="0"/>
                <w:bCs/>
                <w:color w:val="auto"/>
                <w:sz w:val="21"/>
                <w:szCs w:val="21"/>
              </w:rPr>
              <w:t>已建</w:t>
            </w:r>
            <w:r>
              <w:rPr>
                <w:rFonts w:hint="eastAsia" w:eastAsia="宋体"/>
                <w:b w:val="0"/>
                <w:bCs/>
                <w:color w:val="auto"/>
                <w:sz w:val="21"/>
                <w:szCs w:val="21"/>
                <w:lang w:val="en-US" w:eastAsia="zh-CN"/>
              </w:rPr>
              <w:t>G车间</w:t>
            </w:r>
            <w:r>
              <w:rPr>
                <w:rFonts w:hint="eastAsia" w:eastAsia="宋体"/>
                <w:b w:val="0"/>
                <w:bCs/>
                <w:color w:val="auto"/>
                <w:sz w:val="21"/>
                <w:szCs w:val="21"/>
              </w:rPr>
              <w:t>厂房</w:t>
            </w:r>
            <w:r>
              <w:rPr>
                <w:rFonts w:hint="eastAsia" w:eastAsia="宋体"/>
                <w:b w:val="0"/>
                <w:bCs/>
                <w:color w:val="auto"/>
                <w:sz w:val="21"/>
                <w:szCs w:val="21"/>
                <w:lang w:val="en-US" w:eastAsia="zh-CN"/>
              </w:rPr>
              <w:t>5333</w:t>
            </w:r>
            <w:r>
              <w:rPr>
                <w:rFonts w:hint="eastAsia" w:eastAsia="宋体"/>
                <w:b w:val="0"/>
                <w:bCs/>
                <w:color w:val="auto"/>
                <w:sz w:val="21"/>
                <w:szCs w:val="21"/>
              </w:rPr>
              <w:t>平方米进行生产。</w:t>
            </w:r>
            <w:r>
              <w:rPr>
                <w:rFonts w:eastAsia="宋体"/>
                <w:b w:val="0"/>
                <w:bCs/>
                <w:color w:val="auto"/>
                <w:sz w:val="21"/>
                <w:szCs w:val="21"/>
              </w:rPr>
              <w:t>本项目于202</w:t>
            </w:r>
            <w:r>
              <w:rPr>
                <w:rFonts w:hint="eastAsia" w:eastAsia="宋体"/>
                <w:b w:val="0"/>
                <w:bCs/>
                <w:color w:val="auto"/>
                <w:sz w:val="21"/>
                <w:szCs w:val="21"/>
                <w:lang w:val="en-US" w:eastAsia="zh-CN"/>
              </w:rPr>
              <w:t>5</w:t>
            </w:r>
            <w:r>
              <w:rPr>
                <w:rFonts w:eastAsia="宋体"/>
                <w:b w:val="0"/>
                <w:bCs/>
                <w:color w:val="auto"/>
                <w:sz w:val="21"/>
                <w:szCs w:val="21"/>
              </w:rPr>
              <w:t>年</w:t>
            </w:r>
            <w:r>
              <w:rPr>
                <w:rFonts w:hint="eastAsia" w:eastAsia="宋体"/>
                <w:b w:val="0"/>
                <w:bCs/>
                <w:color w:val="auto"/>
                <w:sz w:val="21"/>
                <w:szCs w:val="21"/>
                <w:lang w:val="en-US" w:eastAsia="zh-CN"/>
              </w:rPr>
              <w:t>2</w:t>
            </w:r>
            <w:r>
              <w:rPr>
                <w:rFonts w:eastAsia="宋体"/>
                <w:b w:val="0"/>
                <w:bCs/>
                <w:color w:val="auto"/>
                <w:sz w:val="21"/>
                <w:szCs w:val="21"/>
              </w:rPr>
              <w:t>月</w:t>
            </w:r>
            <w:r>
              <w:rPr>
                <w:rFonts w:hint="eastAsia" w:eastAsia="宋体"/>
                <w:b w:val="0"/>
                <w:bCs/>
                <w:color w:val="auto"/>
                <w:sz w:val="21"/>
                <w:szCs w:val="21"/>
                <w:lang w:val="en-US" w:eastAsia="zh-CN"/>
              </w:rPr>
              <w:t>13</w:t>
            </w:r>
            <w:r>
              <w:rPr>
                <w:rFonts w:eastAsia="宋体"/>
                <w:b w:val="0"/>
                <w:bCs/>
                <w:color w:val="auto"/>
                <w:sz w:val="21"/>
                <w:szCs w:val="21"/>
              </w:rPr>
              <w:t>日取得</w:t>
            </w:r>
            <w:r>
              <w:rPr>
                <w:rFonts w:hint="eastAsia" w:eastAsia="宋体"/>
                <w:b w:val="0"/>
                <w:bCs/>
                <w:color w:val="auto"/>
                <w:sz w:val="21"/>
                <w:szCs w:val="21"/>
                <w:lang w:val="en-US" w:eastAsia="zh-CN"/>
              </w:rPr>
              <w:t>常州市金坛区发展和改革局</w:t>
            </w:r>
            <w:r>
              <w:rPr>
                <w:rFonts w:eastAsia="宋体"/>
                <w:b w:val="0"/>
                <w:bCs/>
                <w:color w:val="auto"/>
                <w:sz w:val="21"/>
                <w:szCs w:val="21"/>
              </w:rPr>
              <w:t>关于《</w:t>
            </w:r>
            <w:r>
              <w:rPr>
                <w:rFonts w:hint="eastAsia" w:eastAsia="宋体"/>
                <w:b w:val="0"/>
                <w:bCs/>
                <w:color w:val="auto"/>
                <w:sz w:val="21"/>
                <w:szCs w:val="21"/>
                <w:lang w:eastAsia="zh-CN"/>
              </w:rPr>
              <w:t>新建年产1000件风电主轴，5000件风电轴承座和1000风电机架和轮毂项目</w:t>
            </w:r>
            <w:r>
              <w:rPr>
                <w:rFonts w:eastAsia="宋体"/>
                <w:b w:val="0"/>
                <w:bCs/>
                <w:color w:val="auto"/>
                <w:sz w:val="21"/>
                <w:szCs w:val="21"/>
              </w:rPr>
              <w:t>》</w:t>
            </w:r>
            <w:r>
              <w:rPr>
                <w:rFonts w:hint="eastAsia" w:eastAsia="宋体"/>
                <w:b w:val="0"/>
                <w:bCs/>
                <w:color w:val="auto"/>
                <w:sz w:val="21"/>
                <w:szCs w:val="21"/>
              </w:rPr>
              <w:t>的备案证（</w:t>
            </w:r>
            <w:r>
              <w:rPr>
                <w:rFonts w:hint="eastAsia" w:eastAsia="宋体"/>
                <w:b w:val="0"/>
                <w:bCs/>
                <w:color w:val="auto"/>
                <w:sz w:val="21"/>
                <w:szCs w:val="21"/>
                <w:lang w:eastAsia="zh-CN"/>
              </w:rPr>
              <w:t>坛发改备[2025]49号</w:t>
            </w:r>
            <w:r>
              <w:rPr>
                <w:rFonts w:hint="eastAsia" w:eastAsia="宋体"/>
                <w:b w:val="0"/>
                <w:bCs/>
                <w:color w:val="auto"/>
                <w:sz w:val="21"/>
                <w:szCs w:val="21"/>
              </w:rPr>
              <w:t>），</w:t>
            </w:r>
            <w:r>
              <w:rPr>
                <w:rFonts w:eastAsia="宋体"/>
                <w:b w:val="0"/>
                <w:bCs/>
                <w:color w:val="auto"/>
                <w:sz w:val="21"/>
                <w:szCs w:val="21"/>
              </w:rPr>
              <w:t>项目编号为</w:t>
            </w:r>
            <w:r>
              <w:rPr>
                <w:rFonts w:hint="eastAsia" w:eastAsia="宋体"/>
                <w:b w:val="0"/>
                <w:bCs/>
                <w:color w:val="auto"/>
                <w:sz w:val="21"/>
                <w:szCs w:val="21"/>
                <w:lang w:eastAsia="zh-CN"/>
              </w:rPr>
              <w:t>2502-320413-04-01-538132</w:t>
            </w:r>
            <w:r>
              <w:rPr>
                <w:rFonts w:eastAsia="宋体"/>
                <w:b w:val="0"/>
                <w:bCs/>
                <w:color w:val="auto"/>
                <w:sz w:val="21"/>
                <w:szCs w:val="21"/>
              </w:rPr>
              <w:t>。</w:t>
            </w:r>
          </w:p>
          <w:p w14:paraId="60893041">
            <w:pPr>
              <w:adjustRightInd w:val="0"/>
              <w:snapToGrid w:val="0"/>
              <w:spacing w:line="360" w:lineRule="auto"/>
              <w:ind w:firstLine="420" w:firstLineChars="200"/>
              <w:rPr>
                <w:color w:val="auto"/>
              </w:rPr>
            </w:pPr>
            <w:r>
              <w:rPr>
                <w:rFonts w:hint="eastAsia" w:cs="宋体"/>
                <w:color w:val="auto"/>
              </w:rPr>
              <w:t>对照《建设项目环境影响评价分类管理名录（2021年版）》（生态环境部令第16号），</w:t>
            </w:r>
            <w:r>
              <w:rPr>
                <w:color w:val="auto"/>
              </w:rPr>
              <w:t>本项目属于</w:t>
            </w:r>
            <w:r>
              <w:rPr>
                <w:rFonts w:hint="eastAsia"/>
                <w:color w:val="auto"/>
              </w:rPr>
              <w:t>“</w:t>
            </w:r>
            <w:r>
              <w:rPr>
                <w:rFonts w:hint="eastAsia" w:cs="宋体"/>
                <w:color w:val="auto"/>
                <w:lang w:val="en-US" w:eastAsia="zh-CN"/>
              </w:rPr>
              <w:t>三十五</w:t>
            </w:r>
            <w:r>
              <w:rPr>
                <w:rFonts w:hint="eastAsia" w:cs="宋体"/>
                <w:color w:val="auto"/>
              </w:rPr>
              <w:t>、</w:t>
            </w:r>
            <w:r>
              <w:rPr>
                <w:rFonts w:hint="eastAsia" w:cs="宋体"/>
                <w:color w:val="auto"/>
                <w:lang w:val="en-US" w:eastAsia="zh-CN"/>
              </w:rPr>
              <w:t>电气机械和器材制造业38</w:t>
            </w:r>
            <w:r>
              <w:rPr>
                <w:rFonts w:hint="eastAsia"/>
                <w:color w:val="auto"/>
              </w:rPr>
              <w:t>”中“</w:t>
            </w:r>
            <w:r>
              <w:rPr>
                <w:rFonts w:hint="eastAsia"/>
                <w:color w:val="auto"/>
                <w:lang w:val="en-US" w:eastAsia="zh-CN"/>
              </w:rPr>
              <w:t>电机制造381</w:t>
            </w:r>
            <w:r>
              <w:rPr>
                <w:rFonts w:hint="eastAsia"/>
                <w:color w:val="auto"/>
              </w:rPr>
              <w:t>”中“其他</w:t>
            </w:r>
            <w:r>
              <w:rPr>
                <w:rFonts w:hint="eastAsia"/>
                <w:color w:val="auto"/>
                <w:kern w:val="0"/>
                <w:sz w:val="21"/>
              </w:rPr>
              <w:t>（仅分割、焊接、组装的除外；年用非溶剂型低VOCs含量涂料10吨以下的除外）</w:t>
            </w:r>
            <w:r>
              <w:rPr>
                <w:rFonts w:hint="eastAsia"/>
                <w:color w:val="auto"/>
              </w:rPr>
              <w:t>”</w:t>
            </w:r>
            <w:r>
              <w:rPr>
                <w:color w:val="auto"/>
              </w:rPr>
              <w:t>，应编制环境影响报告表。</w:t>
            </w:r>
          </w:p>
          <w:p w14:paraId="20391F15">
            <w:pPr>
              <w:adjustRightInd w:val="0"/>
              <w:snapToGrid w:val="0"/>
              <w:spacing w:line="360" w:lineRule="auto"/>
              <w:ind w:firstLine="420" w:firstLineChars="200"/>
              <w:rPr>
                <w:rFonts w:cs="宋体"/>
                <w:color w:val="auto"/>
              </w:rPr>
            </w:pPr>
            <w:r>
              <w:rPr>
                <w:rFonts w:hint="eastAsia" w:cs="新宋体"/>
                <w:color w:val="auto"/>
                <w:kern w:val="0"/>
                <w:lang w:eastAsia="zh-CN" w:bidi="ar"/>
              </w:rPr>
              <w:t>常州市永峰风能设备制造有限公司</w:t>
            </w:r>
            <w:r>
              <w:rPr>
                <w:rFonts w:hint="eastAsia" w:cs="宋体"/>
                <w:color w:val="auto"/>
              </w:rPr>
              <w:t>委托我单位承担本项目环境影响报告表的编制工作。我单位接受委托后，即进行了现场调查及资料收集；因此我公司通过对有关资料的收集、整理和分析计算，根据编制技术指南要求和有关规范编制了该项目的环境影响报告表，经项目建设单位确认，供环保部门审查批准。</w:t>
            </w:r>
          </w:p>
          <w:p w14:paraId="7F877670">
            <w:pPr>
              <w:autoSpaceDE w:val="0"/>
              <w:autoSpaceDN w:val="0"/>
              <w:adjustRightInd w:val="0"/>
              <w:snapToGrid w:val="0"/>
              <w:spacing w:line="360" w:lineRule="auto"/>
              <w:jc w:val="left"/>
              <w:rPr>
                <w:rFonts w:cs="宋体"/>
                <w:b/>
                <w:bCs/>
                <w:color w:val="auto"/>
                <w:kern w:val="0"/>
                <w:lang w:bidi="ar"/>
              </w:rPr>
            </w:pPr>
            <w:r>
              <w:rPr>
                <w:rFonts w:hint="eastAsia" w:cs="宋体"/>
                <w:b/>
                <w:bCs/>
                <w:color w:val="auto"/>
              </w:rPr>
              <w:t xml:space="preserve">2.1.2 </w:t>
            </w:r>
            <w:r>
              <w:rPr>
                <w:rFonts w:hint="eastAsia" w:cs="宋体"/>
                <w:b/>
                <w:bCs/>
                <w:color w:val="auto"/>
                <w:kern w:val="0"/>
                <w:lang w:bidi="ar"/>
              </w:rPr>
              <w:t>项目产品方案</w:t>
            </w:r>
          </w:p>
          <w:p w14:paraId="4DDA2B8C">
            <w:pPr>
              <w:pStyle w:val="5"/>
              <w:adjustRightInd w:val="0"/>
              <w:snapToGrid w:val="0"/>
              <w:spacing w:line="360" w:lineRule="auto"/>
              <w:ind w:firstLineChars="200"/>
              <w:rPr>
                <w:rFonts w:cs="宋体"/>
                <w:color w:val="auto"/>
                <w:szCs w:val="21"/>
              </w:rPr>
            </w:pPr>
            <w:r>
              <w:rPr>
                <w:rFonts w:hint="eastAsia" w:cs="宋体"/>
                <w:color w:val="auto"/>
                <w:szCs w:val="21"/>
              </w:rPr>
              <w:t>项目主要产品方案如下：</w:t>
            </w:r>
          </w:p>
          <w:p w14:paraId="04DAF619">
            <w:pPr>
              <w:pStyle w:val="16"/>
              <w:keepNext/>
              <w:adjustRightInd w:val="0"/>
              <w:snapToGrid w:val="0"/>
              <w:jc w:val="center"/>
              <w:rPr>
                <w:rFonts w:ascii="Times New Roman" w:hAnsi="Times New Roman" w:eastAsia="宋体"/>
                <w:b/>
                <w:color w:val="auto"/>
                <w:sz w:val="21"/>
                <w:szCs w:val="21"/>
              </w:rPr>
            </w:pPr>
            <w:r>
              <w:rPr>
                <w:rFonts w:hint="eastAsia" w:ascii="Times New Roman" w:hAnsi="Times New Roman" w:eastAsia="宋体" w:cs="宋体"/>
                <w:b/>
                <w:color w:val="auto"/>
                <w:sz w:val="21"/>
                <w:szCs w:val="21"/>
              </w:rPr>
              <w:t>表2-1   项目产品方案</w:t>
            </w:r>
          </w:p>
          <w:tbl>
            <w:tblPr>
              <w:tblStyle w:val="59"/>
              <w:tblW w:w="4998"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2640"/>
              <w:gridCol w:w="3262"/>
              <w:gridCol w:w="2644"/>
            </w:tblGrid>
            <w:tr w14:paraId="300E197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jc w:val="center"/>
              </w:trPr>
              <w:tc>
                <w:tcPr>
                  <w:tcW w:w="1544" w:type="pct"/>
                  <w:tcBorders>
                    <w:tl2br w:val="nil"/>
                    <w:tr2bl w:val="nil"/>
                  </w:tcBorders>
                  <w:vAlign w:val="center"/>
                </w:tcPr>
                <w:p w14:paraId="484EB435">
                  <w:pPr>
                    <w:widowControl/>
                    <w:adjustRightInd w:val="0"/>
                    <w:snapToGrid w:val="0"/>
                    <w:jc w:val="center"/>
                    <w:rPr>
                      <w:rFonts w:hint="default" w:ascii="Times New Roman" w:hAnsi="Times New Roman" w:cs="Times New Roman"/>
                      <w:b/>
                      <w:bCs/>
                      <w:color w:val="auto"/>
                      <w:kern w:val="0"/>
                    </w:rPr>
                  </w:pPr>
                  <w:r>
                    <w:rPr>
                      <w:rFonts w:hint="default" w:ascii="Times New Roman" w:hAnsi="Times New Roman" w:cs="Times New Roman"/>
                      <w:b/>
                      <w:bCs/>
                      <w:color w:val="auto"/>
                      <w:kern w:val="0"/>
                    </w:rPr>
                    <w:t>产品名称</w:t>
                  </w:r>
                </w:p>
              </w:tc>
              <w:tc>
                <w:tcPr>
                  <w:tcW w:w="1908" w:type="pct"/>
                  <w:tcBorders>
                    <w:tl2br w:val="nil"/>
                    <w:tr2bl w:val="nil"/>
                  </w:tcBorders>
                  <w:vAlign w:val="center"/>
                </w:tcPr>
                <w:p w14:paraId="3FA3FFEF">
                  <w:pPr>
                    <w:widowControl/>
                    <w:adjustRightInd w:val="0"/>
                    <w:snapToGrid w:val="0"/>
                    <w:jc w:val="center"/>
                    <w:rPr>
                      <w:rFonts w:hint="default" w:ascii="Times New Roman" w:hAnsi="Times New Roman" w:cs="Times New Roman"/>
                      <w:b/>
                      <w:bCs/>
                      <w:color w:val="auto"/>
                      <w:kern w:val="0"/>
                    </w:rPr>
                  </w:pPr>
                  <w:r>
                    <w:rPr>
                      <w:rFonts w:hint="default" w:ascii="Times New Roman" w:hAnsi="Times New Roman" w:cs="Times New Roman"/>
                      <w:b/>
                      <w:bCs/>
                      <w:color w:val="auto"/>
                      <w:kern w:val="0"/>
                    </w:rPr>
                    <w:t>设计能力</w:t>
                  </w:r>
                </w:p>
              </w:tc>
              <w:tc>
                <w:tcPr>
                  <w:tcW w:w="1546" w:type="pct"/>
                  <w:tcBorders>
                    <w:tl2br w:val="nil"/>
                    <w:tr2bl w:val="nil"/>
                  </w:tcBorders>
                  <w:vAlign w:val="center"/>
                </w:tcPr>
                <w:p w14:paraId="17476458">
                  <w:pPr>
                    <w:widowControl/>
                    <w:adjustRightInd w:val="0"/>
                    <w:snapToGrid w:val="0"/>
                    <w:jc w:val="center"/>
                    <w:rPr>
                      <w:rFonts w:hint="default" w:ascii="Times New Roman" w:hAnsi="Times New Roman" w:cs="Times New Roman"/>
                      <w:b/>
                      <w:bCs/>
                      <w:color w:val="auto"/>
                      <w:kern w:val="0"/>
                    </w:rPr>
                  </w:pPr>
                  <w:r>
                    <w:rPr>
                      <w:rFonts w:hint="default" w:ascii="Times New Roman" w:hAnsi="Times New Roman" w:cs="Times New Roman"/>
                      <w:b/>
                      <w:bCs/>
                      <w:color w:val="auto"/>
                      <w:kern w:val="0"/>
                    </w:rPr>
                    <w:t>年运行时数</w:t>
                  </w:r>
                </w:p>
              </w:tc>
            </w:tr>
            <w:tr w14:paraId="4129867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jc w:val="center"/>
              </w:trPr>
              <w:tc>
                <w:tcPr>
                  <w:tcW w:w="1544" w:type="pct"/>
                  <w:tcBorders>
                    <w:tl2br w:val="nil"/>
                    <w:tr2bl w:val="nil"/>
                  </w:tcBorders>
                  <w:vAlign w:val="center"/>
                </w:tcPr>
                <w:p w14:paraId="1126B696">
                  <w:pPr>
                    <w:keepNext/>
                    <w:adjustRightInd w:val="0"/>
                    <w:snapToGrid w:val="0"/>
                    <w:jc w:val="center"/>
                    <w:rPr>
                      <w:rFonts w:hint="default" w:ascii="Times New Roman" w:hAnsi="Times New Roman" w:cs="Times New Roman"/>
                      <w:color w:val="auto"/>
                      <w:kern w:val="0"/>
                    </w:rPr>
                  </w:pPr>
                  <w:r>
                    <w:rPr>
                      <w:rFonts w:hint="eastAsia" w:cs="Times New Roman"/>
                      <w:color w:val="auto"/>
                      <w:szCs w:val="21"/>
                      <w:lang w:val="en-US" w:eastAsia="zh-CN"/>
                    </w:rPr>
                    <w:t>风电主轴</w:t>
                  </w:r>
                </w:p>
              </w:tc>
              <w:tc>
                <w:tcPr>
                  <w:tcW w:w="1908" w:type="pct"/>
                  <w:tcBorders>
                    <w:tl2br w:val="nil"/>
                    <w:tr2bl w:val="nil"/>
                  </w:tcBorders>
                  <w:vAlign w:val="center"/>
                </w:tcPr>
                <w:p w14:paraId="7E6BB3A2">
                  <w:pPr>
                    <w:widowControl/>
                    <w:adjustRightInd w:val="0"/>
                    <w:snapToGrid w:val="0"/>
                    <w:jc w:val="center"/>
                    <w:rPr>
                      <w:rFonts w:hint="default" w:ascii="Times New Roman" w:hAnsi="Times New Roman" w:cs="Times New Roman"/>
                      <w:color w:val="auto"/>
                      <w:kern w:val="0"/>
                      <w:lang w:val="en-US" w:eastAsia="zh-CN"/>
                    </w:rPr>
                  </w:pPr>
                  <w:r>
                    <w:rPr>
                      <w:rFonts w:hint="eastAsia" w:cs="Times New Roman"/>
                      <w:color w:val="auto"/>
                      <w:kern w:val="0"/>
                      <w:lang w:val="en-US" w:eastAsia="zh-CN"/>
                    </w:rPr>
                    <w:t>1000件</w:t>
                  </w:r>
                </w:p>
              </w:tc>
              <w:tc>
                <w:tcPr>
                  <w:tcW w:w="1546" w:type="pct"/>
                  <w:vMerge w:val="restart"/>
                  <w:tcBorders>
                    <w:tl2br w:val="nil"/>
                    <w:tr2bl w:val="nil"/>
                  </w:tcBorders>
                  <w:vAlign w:val="center"/>
                </w:tcPr>
                <w:p w14:paraId="64214CE1">
                  <w:pPr>
                    <w:adjustRightInd w:val="0"/>
                    <w:snapToGrid w:val="0"/>
                    <w:jc w:val="center"/>
                    <w:rPr>
                      <w:rFonts w:hint="default" w:ascii="Times New Roman" w:hAnsi="Times New Roman" w:eastAsia="宋体" w:cs="Times New Roman"/>
                      <w:color w:val="auto"/>
                      <w:kern w:val="0"/>
                      <w:lang w:val="en-US" w:eastAsia="zh-CN"/>
                    </w:rPr>
                  </w:pPr>
                  <w:r>
                    <w:rPr>
                      <w:rFonts w:hint="eastAsia" w:cs="Times New Roman"/>
                      <w:color w:val="auto"/>
                      <w:kern w:val="0"/>
                      <w:lang w:val="en-US" w:eastAsia="zh-CN"/>
                    </w:rPr>
                    <w:t>300</w:t>
                  </w:r>
                  <w:r>
                    <w:rPr>
                      <w:rFonts w:hint="default" w:ascii="Times New Roman" w:hAnsi="Times New Roman" w:cs="Times New Roman"/>
                      <w:color w:val="auto"/>
                      <w:kern w:val="0"/>
                      <w:lang w:val="en-US" w:eastAsia="zh-CN"/>
                    </w:rPr>
                    <w:t>d×</w:t>
                  </w:r>
                  <w:r>
                    <w:rPr>
                      <w:rFonts w:hint="eastAsia" w:cs="Times New Roman"/>
                      <w:color w:val="auto"/>
                      <w:kern w:val="0"/>
                      <w:lang w:val="en-US" w:eastAsia="zh-CN"/>
                    </w:rPr>
                    <w:t>10</w:t>
                  </w:r>
                  <w:r>
                    <w:rPr>
                      <w:rFonts w:hint="default" w:ascii="Times New Roman" w:hAnsi="Times New Roman" w:cs="Times New Roman"/>
                      <w:color w:val="auto"/>
                      <w:kern w:val="0"/>
                      <w:lang w:val="en-US" w:eastAsia="zh-CN"/>
                    </w:rPr>
                    <w:t>h＝</w:t>
                  </w:r>
                  <w:r>
                    <w:rPr>
                      <w:rFonts w:hint="eastAsia" w:cs="Times New Roman"/>
                      <w:color w:val="auto"/>
                      <w:kern w:val="0"/>
                      <w:lang w:val="en-US" w:eastAsia="zh-CN"/>
                    </w:rPr>
                    <w:t>3000</w:t>
                  </w:r>
                  <w:r>
                    <w:rPr>
                      <w:rFonts w:hint="default" w:ascii="Times New Roman" w:hAnsi="Times New Roman" w:cs="Times New Roman"/>
                      <w:color w:val="auto"/>
                      <w:kern w:val="0"/>
                      <w:lang w:val="en-US" w:eastAsia="zh-CN"/>
                    </w:rPr>
                    <w:t>h</w:t>
                  </w:r>
                </w:p>
              </w:tc>
            </w:tr>
            <w:tr w14:paraId="7F80B66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jc w:val="center"/>
              </w:trPr>
              <w:tc>
                <w:tcPr>
                  <w:tcW w:w="1544" w:type="pct"/>
                  <w:tcBorders>
                    <w:tl2br w:val="nil"/>
                    <w:tr2bl w:val="nil"/>
                  </w:tcBorders>
                  <w:vAlign w:val="center"/>
                </w:tcPr>
                <w:p w14:paraId="3885BF93">
                  <w:pPr>
                    <w:keepNext/>
                    <w:adjustRightInd w:val="0"/>
                    <w:snapToGrid w:val="0"/>
                    <w:jc w:val="center"/>
                    <w:rPr>
                      <w:rFonts w:hint="default" w:ascii="Times New Roman" w:hAnsi="Times New Roman" w:eastAsia="宋体" w:cs="Times New Roman"/>
                      <w:color w:val="auto"/>
                      <w:kern w:val="0"/>
                      <w:lang w:val="en-US" w:eastAsia="zh-CN"/>
                    </w:rPr>
                  </w:pPr>
                  <w:r>
                    <w:rPr>
                      <w:rFonts w:hint="eastAsia" w:cs="Times New Roman"/>
                      <w:color w:val="auto"/>
                      <w:szCs w:val="21"/>
                      <w:lang w:val="en-US" w:eastAsia="zh-CN"/>
                    </w:rPr>
                    <w:t>风电轴承座</w:t>
                  </w:r>
                </w:p>
              </w:tc>
              <w:tc>
                <w:tcPr>
                  <w:tcW w:w="1908" w:type="pct"/>
                  <w:tcBorders>
                    <w:tl2br w:val="nil"/>
                    <w:tr2bl w:val="nil"/>
                  </w:tcBorders>
                  <w:vAlign w:val="center"/>
                </w:tcPr>
                <w:p w14:paraId="2942E24E">
                  <w:pPr>
                    <w:widowControl/>
                    <w:adjustRightInd w:val="0"/>
                    <w:snapToGrid w:val="0"/>
                    <w:jc w:val="center"/>
                    <w:rPr>
                      <w:rFonts w:hint="default" w:ascii="Times New Roman" w:hAnsi="Times New Roman" w:cs="Times New Roman"/>
                      <w:color w:val="auto"/>
                      <w:kern w:val="0"/>
                      <w:lang w:val="en-US" w:eastAsia="zh-CN"/>
                    </w:rPr>
                  </w:pPr>
                  <w:r>
                    <w:rPr>
                      <w:rFonts w:hint="eastAsia" w:cs="Times New Roman"/>
                      <w:color w:val="auto"/>
                      <w:kern w:val="0"/>
                      <w:lang w:val="en-US" w:eastAsia="zh-CN"/>
                    </w:rPr>
                    <w:t>5000件</w:t>
                  </w:r>
                </w:p>
              </w:tc>
              <w:tc>
                <w:tcPr>
                  <w:tcW w:w="1546" w:type="pct"/>
                  <w:vMerge w:val="continue"/>
                  <w:tcBorders>
                    <w:tl2br w:val="nil"/>
                    <w:tr2bl w:val="nil"/>
                  </w:tcBorders>
                  <w:vAlign w:val="center"/>
                </w:tcPr>
                <w:p w14:paraId="76332C19">
                  <w:pPr>
                    <w:adjustRightInd w:val="0"/>
                    <w:snapToGrid w:val="0"/>
                    <w:jc w:val="center"/>
                    <w:rPr>
                      <w:rFonts w:hint="default" w:ascii="Times New Roman" w:hAnsi="Times New Roman" w:cs="Times New Roman"/>
                      <w:color w:val="auto"/>
                      <w:kern w:val="0"/>
                    </w:rPr>
                  </w:pPr>
                </w:p>
              </w:tc>
            </w:tr>
            <w:tr w14:paraId="5FC2107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jc w:val="center"/>
              </w:trPr>
              <w:tc>
                <w:tcPr>
                  <w:tcW w:w="1544" w:type="pct"/>
                  <w:tcBorders>
                    <w:tl2br w:val="nil"/>
                    <w:tr2bl w:val="nil"/>
                  </w:tcBorders>
                  <w:vAlign w:val="center"/>
                </w:tcPr>
                <w:p w14:paraId="4BD720D6">
                  <w:pPr>
                    <w:keepNext/>
                    <w:adjustRightInd w:val="0"/>
                    <w:snapToGrid w:val="0"/>
                    <w:jc w:val="center"/>
                    <w:rPr>
                      <w:rFonts w:hint="default" w:ascii="Times New Roman" w:hAnsi="Times New Roman" w:cs="Times New Roman"/>
                      <w:color w:val="auto"/>
                      <w:kern w:val="0"/>
                      <w:lang w:val="en-US" w:eastAsia="zh-CN"/>
                    </w:rPr>
                  </w:pPr>
                  <w:r>
                    <w:rPr>
                      <w:rFonts w:hint="eastAsia" w:cs="Times New Roman"/>
                      <w:color w:val="auto"/>
                      <w:szCs w:val="21"/>
                      <w:lang w:val="en-US" w:eastAsia="zh-CN"/>
                    </w:rPr>
                    <w:t>风电机架和轮毂</w:t>
                  </w:r>
                </w:p>
              </w:tc>
              <w:tc>
                <w:tcPr>
                  <w:tcW w:w="1908" w:type="pct"/>
                  <w:tcBorders>
                    <w:tl2br w:val="nil"/>
                    <w:tr2bl w:val="nil"/>
                  </w:tcBorders>
                  <w:vAlign w:val="center"/>
                </w:tcPr>
                <w:p w14:paraId="2C376A74">
                  <w:pPr>
                    <w:widowControl/>
                    <w:adjustRightInd w:val="0"/>
                    <w:snapToGrid w:val="0"/>
                    <w:jc w:val="center"/>
                    <w:rPr>
                      <w:rFonts w:hint="default" w:ascii="Times New Roman" w:hAnsi="Times New Roman" w:cs="Times New Roman"/>
                      <w:color w:val="auto"/>
                      <w:kern w:val="0"/>
                      <w:lang w:val="en-US" w:eastAsia="zh-CN"/>
                    </w:rPr>
                  </w:pPr>
                  <w:r>
                    <w:rPr>
                      <w:rFonts w:hint="eastAsia" w:cs="Times New Roman"/>
                      <w:color w:val="auto"/>
                      <w:kern w:val="0"/>
                      <w:lang w:val="en-US" w:eastAsia="zh-CN"/>
                    </w:rPr>
                    <w:t>1000套</w:t>
                  </w:r>
                </w:p>
              </w:tc>
              <w:tc>
                <w:tcPr>
                  <w:tcW w:w="1546" w:type="pct"/>
                  <w:vMerge w:val="continue"/>
                  <w:tcBorders>
                    <w:tl2br w:val="nil"/>
                    <w:tr2bl w:val="nil"/>
                  </w:tcBorders>
                  <w:vAlign w:val="center"/>
                </w:tcPr>
                <w:p w14:paraId="422D19B7">
                  <w:pPr>
                    <w:adjustRightInd w:val="0"/>
                    <w:snapToGrid w:val="0"/>
                    <w:jc w:val="center"/>
                    <w:rPr>
                      <w:rFonts w:hint="default" w:ascii="Times New Roman" w:hAnsi="Times New Roman" w:cs="Times New Roman"/>
                      <w:color w:val="auto"/>
                      <w:kern w:val="0"/>
                    </w:rPr>
                  </w:pPr>
                </w:p>
              </w:tc>
            </w:tr>
          </w:tbl>
          <w:p w14:paraId="744CBEB1">
            <w:pPr>
              <w:keepNext w:val="0"/>
              <w:keepLines w:val="0"/>
              <w:pageBreakBefore w:val="0"/>
              <w:widowControl w:val="0"/>
              <w:kinsoku/>
              <w:wordWrap/>
              <w:overflowPunct/>
              <w:topLinePunct w:val="0"/>
              <w:autoSpaceDE w:val="0"/>
              <w:autoSpaceDN w:val="0"/>
              <w:bidi w:val="0"/>
              <w:adjustRightInd w:val="0"/>
              <w:snapToGrid w:val="0"/>
              <w:spacing w:line="360" w:lineRule="auto"/>
              <w:ind w:firstLine="422" w:firstLineChars="200"/>
              <w:jc w:val="both"/>
              <w:textAlignment w:val="auto"/>
              <w:rPr>
                <w:rFonts w:hint="default" w:eastAsia="宋体" w:cs="宋体"/>
                <w:b/>
                <w:bCs/>
                <w:color w:val="auto"/>
                <w:lang w:val="en-US" w:eastAsia="zh-CN"/>
              </w:rPr>
            </w:pPr>
            <w:r>
              <w:rPr>
                <w:rFonts w:hint="eastAsia" w:cs="宋体"/>
                <w:b/>
                <w:bCs/>
                <w:color w:val="auto"/>
                <w:lang w:val="en-US" w:eastAsia="zh-CN"/>
              </w:rPr>
              <w:t>涂料使用量合理性分析：</w:t>
            </w:r>
          </w:p>
          <w:p w14:paraId="075ADFC4">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jc w:val="both"/>
              <w:textAlignment w:val="auto"/>
              <w:rPr>
                <w:rFonts w:hint="default" w:cs="宋体"/>
                <w:b w:val="0"/>
                <w:bCs w:val="0"/>
                <w:color w:val="auto"/>
                <w:kern w:val="0"/>
                <w:sz w:val="21"/>
                <w:lang w:val="en-US" w:eastAsia="zh-CN"/>
              </w:rPr>
            </w:pPr>
            <w:r>
              <w:rPr>
                <w:rFonts w:hint="eastAsia" w:cs="宋体"/>
                <w:b w:val="0"/>
                <w:bCs w:val="0"/>
                <w:color w:val="auto"/>
                <w:kern w:val="0"/>
                <w:sz w:val="21"/>
                <w:lang w:val="en-US" w:eastAsia="zh-CN"/>
              </w:rPr>
              <w:t>本项目产品的应用领域为户外，风电主轴、风电轴承座、风电机架和轮毂部位通常需要用螺丝紧固安装，故螺丝周边连接件范围为集中受力区域，其表面部分直接承受了紧固安装产生的压力和摩擦力，从而导致对该部分产品的耐磨性等性能要求较高，因此对连接部位喷涂溶剂型涂料增加其耐腐蚀及耐磨性。</w:t>
            </w:r>
          </w:p>
          <w:p w14:paraId="1F3B1166">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jc w:val="both"/>
              <w:textAlignment w:val="auto"/>
              <w:rPr>
                <w:rFonts w:hint="default" w:ascii="Times New Roman" w:hAnsi="Times New Roman" w:cs="Times New Roman"/>
                <w:b w:val="0"/>
                <w:bCs w:val="0"/>
                <w:color w:val="auto"/>
                <w:kern w:val="0"/>
                <w:sz w:val="21"/>
                <w:lang w:val="en-US" w:eastAsia="zh-CN"/>
              </w:rPr>
            </w:pPr>
            <w:r>
              <w:rPr>
                <w:rFonts w:hint="default" w:ascii="Times New Roman" w:hAnsi="Times New Roman" w:cs="Times New Roman"/>
                <w:b w:val="0"/>
                <w:bCs w:val="0"/>
                <w:color w:val="auto"/>
                <w:kern w:val="0"/>
                <w:sz w:val="21"/>
                <w:lang w:val="en-US" w:eastAsia="zh-CN"/>
              </w:rPr>
              <w:t>项目风电主轴水性漆喷涂面积约为4000</w:t>
            </w:r>
            <w:r>
              <w:rPr>
                <w:rFonts w:hint="default" w:ascii="Times New Roman" w:hAnsi="Times New Roman" w:cs="Times New Roman"/>
                <w:b w:val="0"/>
                <w:bCs w:val="0"/>
                <w:color w:val="auto"/>
              </w:rPr>
              <w:t>m</w:t>
            </w:r>
            <w:r>
              <w:rPr>
                <w:rFonts w:hint="default" w:ascii="Times New Roman" w:hAnsi="Times New Roman" w:cs="Times New Roman"/>
                <w:b w:val="0"/>
                <w:bCs w:val="0"/>
                <w:color w:val="auto"/>
                <w:vertAlign w:val="superscript"/>
                <w:lang w:val="en-US" w:eastAsia="zh-CN"/>
              </w:rPr>
              <w:t>2</w:t>
            </w:r>
            <w:r>
              <w:rPr>
                <w:rFonts w:hint="default" w:ascii="Times New Roman" w:hAnsi="Times New Roman" w:cs="Times New Roman"/>
                <w:b w:val="0"/>
                <w:bCs w:val="0"/>
                <w:color w:val="auto"/>
                <w:kern w:val="0"/>
                <w:sz w:val="21"/>
                <w:lang w:val="en-US" w:eastAsia="zh-CN"/>
              </w:rPr>
              <w:t>、油性漆喷涂面积约为4000</w:t>
            </w:r>
            <w:r>
              <w:rPr>
                <w:rFonts w:hint="default" w:ascii="Times New Roman" w:hAnsi="Times New Roman" w:cs="Times New Roman"/>
                <w:b w:val="0"/>
                <w:bCs w:val="0"/>
                <w:color w:val="auto"/>
              </w:rPr>
              <w:t>m</w:t>
            </w:r>
            <w:r>
              <w:rPr>
                <w:rFonts w:hint="default" w:ascii="Times New Roman" w:hAnsi="Times New Roman" w:cs="Times New Roman"/>
                <w:b w:val="0"/>
                <w:bCs w:val="0"/>
                <w:color w:val="auto"/>
                <w:vertAlign w:val="superscript"/>
                <w:lang w:val="en-US" w:eastAsia="zh-CN"/>
              </w:rPr>
              <w:t>2</w:t>
            </w:r>
            <w:r>
              <w:rPr>
                <w:rFonts w:hint="default" w:ascii="Times New Roman" w:hAnsi="Times New Roman" w:cs="Times New Roman"/>
                <w:b w:val="0"/>
                <w:bCs w:val="0"/>
                <w:color w:val="auto"/>
                <w:kern w:val="0"/>
                <w:sz w:val="21"/>
                <w:lang w:val="en-US" w:eastAsia="zh-CN"/>
              </w:rPr>
              <w:t>；风电轴承座水性漆喷涂面积约为10000</w:t>
            </w:r>
            <w:r>
              <w:rPr>
                <w:rFonts w:hint="default" w:ascii="Times New Roman" w:hAnsi="Times New Roman" w:cs="Times New Roman"/>
                <w:b w:val="0"/>
                <w:bCs w:val="0"/>
                <w:color w:val="auto"/>
              </w:rPr>
              <w:t>m</w:t>
            </w:r>
            <w:r>
              <w:rPr>
                <w:rFonts w:hint="default" w:ascii="Times New Roman" w:hAnsi="Times New Roman" w:cs="Times New Roman"/>
                <w:b w:val="0"/>
                <w:bCs w:val="0"/>
                <w:color w:val="auto"/>
                <w:vertAlign w:val="superscript"/>
                <w:lang w:val="en-US" w:eastAsia="zh-CN"/>
              </w:rPr>
              <w:t>2</w:t>
            </w:r>
            <w:r>
              <w:rPr>
                <w:rFonts w:hint="default" w:ascii="Times New Roman" w:hAnsi="Times New Roman" w:cs="Times New Roman"/>
                <w:b w:val="0"/>
                <w:bCs w:val="0"/>
                <w:color w:val="auto"/>
                <w:kern w:val="0"/>
                <w:sz w:val="21"/>
                <w:lang w:val="en-US" w:eastAsia="zh-CN"/>
              </w:rPr>
              <w:t>、油性漆喷涂面积约为5000</w:t>
            </w:r>
            <w:r>
              <w:rPr>
                <w:rFonts w:hint="default" w:ascii="Times New Roman" w:hAnsi="Times New Roman" w:cs="Times New Roman"/>
                <w:b w:val="0"/>
                <w:bCs w:val="0"/>
                <w:color w:val="auto"/>
              </w:rPr>
              <w:t>m</w:t>
            </w:r>
            <w:r>
              <w:rPr>
                <w:rFonts w:hint="default" w:ascii="Times New Roman" w:hAnsi="Times New Roman" w:cs="Times New Roman"/>
                <w:b w:val="0"/>
                <w:bCs w:val="0"/>
                <w:color w:val="auto"/>
                <w:vertAlign w:val="superscript"/>
                <w:lang w:val="en-US" w:eastAsia="zh-CN"/>
              </w:rPr>
              <w:t>2</w:t>
            </w:r>
            <w:r>
              <w:rPr>
                <w:rFonts w:hint="default" w:ascii="Times New Roman" w:hAnsi="Times New Roman" w:cs="Times New Roman"/>
                <w:b w:val="0"/>
                <w:bCs w:val="0"/>
                <w:color w:val="auto"/>
                <w:kern w:val="0"/>
                <w:sz w:val="21"/>
                <w:lang w:val="en-US" w:eastAsia="zh-CN"/>
              </w:rPr>
              <w:t>；风电机架和轮毂水性漆喷涂面积约为3000</w:t>
            </w:r>
            <w:r>
              <w:rPr>
                <w:rFonts w:hint="default" w:ascii="Times New Roman" w:hAnsi="Times New Roman" w:cs="Times New Roman"/>
                <w:b w:val="0"/>
                <w:bCs w:val="0"/>
                <w:color w:val="auto"/>
              </w:rPr>
              <w:t>m</w:t>
            </w:r>
            <w:r>
              <w:rPr>
                <w:rFonts w:hint="default" w:ascii="Times New Roman" w:hAnsi="Times New Roman" w:cs="Times New Roman"/>
                <w:b w:val="0"/>
                <w:bCs w:val="0"/>
                <w:color w:val="auto"/>
                <w:vertAlign w:val="superscript"/>
                <w:lang w:val="en-US" w:eastAsia="zh-CN"/>
              </w:rPr>
              <w:t>2</w:t>
            </w:r>
            <w:r>
              <w:rPr>
                <w:rFonts w:hint="default" w:ascii="Times New Roman" w:hAnsi="Times New Roman" w:cs="Times New Roman"/>
                <w:b w:val="0"/>
                <w:bCs w:val="0"/>
                <w:color w:val="auto"/>
                <w:kern w:val="0"/>
                <w:sz w:val="21"/>
                <w:lang w:val="en-US" w:eastAsia="zh-CN"/>
              </w:rPr>
              <w:t>、油性漆喷涂面积约为1000</w:t>
            </w:r>
            <w:r>
              <w:rPr>
                <w:rFonts w:hint="default" w:ascii="Times New Roman" w:hAnsi="Times New Roman" w:cs="Times New Roman"/>
                <w:b w:val="0"/>
                <w:bCs w:val="0"/>
                <w:color w:val="auto"/>
              </w:rPr>
              <w:t>m</w:t>
            </w:r>
            <w:r>
              <w:rPr>
                <w:rFonts w:hint="default" w:ascii="Times New Roman" w:hAnsi="Times New Roman" w:cs="Times New Roman"/>
                <w:b w:val="0"/>
                <w:bCs w:val="0"/>
                <w:color w:val="auto"/>
                <w:vertAlign w:val="superscript"/>
                <w:lang w:val="en-US" w:eastAsia="zh-CN"/>
              </w:rPr>
              <w:t>2</w:t>
            </w:r>
            <w:r>
              <w:rPr>
                <w:rFonts w:hint="default" w:ascii="Times New Roman" w:hAnsi="Times New Roman" w:cs="Times New Roman"/>
                <w:b w:val="0"/>
                <w:bCs w:val="0"/>
                <w:color w:val="auto"/>
                <w:kern w:val="0"/>
                <w:sz w:val="21"/>
                <w:lang w:val="en-US" w:eastAsia="zh-CN"/>
              </w:rPr>
              <w:t>；风电主轴油性底漆漆膜厚度为40μm、油性面漆漆膜厚度为45μm、水性底漆漆膜厚度为50μm、水性面漆漆膜厚度为</w:t>
            </w:r>
            <w:r>
              <w:rPr>
                <w:rFonts w:hint="eastAsia" w:cs="Times New Roman"/>
                <w:b w:val="0"/>
                <w:bCs w:val="0"/>
                <w:color w:val="auto"/>
                <w:kern w:val="0"/>
                <w:sz w:val="21"/>
                <w:lang w:val="en-US" w:eastAsia="zh-CN"/>
              </w:rPr>
              <w:t>55</w:t>
            </w:r>
            <w:r>
              <w:rPr>
                <w:rFonts w:hint="default" w:ascii="Times New Roman" w:hAnsi="Times New Roman" w:cs="Times New Roman"/>
                <w:b w:val="0"/>
                <w:bCs w:val="0"/>
                <w:color w:val="auto"/>
                <w:kern w:val="0"/>
                <w:sz w:val="21"/>
                <w:lang w:val="en-US" w:eastAsia="zh-CN"/>
              </w:rPr>
              <w:t>μm；风电轴承座油性底漆漆膜厚度为50μm、油性面漆漆膜厚度为40μm、水性底漆漆膜厚度为60μm、水性面漆漆膜厚度为</w:t>
            </w:r>
            <w:r>
              <w:rPr>
                <w:rFonts w:hint="eastAsia" w:cs="Times New Roman"/>
                <w:b w:val="0"/>
                <w:bCs w:val="0"/>
                <w:color w:val="auto"/>
                <w:kern w:val="0"/>
                <w:sz w:val="21"/>
                <w:lang w:val="en-US" w:eastAsia="zh-CN"/>
              </w:rPr>
              <w:t>65</w:t>
            </w:r>
            <w:r>
              <w:rPr>
                <w:rFonts w:hint="default" w:ascii="Times New Roman" w:hAnsi="Times New Roman" w:cs="Times New Roman"/>
                <w:b w:val="0"/>
                <w:bCs w:val="0"/>
                <w:color w:val="auto"/>
                <w:kern w:val="0"/>
                <w:sz w:val="21"/>
                <w:lang w:val="en-US" w:eastAsia="zh-CN"/>
              </w:rPr>
              <w:t>μm；风电机架和轮毂油性底漆漆膜厚度为45μm、油性面漆漆膜厚度为35μm、水性底漆漆膜厚度为45μm、水性面漆漆膜厚度为</w:t>
            </w:r>
            <w:r>
              <w:rPr>
                <w:rFonts w:hint="eastAsia" w:cs="Times New Roman"/>
                <w:b w:val="0"/>
                <w:bCs w:val="0"/>
                <w:color w:val="auto"/>
                <w:kern w:val="0"/>
                <w:sz w:val="21"/>
                <w:lang w:val="en-US" w:eastAsia="zh-CN"/>
              </w:rPr>
              <w:t>60</w:t>
            </w:r>
            <w:r>
              <w:rPr>
                <w:rFonts w:hint="default" w:ascii="Times New Roman" w:hAnsi="Times New Roman" w:cs="Times New Roman"/>
                <w:b w:val="0"/>
                <w:bCs w:val="0"/>
                <w:color w:val="auto"/>
                <w:kern w:val="0"/>
                <w:sz w:val="21"/>
                <w:lang w:val="en-US" w:eastAsia="zh-CN"/>
              </w:rPr>
              <w:t>μm。</w:t>
            </w:r>
          </w:p>
          <w:p w14:paraId="2675BBD0">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jc w:val="both"/>
              <w:textAlignment w:val="auto"/>
              <w:rPr>
                <w:rFonts w:hint="default" w:cs="宋体"/>
                <w:b w:val="0"/>
                <w:bCs w:val="0"/>
                <w:color w:val="auto"/>
                <w:kern w:val="0"/>
                <w:sz w:val="21"/>
                <w:lang w:val="en-US" w:eastAsia="zh-CN"/>
              </w:rPr>
            </w:pPr>
            <w:r>
              <w:rPr>
                <w:rFonts w:hint="eastAsia" w:cs="宋体"/>
                <w:b w:val="0"/>
                <w:bCs w:val="0"/>
                <w:color w:val="auto"/>
                <w:kern w:val="0"/>
                <w:sz w:val="21"/>
                <w:lang w:val="en-US" w:eastAsia="zh-CN"/>
              </w:rPr>
              <w:t>则水性环氧底漆喷涂总体积为0.935</w:t>
            </w:r>
            <w:r>
              <w:rPr>
                <w:b w:val="0"/>
                <w:bCs w:val="0"/>
                <w:color w:val="auto"/>
              </w:rPr>
              <w:t>m</w:t>
            </w:r>
            <w:r>
              <w:rPr>
                <w:b w:val="0"/>
                <w:bCs w:val="0"/>
                <w:color w:val="auto"/>
                <w:vertAlign w:val="superscript"/>
              </w:rPr>
              <w:t>3</w:t>
            </w:r>
            <w:r>
              <w:rPr>
                <w:rFonts w:hint="eastAsia" w:cs="宋体"/>
                <w:b w:val="0"/>
                <w:bCs w:val="0"/>
                <w:color w:val="auto"/>
                <w:kern w:val="0"/>
                <w:sz w:val="21"/>
                <w:lang w:val="en-US" w:eastAsia="zh-CN"/>
              </w:rPr>
              <w:t>、水性聚氨酯面漆喷涂总体积为1.05</w:t>
            </w:r>
            <w:r>
              <w:rPr>
                <w:b w:val="0"/>
                <w:bCs w:val="0"/>
                <w:color w:val="auto"/>
              </w:rPr>
              <w:t>m</w:t>
            </w:r>
            <w:r>
              <w:rPr>
                <w:b w:val="0"/>
                <w:bCs w:val="0"/>
                <w:color w:val="auto"/>
                <w:vertAlign w:val="superscript"/>
              </w:rPr>
              <w:t>3</w:t>
            </w:r>
            <w:r>
              <w:rPr>
                <w:rFonts w:hint="eastAsia" w:cs="宋体"/>
                <w:b w:val="0"/>
                <w:bCs w:val="0"/>
                <w:color w:val="auto"/>
                <w:kern w:val="0"/>
                <w:sz w:val="21"/>
                <w:lang w:val="en-US" w:eastAsia="zh-CN"/>
              </w:rPr>
              <w:t>；环氧底漆喷涂总体积为0.455</w:t>
            </w:r>
            <w:r>
              <w:rPr>
                <w:b w:val="0"/>
                <w:bCs w:val="0"/>
                <w:color w:val="auto"/>
              </w:rPr>
              <w:t>m</w:t>
            </w:r>
            <w:r>
              <w:rPr>
                <w:b w:val="0"/>
                <w:bCs w:val="0"/>
                <w:color w:val="auto"/>
                <w:vertAlign w:val="superscript"/>
              </w:rPr>
              <w:t>3</w:t>
            </w:r>
            <w:r>
              <w:rPr>
                <w:rFonts w:hint="eastAsia" w:cs="宋体"/>
                <w:b w:val="0"/>
                <w:bCs w:val="0"/>
                <w:color w:val="auto"/>
                <w:kern w:val="0"/>
                <w:sz w:val="21"/>
                <w:lang w:val="en-US" w:eastAsia="zh-CN"/>
              </w:rPr>
              <w:t>、聚氨酯厚浆面漆喷涂总体积为0.415</w:t>
            </w:r>
            <w:r>
              <w:rPr>
                <w:b w:val="0"/>
                <w:bCs w:val="0"/>
                <w:color w:val="auto"/>
              </w:rPr>
              <w:t>m</w:t>
            </w:r>
            <w:r>
              <w:rPr>
                <w:b w:val="0"/>
                <w:bCs w:val="0"/>
                <w:color w:val="auto"/>
                <w:vertAlign w:val="superscript"/>
              </w:rPr>
              <w:t>3</w:t>
            </w:r>
            <w:r>
              <w:rPr>
                <w:rFonts w:hint="eastAsia" w:cs="宋体"/>
                <w:b w:val="0"/>
                <w:bCs w:val="0"/>
                <w:color w:val="auto"/>
                <w:kern w:val="0"/>
                <w:sz w:val="21"/>
                <w:lang w:val="en-US" w:eastAsia="zh-CN"/>
              </w:rPr>
              <w:t>。水性环氧底漆密度2.02g/cm</w:t>
            </w:r>
            <w:r>
              <w:rPr>
                <w:rFonts w:hint="eastAsia" w:cs="宋体"/>
                <w:b w:val="0"/>
                <w:bCs w:val="0"/>
                <w:color w:val="auto"/>
                <w:kern w:val="0"/>
                <w:sz w:val="21"/>
                <w:vertAlign w:val="superscript"/>
                <w:lang w:val="en-US" w:eastAsia="zh-CN"/>
              </w:rPr>
              <w:t>3</w:t>
            </w:r>
            <w:r>
              <w:rPr>
                <w:rFonts w:hint="eastAsia" w:cs="宋体"/>
                <w:b w:val="0"/>
                <w:bCs w:val="0"/>
                <w:color w:val="auto"/>
                <w:kern w:val="0"/>
                <w:sz w:val="21"/>
                <w:lang w:val="en-US" w:eastAsia="zh-CN"/>
              </w:rPr>
              <w:t>、固含量约79%、水性聚氨酯面漆密度为1.26g/cm</w:t>
            </w:r>
            <w:r>
              <w:rPr>
                <w:rFonts w:hint="eastAsia" w:cs="宋体"/>
                <w:b w:val="0"/>
                <w:bCs w:val="0"/>
                <w:color w:val="auto"/>
                <w:kern w:val="0"/>
                <w:sz w:val="21"/>
                <w:vertAlign w:val="superscript"/>
                <w:lang w:val="en-US" w:eastAsia="zh-CN"/>
              </w:rPr>
              <w:t>3</w:t>
            </w:r>
            <w:r>
              <w:rPr>
                <w:rFonts w:hint="eastAsia" w:cs="宋体"/>
                <w:b w:val="0"/>
                <w:bCs w:val="0"/>
                <w:color w:val="auto"/>
                <w:kern w:val="0"/>
                <w:sz w:val="21"/>
                <w:lang w:val="en-US" w:eastAsia="zh-CN"/>
              </w:rPr>
              <w:t>、固含量约55%；环氧底漆密度为1.593g/cm</w:t>
            </w:r>
            <w:r>
              <w:rPr>
                <w:rFonts w:hint="eastAsia" w:cs="宋体"/>
                <w:b w:val="0"/>
                <w:bCs w:val="0"/>
                <w:color w:val="auto"/>
                <w:kern w:val="0"/>
                <w:sz w:val="21"/>
                <w:vertAlign w:val="superscript"/>
                <w:lang w:val="en-US" w:eastAsia="zh-CN"/>
              </w:rPr>
              <w:t>3</w:t>
            </w:r>
            <w:r>
              <w:rPr>
                <w:rFonts w:hint="eastAsia" w:cs="宋体"/>
                <w:b w:val="0"/>
                <w:bCs w:val="0"/>
                <w:color w:val="auto"/>
                <w:kern w:val="0"/>
                <w:sz w:val="21"/>
                <w:lang w:val="en-US" w:eastAsia="zh-CN"/>
              </w:rPr>
              <w:t>、固含量约66.9%、聚氨酯厚浆面漆密度为1.463g/cm</w:t>
            </w:r>
            <w:r>
              <w:rPr>
                <w:rFonts w:hint="eastAsia" w:cs="宋体"/>
                <w:b w:val="0"/>
                <w:bCs w:val="0"/>
                <w:color w:val="auto"/>
                <w:kern w:val="0"/>
                <w:sz w:val="21"/>
                <w:vertAlign w:val="superscript"/>
                <w:lang w:val="en-US" w:eastAsia="zh-CN"/>
              </w:rPr>
              <w:t>3</w:t>
            </w:r>
            <w:r>
              <w:rPr>
                <w:rFonts w:hint="eastAsia" w:cs="宋体"/>
                <w:b w:val="0"/>
                <w:bCs w:val="0"/>
                <w:color w:val="auto"/>
                <w:kern w:val="0"/>
                <w:sz w:val="21"/>
                <w:lang w:val="en-US" w:eastAsia="zh-CN"/>
              </w:rPr>
              <w:t>、固含量约57.7%；上漆率为75%。</w:t>
            </w:r>
          </w:p>
          <w:p w14:paraId="2B21E904">
            <w:pPr>
              <w:pStyle w:val="2"/>
              <w:keepNext/>
              <w:keepLines/>
              <w:pageBreakBefore w:val="0"/>
              <w:widowControl w:val="0"/>
              <w:kinsoku/>
              <w:wordWrap/>
              <w:overflowPunct/>
              <w:topLinePunct w:val="0"/>
              <w:autoSpaceDE/>
              <w:autoSpaceDN/>
              <w:bidi w:val="0"/>
              <w:adjustRightInd w:val="0"/>
              <w:snapToGrid w:val="0"/>
              <w:spacing w:before="0" w:after="0" w:line="360" w:lineRule="auto"/>
              <w:ind w:firstLine="420" w:firstLineChars="200"/>
              <w:textAlignment w:val="auto"/>
              <w:rPr>
                <w:rFonts w:hint="default" w:ascii="Times New Roman" w:hAnsi="Times New Roman" w:cs="Times New Roman"/>
                <w:color w:val="auto"/>
                <w:sz w:val="21"/>
                <w:szCs w:val="21"/>
                <w:lang w:val="en-US" w:eastAsia="zh-CN"/>
              </w:rPr>
            </w:pPr>
            <w:r>
              <w:rPr>
                <w:rFonts w:hint="eastAsia" w:cs="Times New Roman"/>
                <w:b w:val="0"/>
                <w:bCs w:val="0"/>
                <w:color w:val="auto"/>
                <w:kern w:val="0"/>
                <w:sz w:val="21"/>
                <w:szCs w:val="21"/>
                <w:lang w:val="en-US" w:eastAsia="zh-CN"/>
              </w:rPr>
              <w:t>则项目水性环氧底漆年用量约为3.19t/a、水性聚氨酯面漆年用量约为3.21t/a；环氧底漆年用量约为1.44t/a、聚氨酯厚浆面漆年用量约为1.4t/a</w:t>
            </w:r>
            <w:r>
              <w:rPr>
                <w:rFonts w:hint="default" w:ascii="Times New Roman" w:hAnsi="Times New Roman" w:cs="Times New Roman"/>
                <w:b w:val="0"/>
                <w:bCs w:val="0"/>
                <w:color w:val="auto"/>
                <w:kern w:val="0"/>
                <w:sz w:val="21"/>
                <w:szCs w:val="21"/>
                <w:lang w:val="en-US" w:eastAsia="zh-CN"/>
              </w:rPr>
              <w:t>。</w:t>
            </w:r>
            <w:r>
              <w:rPr>
                <w:rFonts w:hint="eastAsia" w:cs="Times New Roman"/>
                <w:b w:val="0"/>
                <w:bCs w:val="0"/>
                <w:color w:val="auto"/>
                <w:kern w:val="0"/>
                <w:sz w:val="21"/>
                <w:szCs w:val="21"/>
                <w:lang w:val="en-US" w:eastAsia="zh-CN"/>
              </w:rPr>
              <w:t>用量与实际用量基本相符。</w:t>
            </w:r>
          </w:p>
          <w:p w14:paraId="17108BE7">
            <w:pPr>
              <w:autoSpaceDE w:val="0"/>
              <w:autoSpaceDN w:val="0"/>
              <w:adjustRightInd w:val="0"/>
              <w:snapToGrid w:val="0"/>
              <w:spacing w:line="360" w:lineRule="auto"/>
              <w:jc w:val="left"/>
              <w:rPr>
                <w:rFonts w:cs="宋体"/>
                <w:b/>
                <w:bCs/>
                <w:color w:val="auto"/>
              </w:rPr>
            </w:pPr>
            <w:r>
              <w:rPr>
                <w:rFonts w:hint="eastAsia" w:cs="宋体"/>
                <w:b/>
                <w:bCs/>
                <w:color w:val="auto"/>
              </w:rPr>
              <w:t>2.1.3 工程内容</w:t>
            </w:r>
          </w:p>
          <w:p w14:paraId="5A2D4FCB">
            <w:pPr>
              <w:adjustRightInd w:val="0"/>
              <w:snapToGrid w:val="0"/>
              <w:spacing w:line="360" w:lineRule="auto"/>
              <w:ind w:firstLine="420" w:firstLineChars="200"/>
              <w:jc w:val="left"/>
              <w:rPr>
                <w:color w:val="auto"/>
              </w:rPr>
            </w:pPr>
            <w:r>
              <w:rPr>
                <w:rFonts w:hint="eastAsia" w:cs="宋体"/>
                <w:color w:val="auto"/>
                <w:kern w:val="0"/>
                <w:lang w:bidi="ar"/>
              </w:rPr>
              <w:t>本项目主体工程、储运工程、公用工程及环保工程见下表：</w:t>
            </w:r>
          </w:p>
          <w:p w14:paraId="7C58C0B0">
            <w:pPr>
              <w:pStyle w:val="16"/>
              <w:keepNext/>
              <w:adjustRightInd w:val="0"/>
              <w:snapToGrid w:val="0"/>
              <w:jc w:val="center"/>
              <w:rPr>
                <w:rFonts w:ascii="Times New Roman" w:hAnsi="Times New Roman" w:eastAsia="宋体"/>
                <w:b/>
                <w:color w:val="auto"/>
                <w:sz w:val="21"/>
                <w:szCs w:val="21"/>
              </w:rPr>
            </w:pPr>
            <w:r>
              <w:rPr>
                <w:rFonts w:ascii="Times New Roman" w:hAnsi="Times New Roman" w:eastAsia="宋体"/>
                <w:b/>
                <w:color w:val="auto"/>
                <w:sz w:val="21"/>
                <w:szCs w:val="21"/>
              </w:rPr>
              <w:t>表2-</w:t>
            </w:r>
            <w:r>
              <w:rPr>
                <w:rFonts w:hint="eastAsia" w:ascii="Times New Roman" w:hAnsi="Times New Roman" w:eastAsia="宋体"/>
                <w:b/>
                <w:color w:val="auto"/>
                <w:sz w:val="21"/>
                <w:szCs w:val="21"/>
                <w:lang w:val="en-US" w:eastAsia="zh-CN"/>
              </w:rPr>
              <w:t>2</w:t>
            </w:r>
            <w:r>
              <w:rPr>
                <w:rFonts w:ascii="Times New Roman" w:hAnsi="Times New Roman" w:eastAsia="宋体"/>
                <w:b/>
                <w:color w:val="auto"/>
                <w:sz w:val="21"/>
                <w:szCs w:val="21"/>
              </w:rPr>
              <w:t xml:space="preserve">   项目主要组成内容</w:t>
            </w:r>
          </w:p>
          <w:tbl>
            <w:tblPr>
              <w:tblStyle w:val="59"/>
              <w:tblW w:w="4997"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0" w:type="dxa"/>
                <w:bottom w:w="0" w:type="dxa"/>
                <w:right w:w="0" w:type="dxa"/>
              </w:tblCellMar>
            </w:tblPr>
            <w:tblGrid>
              <w:gridCol w:w="476"/>
              <w:gridCol w:w="566"/>
              <w:gridCol w:w="901"/>
              <w:gridCol w:w="3178"/>
              <w:gridCol w:w="971"/>
              <w:gridCol w:w="1431"/>
              <w:gridCol w:w="1021"/>
            </w:tblGrid>
            <w:tr w14:paraId="285FABF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493" w:hRule="atLeast"/>
                <w:jc w:val="center"/>
              </w:trPr>
              <w:tc>
                <w:tcPr>
                  <w:tcW w:w="278" w:type="pct"/>
                  <w:tcBorders>
                    <w:tl2br w:val="nil"/>
                    <w:tr2bl w:val="nil"/>
                  </w:tcBorders>
                  <w:vAlign w:val="center"/>
                </w:tcPr>
                <w:p w14:paraId="440893A1">
                  <w:pPr>
                    <w:adjustRightInd w:val="0"/>
                    <w:snapToGrid w:val="0"/>
                    <w:jc w:val="center"/>
                    <w:rPr>
                      <w:b/>
                      <w:color w:val="auto"/>
                    </w:rPr>
                  </w:pPr>
                  <w:r>
                    <w:rPr>
                      <w:b/>
                      <w:color w:val="auto"/>
                    </w:rPr>
                    <w:t>类别</w:t>
                  </w:r>
                </w:p>
              </w:tc>
              <w:tc>
                <w:tcPr>
                  <w:tcW w:w="858" w:type="pct"/>
                  <w:gridSpan w:val="2"/>
                  <w:tcBorders>
                    <w:tl2br w:val="nil"/>
                    <w:tr2bl w:val="nil"/>
                  </w:tcBorders>
                  <w:vAlign w:val="center"/>
                </w:tcPr>
                <w:p w14:paraId="09036F9E">
                  <w:pPr>
                    <w:adjustRightInd w:val="0"/>
                    <w:snapToGrid w:val="0"/>
                    <w:jc w:val="center"/>
                    <w:rPr>
                      <w:b/>
                      <w:color w:val="auto"/>
                    </w:rPr>
                  </w:pPr>
                  <w:r>
                    <w:rPr>
                      <w:rFonts w:hint="eastAsia"/>
                      <w:b/>
                      <w:color w:val="auto"/>
                    </w:rPr>
                    <w:t>单项工程</w:t>
                  </w:r>
                  <w:r>
                    <w:rPr>
                      <w:b/>
                      <w:color w:val="auto"/>
                    </w:rPr>
                    <w:t>名称</w:t>
                  </w:r>
                </w:p>
              </w:tc>
              <w:tc>
                <w:tcPr>
                  <w:tcW w:w="1859" w:type="pct"/>
                  <w:tcBorders>
                    <w:tl2br w:val="nil"/>
                    <w:tr2bl w:val="nil"/>
                  </w:tcBorders>
                  <w:vAlign w:val="center"/>
                </w:tcPr>
                <w:p w14:paraId="023F6313">
                  <w:pPr>
                    <w:adjustRightInd w:val="0"/>
                    <w:snapToGrid w:val="0"/>
                    <w:jc w:val="center"/>
                    <w:rPr>
                      <w:b/>
                      <w:color w:val="auto"/>
                    </w:rPr>
                  </w:pPr>
                  <w:r>
                    <w:rPr>
                      <w:rFonts w:hint="eastAsia"/>
                      <w:b/>
                      <w:color w:val="auto"/>
                    </w:rPr>
                    <w:t>工程内容</w:t>
                  </w:r>
                </w:p>
              </w:tc>
              <w:tc>
                <w:tcPr>
                  <w:tcW w:w="1405" w:type="pct"/>
                  <w:gridSpan w:val="2"/>
                  <w:tcBorders>
                    <w:tl2br w:val="nil"/>
                    <w:tr2bl w:val="nil"/>
                  </w:tcBorders>
                  <w:vAlign w:val="center"/>
                </w:tcPr>
                <w:p w14:paraId="30B343DF">
                  <w:pPr>
                    <w:adjustRightInd w:val="0"/>
                    <w:snapToGrid w:val="0"/>
                    <w:jc w:val="center"/>
                    <w:rPr>
                      <w:b/>
                      <w:color w:val="auto"/>
                    </w:rPr>
                  </w:pPr>
                  <w:r>
                    <w:rPr>
                      <w:rFonts w:hint="eastAsia"/>
                      <w:b/>
                      <w:color w:val="auto"/>
                    </w:rPr>
                    <w:t>工程规模</w:t>
                  </w:r>
                </w:p>
              </w:tc>
              <w:tc>
                <w:tcPr>
                  <w:tcW w:w="597" w:type="pct"/>
                  <w:tcBorders>
                    <w:tl2br w:val="nil"/>
                    <w:tr2bl w:val="nil"/>
                  </w:tcBorders>
                  <w:vAlign w:val="center"/>
                </w:tcPr>
                <w:p w14:paraId="4444BC02">
                  <w:pPr>
                    <w:adjustRightInd w:val="0"/>
                    <w:snapToGrid w:val="0"/>
                    <w:jc w:val="center"/>
                    <w:rPr>
                      <w:b/>
                      <w:color w:val="auto"/>
                    </w:rPr>
                  </w:pPr>
                  <w:r>
                    <w:rPr>
                      <w:b/>
                      <w:color w:val="auto"/>
                    </w:rPr>
                    <w:t>备注</w:t>
                  </w:r>
                </w:p>
              </w:tc>
            </w:tr>
            <w:tr w14:paraId="02259FE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489" w:hRule="atLeast"/>
                <w:jc w:val="center"/>
              </w:trPr>
              <w:tc>
                <w:tcPr>
                  <w:tcW w:w="278" w:type="pct"/>
                  <w:tcBorders>
                    <w:tl2br w:val="nil"/>
                    <w:tr2bl w:val="nil"/>
                  </w:tcBorders>
                  <w:vAlign w:val="center"/>
                </w:tcPr>
                <w:p w14:paraId="5BCCF67F">
                  <w:pPr>
                    <w:adjustRightInd w:val="0"/>
                    <w:snapToGrid w:val="0"/>
                    <w:jc w:val="center"/>
                    <w:rPr>
                      <w:b/>
                      <w:bCs/>
                      <w:color w:val="auto"/>
                    </w:rPr>
                  </w:pPr>
                  <w:r>
                    <w:rPr>
                      <w:b/>
                      <w:bCs/>
                      <w:color w:val="auto"/>
                    </w:rPr>
                    <w:t>主体</w:t>
                  </w:r>
                </w:p>
                <w:p w14:paraId="692BF2A8">
                  <w:pPr>
                    <w:adjustRightInd w:val="0"/>
                    <w:snapToGrid w:val="0"/>
                    <w:jc w:val="center"/>
                    <w:rPr>
                      <w:b/>
                      <w:bCs/>
                      <w:color w:val="auto"/>
                    </w:rPr>
                  </w:pPr>
                  <w:r>
                    <w:rPr>
                      <w:b/>
                      <w:bCs/>
                      <w:color w:val="auto"/>
                    </w:rPr>
                    <w:t>工程</w:t>
                  </w:r>
                </w:p>
              </w:tc>
              <w:tc>
                <w:tcPr>
                  <w:tcW w:w="858" w:type="pct"/>
                  <w:gridSpan w:val="2"/>
                  <w:tcBorders>
                    <w:tl2br w:val="nil"/>
                    <w:tr2bl w:val="nil"/>
                  </w:tcBorders>
                  <w:vAlign w:val="center"/>
                </w:tcPr>
                <w:p w14:paraId="2358AD4A">
                  <w:pPr>
                    <w:pStyle w:val="5"/>
                    <w:adjustRightInd w:val="0"/>
                    <w:snapToGrid w:val="0"/>
                    <w:ind w:firstLine="0"/>
                    <w:jc w:val="center"/>
                    <w:rPr>
                      <w:color w:val="auto"/>
                      <w:kern w:val="0"/>
                      <w:sz w:val="21"/>
                      <w:szCs w:val="21"/>
                    </w:rPr>
                  </w:pPr>
                  <w:r>
                    <w:rPr>
                      <w:rFonts w:hint="eastAsia"/>
                      <w:color w:val="auto"/>
                      <w:kern w:val="0"/>
                      <w:sz w:val="21"/>
                      <w:szCs w:val="21"/>
                    </w:rPr>
                    <w:t>生产车间</w:t>
                  </w:r>
                </w:p>
              </w:tc>
              <w:tc>
                <w:tcPr>
                  <w:tcW w:w="1859" w:type="pct"/>
                  <w:tcBorders>
                    <w:tl2br w:val="nil"/>
                    <w:tr2bl w:val="nil"/>
                  </w:tcBorders>
                  <w:vAlign w:val="center"/>
                </w:tcPr>
                <w:p w14:paraId="75FEEC22">
                  <w:pPr>
                    <w:adjustRightInd w:val="0"/>
                    <w:snapToGrid w:val="0"/>
                    <w:jc w:val="center"/>
                    <w:rPr>
                      <w:rFonts w:hint="default" w:eastAsia="宋体"/>
                      <w:color w:val="auto"/>
                      <w:kern w:val="0"/>
                      <w:sz w:val="21"/>
                      <w:lang w:val="en-US" w:eastAsia="zh-CN"/>
                    </w:rPr>
                  </w:pPr>
                  <w:r>
                    <w:rPr>
                      <w:rFonts w:hint="eastAsia"/>
                      <w:color w:val="auto"/>
                      <w:kern w:val="0"/>
                      <w:sz w:val="21"/>
                    </w:rPr>
                    <w:t>主要布置</w:t>
                  </w:r>
                  <w:r>
                    <w:rPr>
                      <w:rFonts w:hint="eastAsia"/>
                      <w:color w:val="auto"/>
                      <w:kern w:val="0"/>
                      <w:sz w:val="21"/>
                      <w:lang w:val="en-US" w:eastAsia="zh-CN"/>
                    </w:rPr>
                    <w:t>清洗房</w:t>
                  </w:r>
                  <w:r>
                    <w:rPr>
                      <w:rFonts w:hint="eastAsia"/>
                      <w:color w:val="auto"/>
                      <w:kern w:val="0"/>
                      <w:sz w:val="21"/>
                    </w:rPr>
                    <w:t>、</w:t>
                  </w:r>
                  <w:r>
                    <w:rPr>
                      <w:rFonts w:hint="eastAsia"/>
                      <w:color w:val="auto"/>
                      <w:kern w:val="0"/>
                      <w:sz w:val="21"/>
                      <w:lang w:val="en-US" w:eastAsia="zh-CN"/>
                    </w:rPr>
                    <w:t>喷砂房</w:t>
                  </w:r>
                  <w:r>
                    <w:rPr>
                      <w:rFonts w:hint="eastAsia"/>
                      <w:color w:val="auto"/>
                      <w:kern w:val="0"/>
                      <w:sz w:val="21"/>
                    </w:rPr>
                    <w:t>、</w:t>
                  </w:r>
                  <w:r>
                    <w:rPr>
                      <w:rFonts w:hint="eastAsia"/>
                      <w:color w:val="auto"/>
                      <w:kern w:val="0"/>
                      <w:sz w:val="21"/>
                      <w:lang w:val="en-US" w:eastAsia="zh-CN"/>
                    </w:rPr>
                    <w:t>喷锌房</w:t>
                  </w:r>
                  <w:r>
                    <w:rPr>
                      <w:rFonts w:hint="eastAsia"/>
                      <w:color w:val="auto"/>
                      <w:kern w:val="0"/>
                      <w:sz w:val="21"/>
                    </w:rPr>
                    <w:t>、</w:t>
                  </w:r>
                  <w:r>
                    <w:rPr>
                      <w:rFonts w:hint="eastAsia"/>
                      <w:color w:val="auto"/>
                      <w:kern w:val="0"/>
                      <w:sz w:val="21"/>
                      <w:lang w:val="en-US" w:eastAsia="zh-CN"/>
                    </w:rPr>
                    <w:t>喷漆房、原材料区、油漆仓库、一般固废仓库、</w:t>
                  </w:r>
                  <w:r>
                    <w:rPr>
                      <w:rFonts w:hint="eastAsia"/>
                      <w:color w:val="auto"/>
                      <w:kern w:val="0"/>
                      <w:sz w:val="21"/>
                    </w:rPr>
                    <w:t>危废仓库</w:t>
                  </w:r>
                  <w:r>
                    <w:rPr>
                      <w:rFonts w:hint="eastAsia"/>
                      <w:color w:val="auto"/>
                      <w:kern w:val="0"/>
                      <w:sz w:val="21"/>
                      <w:lang w:eastAsia="zh-CN"/>
                    </w:rPr>
                    <w:t>、</w:t>
                  </w:r>
                  <w:r>
                    <w:rPr>
                      <w:rFonts w:hint="eastAsia"/>
                      <w:color w:val="auto"/>
                      <w:kern w:val="0"/>
                      <w:sz w:val="21"/>
                      <w:lang w:val="en-US" w:eastAsia="zh-CN"/>
                    </w:rPr>
                    <w:t>成品区</w:t>
                  </w:r>
                </w:p>
              </w:tc>
              <w:tc>
                <w:tcPr>
                  <w:tcW w:w="568" w:type="pct"/>
                  <w:tcBorders>
                    <w:tl2br w:val="nil"/>
                    <w:tr2bl w:val="nil"/>
                  </w:tcBorders>
                  <w:vAlign w:val="center"/>
                </w:tcPr>
                <w:p w14:paraId="31443AAA">
                  <w:pPr>
                    <w:adjustRightInd w:val="0"/>
                    <w:snapToGrid w:val="0"/>
                    <w:jc w:val="center"/>
                    <w:rPr>
                      <w:color w:val="auto"/>
                    </w:rPr>
                  </w:pPr>
                  <w:r>
                    <w:rPr>
                      <w:rFonts w:hint="eastAsia"/>
                      <w:color w:val="auto"/>
                    </w:rPr>
                    <w:t>建筑面积</w:t>
                  </w:r>
                  <w:r>
                    <w:rPr>
                      <w:rFonts w:hint="eastAsia"/>
                      <w:color w:val="auto"/>
                      <w:lang w:val="en-US" w:eastAsia="zh-CN"/>
                    </w:rPr>
                    <w:t>4534</w:t>
                  </w:r>
                  <w:r>
                    <w:rPr>
                      <w:color w:val="auto"/>
                    </w:rPr>
                    <w:t>m</w:t>
                  </w:r>
                  <w:r>
                    <w:rPr>
                      <w:color w:val="auto"/>
                      <w:vertAlign w:val="superscript"/>
                    </w:rPr>
                    <w:t>2</w:t>
                  </w:r>
                </w:p>
              </w:tc>
              <w:tc>
                <w:tcPr>
                  <w:tcW w:w="837" w:type="pct"/>
                  <w:tcBorders>
                    <w:tl2br w:val="nil"/>
                    <w:tr2bl w:val="nil"/>
                  </w:tcBorders>
                  <w:vAlign w:val="center"/>
                </w:tcPr>
                <w:p w14:paraId="7BABABED">
                  <w:pPr>
                    <w:adjustRightInd w:val="0"/>
                    <w:snapToGrid w:val="0"/>
                    <w:jc w:val="center"/>
                    <w:rPr>
                      <w:rFonts w:hint="default" w:eastAsia="宋体"/>
                      <w:color w:val="auto"/>
                      <w:lang w:val="en-US" w:eastAsia="zh-CN"/>
                    </w:rPr>
                  </w:pPr>
                  <w:r>
                    <w:rPr>
                      <w:rFonts w:hint="eastAsia"/>
                      <w:color w:val="auto"/>
                      <w:lang w:val="en-US" w:eastAsia="zh-CN"/>
                    </w:rPr>
                    <w:t>风电主轴1000件、风电轴承座5000件、风电机架和轮毂1000套</w:t>
                  </w:r>
                </w:p>
              </w:tc>
              <w:tc>
                <w:tcPr>
                  <w:tcW w:w="597" w:type="pct"/>
                  <w:tcBorders>
                    <w:tl2br w:val="nil"/>
                    <w:tr2bl w:val="nil"/>
                  </w:tcBorders>
                  <w:vAlign w:val="center"/>
                </w:tcPr>
                <w:p w14:paraId="4E9831FD">
                  <w:pPr>
                    <w:adjustRightInd w:val="0"/>
                    <w:snapToGrid w:val="0"/>
                    <w:jc w:val="center"/>
                    <w:rPr>
                      <w:color w:val="auto"/>
                    </w:rPr>
                  </w:pPr>
                  <w:r>
                    <w:rPr>
                      <w:rFonts w:hint="eastAsia"/>
                      <w:color w:val="auto"/>
                    </w:rPr>
                    <w:t>依托现有厂房，新建</w:t>
                  </w:r>
                </w:p>
              </w:tc>
            </w:tr>
            <w:tr w14:paraId="63A572C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278" w:type="pct"/>
                  <w:vMerge w:val="restart"/>
                  <w:tcBorders>
                    <w:tl2br w:val="nil"/>
                    <w:tr2bl w:val="nil"/>
                  </w:tcBorders>
                  <w:vAlign w:val="center"/>
                </w:tcPr>
                <w:p w14:paraId="65A8BD4B">
                  <w:pPr>
                    <w:adjustRightInd w:val="0"/>
                    <w:snapToGrid w:val="0"/>
                    <w:jc w:val="center"/>
                    <w:rPr>
                      <w:b/>
                      <w:bCs/>
                      <w:color w:val="auto"/>
                    </w:rPr>
                  </w:pPr>
                  <w:r>
                    <w:rPr>
                      <w:rFonts w:hint="eastAsia"/>
                      <w:b/>
                      <w:bCs/>
                      <w:color w:val="auto"/>
                    </w:rPr>
                    <w:t>公辅</w:t>
                  </w:r>
                </w:p>
                <w:p w14:paraId="71B8376F">
                  <w:pPr>
                    <w:adjustRightInd w:val="0"/>
                    <w:snapToGrid w:val="0"/>
                    <w:jc w:val="center"/>
                    <w:rPr>
                      <w:b/>
                      <w:bCs/>
                      <w:color w:val="auto"/>
                    </w:rPr>
                  </w:pPr>
                  <w:r>
                    <w:rPr>
                      <w:rFonts w:hint="eastAsia"/>
                      <w:b/>
                      <w:bCs/>
                      <w:color w:val="auto"/>
                    </w:rPr>
                    <w:t>工程</w:t>
                  </w:r>
                </w:p>
              </w:tc>
              <w:tc>
                <w:tcPr>
                  <w:tcW w:w="858" w:type="pct"/>
                  <w:gridSpan w:val="2"/>
                  <w:tcBorders>
                    <w:tl2br w:val="nil"/>
                    <w:tr2bl w:val="nil"/>
                  </w:tcBorders>
                  <w:vAlign w:val="center"/>
                </w:tcPr>
                <w:p w14:paraId="5F9B2529">
                  <w:pPr>
                    <w:adjustRightInd w:val="0"/>
                    <w:snapToGrid w:val="0"/>
                    <w:jc w:val="center"/>
                    <w:rPr>
                      <w:color w:val="auto"/>
                    </w:rPr>
                  </w:pPr>
                  <w:r>
                    <w:rPr>
                      <w:color w:val="auto"/>
                    </w:rPr>
                    <w:t>给水</w:t>
                  </w:r>
                </w:p>
              </w:tc>
              <w:tc>
                <w:tcPr>
                  <w:tcW w:w="1859" w:type="pct"/>
                  <w:tcBorders>
                    <w:tl2br w:val="nil"/>
                    <w:tr2bl w:val="nil"/>
                  </w:tcBorders>
                  <w:vAlign w:val="center"/>
                </w:tcPr>
                <w:p w14:paraId="5C529257">
                  <w:pPr>
                    <w:adjustRightInd w:val="0"/>
                    <w:snapToGrid w:val="0"/>
                    <w:jc w:val="center"/>
                    <w:rPr>
                      <w:color w:val="auto"/>
                    </w:rPr>
                  </w:pPr>
                  <w:r>
                    <w:rPr>
                      <w:color w:val="auto"/>
                    </w:rPr>
                    <w:t>由市政自来水管网提供</w:t>
                  </w:r>
                </w:p>
              </w:tc>
              <w:tc>
                <w:tcPr>
                  <w:tcW w:w="1405" w:type="pct"/>
                  <w:gridSpan w:val="2"/>
                  <w:tcBorders>
                    <w:tl2br w:val="nil"/>
                    <w:tr2bl w:val="nil"/>
                  </w:tcBorders>
                  <w:vAlign w:val="center"/>
                </w:tcPr>
                <w:p w14:paraId="0A608897">
                  <w:pPr>
                    <w:adjustRightInd w:val="0"/>
                    <w:snapToGrid w:val="0"/>
                    <w:jc w:val="center"/>
                    <w:rPr>
                      <w:color w:val="auto"/>
                    </w:rPr>
                  </w:pPr>
                  <w:r>
                    <w:rPr>
                      <w:rFonts w:hint="eastAsia"/>
                      <w:color w:val="auto"/>
                      <w:lang w:val="en-US" w:eastAsia="zh-CN"/>
                    </w:rPr>
                    <w:t>980</w:t>
                  </w:r>
                  <w:r>
                    <w:rPr>
                      <w:rFonts w:hint="eastAsia"/>
                      <w:color w:val="auto"/>
                    </w:rPr>
                    <w:t>t/a</w:t>
                  </w:r>
                </w:p>
              </w:tc>
              <w:tc>
                <w:tcPr>
                  <w:tcW w:w="597" w:type="pct"/>
                  <w:tcBorders>
                    <w:tl2br w:val="nil"/>
                    <w:tr2bl w:val="nil"/>
                  </w:tcBorders>
                  <w:vAlign w:val="center"/>
                </w:tcPr>
                <w:p w14:paraId="25BDAD52">
                  <w:pPr>
                    <w:adjustRightInd w:val="0"/>
                    <w:snapToGrid w:val="0"/>
                    <w:jc w:val="center"/>
                    <w:rPr>
                      <w:color w:val="auto"/>
                    </w:rPr>
                  </w:pPr>
                  <w:r>
                    <w:rPr>
                      <w:color w:val="auto"/>
                    </w:rPr>
                    <w:t>依托</w:t>
                  </w:r>
                  <w:r>
                    <w:rPr>
                      <w:rFonts w:hint="eastAsia"/>
                      <w:color w:val="auto"/>
                    </w:rPr>
                    <w:t>现有</w:t>
                  </w:r>
                  <w:r>
                    <w:rPr>
                      <w:color w:val="auto"/>
                    </w:rPr>
                    <w:t>已建管网</w:t>
                  </w:r>
                </w:p>
              </w:tc>
            </w:tr>
            <w:tr w14:paraId="4263F893">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278" w:type="pct"/>
                  <w:vMerge w:val="continue"/>
                  <w:tcBorders>
                    <w:tl2br w:val="nil"/>
                    <w:tr2bl w:val="nil"/>
                  </w:tcBorders>
                  <w:vAlign w:val="center"/>
                </w:tcPr>
                <w:p w14:paraId="6DDEB711">
                  <w:pPr>
                    <w:adjustRightInd w:val="0"/>
                    <w:snapToGrid w:val="0"/>
                    <w:jc w:val="center"/>
                    <w:rPr>
                      <w:b/>
                      <w:bCs/>
                      <w:color w:val="auto"/>
                    </w:rPr>
                  </w:pPr>
                </w:p>
              </w:tc>
              <w:tc>
                <w:tcPr>
                  <w:tcW w:w="858" w:type="pct"/>
                  <w:gridSpan w:val="2"/>
                  <w:tcBorders>
                    <w:tl2br w:val="nil"/>
                    <w:tr2bl w:val="nil"/>
                  </w:tcBorders>
                  <w:vAlign w:val="center"/>
                </w:tcPr>
                <w:p w14:paraId="16FB2CA2">
                  <w:pPr>
                    <w:adjustRightInd w:val="0"/>
                    <w:snapToGrid w:val="0"/>
                    <w:jc w:val="center"/>
                    <w:rPr>
                      <w:color w:val="auto"/>
                    </w:rPr>
                  </w:pPr>
                  <w:r>
                    <w:rPr>
                      <w:color w:val="auto"/>
                    </w:rPr>
                    <w:t>排水</w:t>
                  </w:r>
                </w:p>
              </w:tc>
              <w:tc>
                <w:tcPr>
                  <w:tcW w:w="1859" w:type="pct"/>
                  <w:tcBorders>
                    <w:tl2br w:val="nil"/>
                    <w:tr2bl w:val="nil"/>
                  </w:tcBorders>
                  <w:vAlign w:val="center"/>
                </w:tcPr>
                <w:p w14:paraId="3D5FBFCC">
                  <w:pPr>
                    <w:adjustRightInd w:val="0"/>
                    <w:snapToGrid w:val="0"/>
                    <w:jc w:val="center"/>
                    <w:rPr>
                      <w:color w:val="auto"/>
                    </w:rPr>
                  </w:pPr>
                  <w:r>
                    <w:rPr>
                      <w:rFonts w:hint="eastAsia"/>
                      <w:color w:val="auto"/>
                    </w:rPr>
                    <w:t>雨污分流，雨水接入市政雨水管网，</w:t>
                  </w:r>
                  <w:r>
                    <w:rPr>
                      <w:rFonts w:hint="eastAsia"/>
                      <w:color w:val="auto"/>
                      <w:lang w:val="en-US" w:eastAsia="zh-CN"/>
                    </w:rPr>
                    <w:t>生活</w:t>
                  </w:r>
                  <w:r>
                    <w:rPr>
                      <w:rFonts w:hint="eastAsia"/>
                      <w:color w:val="auto"/>
                    </w:rPr>
                    <w:t>污水接入市政污水管网，接管至常州金坛区第二污水处理有限公司处理</w:t>
                  </w:r>
                </w:p>
              </w:tc>
              <w:tc>
                <w:tcPr>
                  <w:tcW w:w="1405" w:type="pct"/>
                  <w:gridSpan w:val="2"/>
                  <w:tcBorders>
                    <w:tl2br w:val="nil"/>
                    <w:tr2bl w:val="nil"/>
                  </w:tcBorders>
                  <w:vAlign w:val="center"/>
                </w:tcPr>
                <w:p w14:paraId="1B22D05C">
                  <w:pPr>
                    <w:adjustRightInd w:val="0"/>
                    <w:snapToGrid w:val="0"/>
                    <w:jc w:val="center"/>
                    <w:rPr>
                      <w:color w:val="auto"/>
                    </w:rPr>
                  </w:pPr>
                  <w:r>
                    <w:rPr>
                      <w:rFonts w:hint="eastAsia"/>
                      <w:color w:val="auto"/>
                      <w:lang w:val="en-US" w:eastAsia="zh-CN"/>
                    </w:rPr>
                    <w:t>生活污水720</w:t>
                  </w:r>
                  <w:r>
                    <w:rPr>
                      <w:rFonts w:hint="eastAsia"/>
                      <w:color w:val="auto"/>
                    </w:rPr>
                    <w:t>t/a</w:t>
                  </w:r>
                </w:p>
              </w:tc>
              <w:tc>
                <w:tcPr>
                  <w:tcW w:w="597" w:type="pct"/>
                  <w:tcBorders>
                    <w:tl2br w:val="nil"/>
                    <w:tr2bl w:val="nil"/>
                  </w:tcBorders>
                  <w:vAlign w:val="center"/>
                </w:tcPr>
                <w:p w14:paraId="3BD993E1">
                  <w:pPr>
                    <w:adjustRightInd w:val="0"/>
                    <w:snapToGrid w:val="0"/>
                    <w:jc w:val="center"/>
                    <w:rPr>
                      <w:color w:val="auto"/>
                    </w:rPr>
                  </w:pPr>
                  <w:r>
                    <w:rPr>
                      <w:color w:val="auto"/>
                    </w:rPr>
                    <w:t>依托</w:t>
                  </w:r>
                  <w:r>
                    <w:rPr>
                      <w:rFonts w:hint="eastAsia"/>
                      <w:color w:val="auto"/>
                    </w:rPr>
                    <w:t>现有</w:t>
                  </w:r>
                  <w:r>
                    <w:rPr>
                      <w:color w:val="auto"/>
                    </w:rPr>
                    <w:t>已建管网</w:t>
                  </w:r>
                  <w:r>
                    <w:rPr>
                      <w:rFonts w:hint="eastAsia"/>
                      <w:color w:val="auto"/>
                    </w:rPr>
                    <w:t>及排口</w:t>
                  </w:r>
                </w:p>
              </w:tc>
            </w:tr>
            <w:tr w14:paraId="4C17D743">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278" w:type="pct"/>
                  <w:vMerge w:val="continue"/>
                  <w:tcBorders>
                    <w:tl2br w:val="nil"/>
                    <w:tr2bl w:val="nil"/>
                  </w:tcBorders>
                  <w:vAlign w:val="center"/>
                </w:tcPr>
                <w:p w14:paraId="7166D8F5">
                  <w:pPr>
                    <w:adjustRightInd w:val="0"/>
                    <w:snapToGrid w:val="0"/>
                    <w:jc w:val="center"/>
                    <w:rPr>
                      <w:b/>
                      <w:bCs/>
                      <w:color w:val="auto"/>
                    </w:rPr>
                  </w:pPr>
                </w:p>
              </w:tc>
              <w:tc>
                <w:tcPr>
                  <w:tcW w:w="858" w:type="pct"/>
                  <w:gridSpan w:val="2"/>
                  <w:tcBorders>
                    <w:tl2br w:val="nil"/>
                    <w:tr2bl w:val="nil"/>
                  </w:tcBorders>
                  <w:vAlign w:val="center"/>
                </w:tcPr>
                <w:p w14:paraId="1DFA2D35">
                  <w:pPr>
                    <w:adjustRightInd w:val="0"/>
                    <w:snapToGrid w:val="0"/>
                    <w:jc w:val="center"/>
                    <w:rPr>
                      <w:color w:val="auto"/>
                    </w:rPr>
                  </w:pPr>
                  <w:r>
                    <w:rPr>
                      <w:color w:val="auto"/>
                    </w:rPr>
                    <w:t>供电</w:t>
                  </w:r>
                </w:p>
              </w:tc>
              <w:tc>
                <w:tcPr>
                  <w:tcW w:w="1859" w:type="pct"/>
                  <w:tcBorders>
                    <w:tl2br w:val="nil"/>
                    <w:tr2bl w:val="nil"/>
                  </w:tcBorders>
                  <w:vAlign w:val="center"/>
                </w:tcPr>
                <w:p w14:paraId="17E2D3B7">
                  <w:pPr>
                    <w:adjustRightInd w:val="0"/>
                    <w:snapToGrid w:val="0"/>
                    <w:jc w:val="center"/>
                    <w:rPr>
                      <w:color w:val="auto"/>
                    </w:rPr>
                  </w:pPr>
                  <w:r>
                    <w:rPr>
                      <w:color w:val="auto"/>
                    </w:rPr>
                    <w:t>由市政电网供给</w:t>
                  </w:r>
                </w:p>
              </w:tc>
              <w:tc>
                <w:tcPr>
                  <w:tcW w:w="1405" w:type="pct"/>
                  <w:gridSpan w:val="2"/>
                  <w:tcBorders>
                    <w:tl2br w:val="nil"/>
                    <w:tr2bl w:val="nil"/>
                  </w:tcBorders>
                  <w:vAlign w:val="center"/>
                </w:tcPr>
                <w:p w14:paraId="0B1FEB40">
                  <w:pPr>
                    <w:adjustRightInd w:val="0"/>
                    <w:snapToGrid w:val="0"/>
                    <w:jc w:val="center"/>
                    <w:rPr>
                      <w:color w:val="auto"/>
                    </w:rPr>
                  </w:pPr>
                  <w:r>
                    <w:rPr>
                      <w:rFonts w:hint="eastAsia"/>
                      <w:color w:val="auto"/>
                      <w:lang w:val="en-US" w:eastAsia="zh-CN"/>
                    </w:rPr>
                    <w:t>60</w:t>
                  </w:r>
                  <w:r>
                    <w:rPr>
                      <w:rFonts w:hint="eastAsia"/>
                      <w:color w:val="auto"/>
                    </w:rPr>
                    <w:t>万KWh</w:t>
                  </w:r>
                </w:p>
              </w:tc>
              <w:tc>
                <w:tcPr>
                  <w:tcW w:w="597" w:type="pct"/>
                  <w:tcBorders>
                    <w:tl2br w:val="nil"/>
                    <w:tr2bl w:val="nil"/>
                  </w:tcBorders>
                  <w:vAlign w:val="center"/>
                </w:tcPr>
                <w:p w14:paraId="3E4CE137">
                  <w:pPr>
                    <w:adjustRightInd w:val="0"/>
                    <w:snapToGrid w:val="0"/>
                    <w:jc w:val="center"/>
                    <w:rPr>
                      <w:color w:val="auto"/>
                    </w:rPr>
                  </w:pPr>
                  <w:r>
                    <w:rPr>
                      <w:color w:val="auto"/>
                    </w:rPr>
                    <w:t>依托</w:t>
                  </w:r>
                  <w:r>
                    <w:rPr>
                      <w:rFonts w:hint="eastAsia"/>
                      <w:color w:val="auto"/>
                    </w:rPr>
                    <w:t>现有</w:t>
                  </w:r>
                  <w:r>
                    <w:rPr>
                      <w:color w:val="auto"/>
                    </w:rPr>
                    <w:t>已建电网</w:t>
                  </w:r>
                </w:p>
              </w:tc>
            </w:tr>
            <w:tr w14:paraId="77D662A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278" w:type="pct"/>
                  <w:vMerge w:val="continue"/>
                  <w:tcBorders>
                    <w:tl2br w:val="nil"/>
                    <w:tr2bl w:val="nil"/>
                  </w:tcBorders>
                  <w:vAlign w:val="center"/>
                </w:tcPr>
                <w:p w14:paraId="1C09E1A0">
                  <w:pPr>
                    <w:adjustRightInd w:val="0"/>
                    <w:snapToGrid w:val="0"/>
                    <w:jc w:val="center"/>
                    <w:rPr>
                      <w:b/>
                      <w:bCs/>
                      <w:color w:val="auto"/>
                    </w:rPr>
                  </w:pPr>
                </w:p>
              </w:tc>
              <w:tc>
                <w:tcPr>
                  <w:tcW w:w="858" w:type="pct"/>
                  <w:gridSpan w:val="2"/>
                  <w:tcBorders>
                    <w:tl2br w:val="nil"/>
                    <w:tr2bl w:val="nil"/>
                  </w:tcBorders>
                  <w:vAlign w:val="center"/>
                </w:tcPr>
                <w:p w14:paraId="157CE2D8">
                  <w:pPr>
                    <w:pStyle w:val="5"/>
                    <w:adjustRightInd w:val="0"/>
                    <w:snapToGrid w:val="0"/>
                    <w:ind w:firstLine="0"/>
                    <w:jc w:val="center"/>
                    <w:rPr>
                      <w:color w:val="auto"/>
                      <w:szCs w:val="21"/>
                    </w:rPr>
                  </w:pPr>
                  <w:r>
                    <w:rPr>
                      <w:rFonts w:hint="eastAsia"/>
                      <w:color w:val="auto"/>
                      <w:szCs w:val="21"/>
                    </w:rPr>
                    <w:t>办公区</w:t>
                  </w:r>
                </w:p>
              </w:tc>
              <w:tc>
                <w:tcPr>
                  <w:tcW w:w="1859" w:type="pct"/>
                  <w:tcBorders>
                    <w:tl2br w:val="nil"/>
                    <w:tr2bl w:val="nil"/>
                  </w:tcBorders>
                  <w:vAlign w:val="center"/>
                </w:tcPr>
                <w:p w14:paraId="016AC20E">
                  <w:pPr>
                    <w:adjustRightInd w:val="0"/>
                    <w:snapToGrid w:val="0"/>
                    <w:jc w:val="center"/>
                    <w:rPr>
                      <w:color w:val="auto"/>
                    </w:rPr>
                  </w:pPr>
                  <w:r>
                    <w:rPr>
                      <w:rFonts w:hint="eastAsia"/>
                      <w:color w:val="auto"/>
                    </w:rPr>
                    <w:t>用于员工办公</w:t>
                  </w:r>
                </w:p>
              </w:tc>
              <w:tc>
                <w:tcPr>
                  <w:tcW w:w="1405" w:type="pct"/>
                  <w:gridSpan w:val="2"/>
                  <w:tcBorders>
                    <w:tl2br w:val="nil"/>
                    <w:tr2bl w:val="nil"/>
                  </w:tcBorders>
                  <w:vAlign w:val="center"/>
                </w:tcPr>
                <w:p w14:paraId="77C42484">
                  <w:pPr>
                    <w:adjustRightInd w:val="0"/>
                    <w:snapToGrid w:val="0"/>
                    <w:jc w:val="center"/>
                    <w:rPr>
                      <w:color w:val="auto"/>
                    </w:rPr>
                  </w:pPr>
                  <w:r>
                    <w:rPr>
                      <w:rFonts w:hint="eastAsia"/>
                      <w:color w:val="auto"/>
                    </w:rPr>
                    <w:t>建筑面积</w:t>
                  </w:r>
                  <w:r>
                    <w:rPr>
                      <w:rFonts w:hint="eastAsia"/>
                      <w:color w:val="auto"/>
                      <w:lang w:val="en-US" w:eastAsia="zh-CN"/>
                    </w:rPr>
                    <w:t>799</w:t>
                  </w:r>
                  <w:r>
                    <w:rPr>
                      <w:color w:val="auto"/>
                    </w:rPr>
                    <w:t>m</w:t>
                  </w:r>
                  <w:r>
                    <w:rPr>
                      <w:color w:val="auto"/>
                      <w:vertAlign w:val="superscript"/>
                    </w:rPr>
                    <w:t>2</w:t>
                  </w:r>
                </w:p>
              </w:tc>
              <w:tc>
                <w:tcPr>
                  <w:tcW w:w="597" w:type="pct"/>
                  <w:tcBorders>
                    <w:tl2br w:val="nil"/>
                    <w:tr2bl w:val="nil"/>
                  </w:tcBorders>
                  <w:vAlign w:val="center"/>
                </w:tcPr>
                <w:p w14:paraId="43E2782B">
                  <w:pPr>
                    <w:adjustRightInd w:val="0"/>
                    <w:snapToGrid w:val="0"/>
                    <w:jc w:val="center"/>
                    <w:rPr>
                      <w:color w:val="auto"/>
                    </w:rPr>
                  </w:pPr>
                  <w:r>
                    <w:rPr>
                      <w:rFonts w:hint="eastAsia"/>
                      <w:color w:val="auto"/>
                    </w:rPr>
                    <w:t>依托现有厂房，新建</w:t>
                  </w:r>
                </w:p>
              </w:tc>
            </w:tr>
            <w:tr w14:paraId="7109C2F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278" w:type="pct"/>
                  <w:vMerge w:val="restart"/>
                  <w:tcBorders>
                    <w:tl2br w:val="nil"/>
                    <w:tr2bl w:val="nil"/>
                  </w:tcBorders>
                  <w:vAlign w:val="center"/>
                </w:tcPr>
                <w:p w14:paraId="2A4FF480">
                  <w:pPr>
                    <w:adjustRightInd w:val="0"/>
                    <w:snapToGrid w:val="0"/>
                    <w:jc w:val="center"/>
                    <w:rPr>
                      <w:b/>
                      <w:bCs/>
                      <w:color w:val="auto"/>
                    </w:rPr>
                  </w:pPr>
                  <w:r>
                    <w:rPr>
                      <w:b/>
                      <w:bCs/>
                      <w:color w:val="auto"/>
                    </w:rPr>
                    <w:t>储运</w:t>
                  </w:r>
                </w:p>
                <w:p w14:paraId="0DBB8E6B">
                  <w:pPr>
                    <w:adjustRightInd w:val="0"/>
                    <w:snapToGrid w:val="0"/>
                    <w:jc w:val="center"/>
                    <w:rPr>
                      <w:b/>
                      <w:bCs/>
                      <w:color w:val="auto"/>
                    </w:rPr>
                  </w:pPr>
                  <w:r>
                    <w:rPr>
                      <w:b/>
                      <w:bCs/>
                      <w:color w:val="auto"/>
                    </w:rPr>
                    <w:t>工程</w:t>
                  </w:r>
                </w:p>
              </w:tc>
              <w:tc>
                <w:tcPr>
                  <w:tcW w:w="858" w:type="pct"/>
                  <w:gridSpan w:val="2"/>
                  <w:tcBorders>
                    <w:tl2br w:val="nil"/>
                    <w:tr2bl w:val="nil"/>
                  </w:tcBorders>
                  <w:vAlign w:val="center"/>
                </w:tcPr>
                <w:p w14:paraId="6432D137">
                  <w:pPr>
                    <w:adjustRightInd w:val="0"/>
                    <w:snapToGrid w:val="0"/>
                    <w:jc w:val="center"/>
                    <w:rPr>
                      <w:rFonts w:hint="eastAsia" w:eastAsia="宋体"/>
                      <w:color w:val="auto"/>
                      <w:lang w:eastAsia="zh-CN"/>
                    </w:rPr>
                  </w:pPr>
                  <w:r>
                    <w:rPr>
                      <w:rFonts w:hint="eastAsia"/>
                      <w:color w:val="auto"/>
                      <w:lang w:val="en-US" w:eastAsia="zh-CN"/>
                    </w:rPr>
                    <w:t>原料区</w:t>
                  </w:r>
                </w:p>
              </w:tc>
              <w:tc>
                <w:tcPr>
                  <w:tcW w:w="3265" w:type="pct"/>
                  <w:gridSpan w:val="3"/>
                  <w:tcBorders>
                    <w:tl2br w:val="nil"/>
                    <w:tr2bl w:val="nil"/>
                  </w:tcBorders>
                  <w:vAlign w:val="center"/>
                </w:tcPr>
                <w:p w14:paraId="44C11B24">
                  <w:pPr>
                    <w:adjustRightInd w:val="0"/>
                    <w:snapToGrid w:val="0"/>
                    <w:jc w:val="center"/>
                    <w:rPr>
                      <w:rFonts w:hint="eastAsia" w:eastAsia="宋体"/>
                      <w:color w:val="auto"/>
                      <w:lang w:eastAsia="zh-CN"/>
                    </w:rPr>
                  </w:pPr>
                  <w:r>
                    <w:rPr>
                      <w:rFonts w:hint="eastAsia"/>
                      <w:color w:val="auto"/>
                    </w:rPr>
                    <w:t>储存原料，位于车间</w:t>
                  </w:r>
                  <w:r>
                    <w:rPr>
                      <w:rFonts w:hint="eastAsia"/>
                      <w:color w:val="auto"/>
                      <w:lang w:val="en-US" w:eastAsia="zh-CN"/>
                    </w:rPr>
                    <w:t>东南侧</w:t>
                  </w:r>
                </w:p>
              </w:tc>
              <w:tc>
                <w:tcPr>
                  <w:tcW w:w="597" w:type="pct"/>
                  <w:tcBorders>
                    <w:tl2br w:val="nil"/>
                    <w:tr2bl w:val="nil"/>
                  </w:tcBorders>
                  <w:vAlign w:val="center"/>
                </w:tcPr>
                <w:p w14:paraId="0241CBCC">
                  <w:pPr>
                    <w:adjustRightInd w:val="0"/>
                    <w:snapToGrid w:val="0"/>
                    <w:jc w:val="center"/>
                    <w:rPr>
                      <w:color w:val="auto"/>
                    </w:rPr>
                  </w:pPr>
                  <w:r>
                    <w:rPr>
                      <w:rFonts w:hint="eastAsia"/>
                      <w:color w:val="auto"/>
                    </w:rPr>
                    <w:t>依托现有厂房，新建</w:t>
                  </w:r>
                </w:p>
              </w:tc>
            </w:tr>
            <w:tr w14:paraId="7C00AE4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278" w:type="pct"/>
                  <w:vMerge w:val="continue"/>
                  <w:tcBorders>
                    <w:tl2br w:val="nil"/>
                    <w:tr2bl w:val="nil"/>
                  </w:tcBorders>
                  <w:vAlign w:val="center"/>
                </w:tcPr>
                <w:p w14:paraId="655DBF02">
                  <w:pPr>
                    <w:adjustRightInd w:val="0"/>
                    <w:snapToGrid w:val="0"/>
                    <w:jc w:val="center"/>
                    <w:rPr>
                      <w:b/>
                      <w:bCs/>
                      <w:color w:val="auto"/>
                    </w:rPr>
                  </w:pPr>
                </w:p>
              </w:tc>
              <w:tc>
                <w:tcPr>
                  <w:tcW w:w="858" w:type="pct"/>
                  <w:gridSpan w:val="2"/>
                  <w:tcBorders>
                    <w:tl2br w:val="nil"/>
                    <w:tr2bl w:val="nil"/>
                  </w:tcBorders>
                  <w:vAlign w:val="center"/>
                </w:tcPr>
                <w:p w14:paraId="08B638AA">
                  <w:pPr>
                    <w:adjustRightInd w:val="0"/>
                    <w:snapToGrid w:val="0"/>
                    <w:jc w:val="center"/>
                    <w:rPr>
                      <w:rFonts w:hint="default"/>
                      <w:color w:val="auto"/>
                      <w:lang w:val="en-US" w:eastAsia="zh-CN"/>
                    </w:rPr>
                  </w:pPr>
                  <w:r>
                    <w:rPr>
                      <w:rFonts w:hint="eastAsia"/>
                      <w:color w:val="auto"/>
                      <w:lang w:val="en-US" w:eastAsia="zh-CN"/>
                    </w:rPr>
                    <w:t>成品区</w:t>
                  </w:r>
                </w:p>
              </w:tc>
              <w:tc>
                <w:tcPr>
                  <w:tcW w:w="3265" w:type="pct"/>
                  <w:gridSpan w:val="3"/>
                  <w:tcBorders>
                    <w:tl2br w:val="nil"/>
                    <w:tr2bl w:val="nil"/>
                  </w:tcBorders>
                  <w:vAlign w:val="center"/>
                </w:tcPr>
                <w:p w14:paraId="20F0C971">
                  <w:pPr>
                    <w:adjustRightInd w:val="0"/>
                    <w:snapToGrid w:val="0"/>
                    <w:jc w:val="center"/>
                    <w:rPr>
                      <w:rFonts w:hint="eastAsia"/>
                      <w:color w:val="auto"/>
                    </w:rPr>
                  </w:pPr>
                  <w:r>
                    <w:rPr>
                      <w:rFonts w:hint="eastAsia"/>
                      <w:color w:val="auto"/>
                    </w:rPr>
                    <w:t>储存</w:t>
                  </w:r>
                  <w:r>
                    <w:rPr>
                      <w:rFonts w:hint="eastAsia"/>
                      <w:color w:val="auto"/>
                      <w:lang w:val="en-US" w:eastAsia="zh-CN"/>
                    </w:rPr>
                    <w:t>成品</w:t>
                  </w:r>
                  <w:r>
                    <w:rPr>
                      <w:rFonts w:hint="eastAsia"/>
                      <w:color w:val="auto"/>
                    </w:rPr>
                    <w:t>，位于车间</w:t>
                  </w:r>
                  <w:r>
                    <w:rPr>
                      <w:rFonts w:hint="eastAsia"/>
                      <w:color w:val="auto"/>
                      <w:lang w:val="en-US" w:eastAsia="zh-CN"/>
                    </w:rPr>
                    <w:t>北侧</w:t>
                  </w:r>
                </w:p>
              </w:tc>
              <w:tc>
                <w:tcPr>
                  <w:tcW w:w="597" w:type="pct"/>
                  <w:tcBorders>
                    <w:tl2br w:val="nil"/>
                    <w:tr2bl w:val="nil"/>
                  </w:tcBorders>
                  <w:vAlign w:val="center"/>
                </w:tcPr>
                <w:p w14:paraId="1A155D73">
                  <w:pPr>
                    <w:adjustRightInd w:val="0"/>
                    <w:snapToGrid w:val="0"/>
                    <w:jc w:val="center"/>
                    <w:rPr>
                      <w:rFonts w:hint="eastAsia"/>
                      <w:color w:val="auto"/>
                    </w:rPr>
                  </w:pPr>
                  <w:r>
                    <w:rPr>
                      <w:rFonts w:hint="eastAsia"/>
                      <w:color w:val="auto"/>
                    </w:rPr>
                    <w:t>依托现有厂房，新建</w:t>
                  </w:r>
                </w:p>
              </w:tc>
            </w:tr>
            <w:tr w14:paraId="0EABBBB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278" w:type="pct"/>
                  <w:vMerge w:val="continue"/>
                  <w:tcBorders>
                    <w:tl2br w:val="nil"/>
                    <w:tr2bl w:val="nil"/>
                  </w:tcBorders>
                  <w:vAlign w:val="center"/>
                </w:tcPr>
                <w:p w14:paraId="5B0DFD2F">
                  <w:pPr>
                    <w:adjustRightInd w:val="0"/>
                    <w:snapToGrid w:val="0"/>
                    <w:jc w:val="center"/>
                    <w:rPr>
                      <w:b/>
                      <w:bCs/>
                      <w:color w:val="auto"/>
                    </w:rPr>
                  </w:pPr>
                </w:p>
              </w:tc>
              <w:tc>
                <w:tcPr>
                  <w:tcW w:w="858" w:type="pct"/>
                  <w:gridSpan w:val="2"/>
                  <w:tcBorders>
                    <w:tl2br w:val="nil"/>
                    <w:tr2bl w:val="nil"/>
                  </w:tcBorders>
                  <w:vAlign w:val="center"/>
                </w:tcPr>
                <w:p w14:paraId="217D66DB">
                  <w:pPr>
                    <w:adjustRightInd w:val="0"/>
                    <w:snapToGrid w:val="0"/>
                    <w:jc w:val="center"/>
                    <w:rPr>
                      <w:rFonts w:hint="default"/>
                      <w:color w:val="auto"/>
                      <w:lang w:val="en-US" w:eastAsia="zh-CN"/>
                    </w:rPr>
                  </w:pPr>
                  <w:r>
                    <w:rPr>
                      <w:rFonts w:hint="eastAsia"/>
                      <w:color w:val="auto"/>
                      <w:lang w:val="en-US" w:eastAsia="zh-CN"/>
                    </w:rPr>
                    <w:t>油漆仓库</w:t>
                  </w:r>
                </w:p>
              </w:tc>
              <w:tc>
                <w:tcPr>
                  <w:tcW w:w="3265" w:type="pct"/>
                  <w:gridSpan w:val="3"/>
                  <w:tcBorders>
                    <w:tl2br w:val="nil"/>
                    <w:tr2bl w:val="nil"/>
                  </w:tcBorders>
                  <w:vAlign w:val="center"/>
                </w:tcPr>
                <w:p w14:paraId="5B7FB32F">
                  <w:pPr>
                    <w:adjustRightInd w:val="0"/>
                    <w:snapToGrid w:val="0"/>
                    <w:jc w:val="center"/>
                    <w:rPr>
                      <w:rFonts w:hint="default" w:eastAsia="宋体"/>
                      <w:color w:val="auto"/>
                      <w:lang w:val="en-US" w:eastAsia="zh-CN"/>
                    </w:rPr>
                  </w:pPr>
                  <w:r>
                    <w:rPr>
                      <w:rFonts w:hint="eastAsia"/>
                      <w:color w:val="auto"/>
                      <w:lang w:val="en-US" w:eastAsia="zh-CN"/>
                    </w:rPr>
                    <w:t>储存油漆，位于车间东南侧</w:t>
                  </w:r>
                </w:p>
              </w:tc>
              <w:tc>
                <w:tcPr>
                  <w:tcW w:w="597" w:type="pct"/>
                  <w:tcBorders>
                    <w:tl2br w:val="nil"/>
                    <w:tr2bl w:val="nil"/>
                  </w:tcBorders>
                  <w:vAlign w:val="center"/>
                </w:tcPr>
                <w:p w14:paraId="4F848936">
                  <w:pPr>
                    <w:adjustRightInd w:val="0"/>
                    <w:snapToGrid w:val="0"/>
                    <w:jc w:val="center"/>
                    <w:rPr>
                      <w:rFonts w:hint="eastAsia"/>
                      <w:color w:val="auto"/>
                    </w:rPr>
                  </w:pPr>
                  <w:r>
                    <w:rPr>
                      <w:rFonts w:hint="eastAsia"/>
                      <w:color w:val="auto"/>
                    </w:rPr>
                    <w:t>依托现有厂房，新建</w:t>
                  </w:r>
                </w:p>
              </w:tc>
            </w:tr>
            <w:tr w14:paraId="245E344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278" w:type="pct"/>
                  <w:vMerge w:val="continue"/>
                  <w:tcBorders>
                    <w:tl2br w:val="nil"/>
                    <w:tr2bl w:val="nil"/>
                  </w:tcBorders>
                  <w:vAlign w:val="center"/>
                </w:tcPr>
                <w:p w14:paraId="2B7C050B">
                  <w:pPr>
                    <w:adjustRightInd w:val="0"/>
                    <w:snapToGrid w:val="0"/>
                    <w:jc w:val="center"/>
                    <w:rPr>
                      <w:b/>
                      <w:bCs/>
                      <w:color w:val="auto"/>
                    </w:rPr>
                  </w:pPr>
                </w:p>
              </w:tc>
              <w:tc>
                <w:tcPr>
                  <w:tcW w:w="858" w:type="pct"/>
                  <w:gridSpan w:val="2"/>
                  <w:tcBorders>
                    <w:tl2br w:val="nil"/>
                    <w:tr2bl w:val="nil"/>
                  </w:tcBorders>
                  <w:vAlign w:val="center"/>
                </w:tcPr>
                <w:p w14:paraId="3FCFB6E0">
                  <w:pPr>
                    <w:adjustRightInd w:val="0"/>
                    <w:snapToGrid w:val="0"/>
                    <w:jc w:val="center"/>
                    <w:rPr>
                      <w:color w:val="auto"/>
                    </w:rPr>
                  </w:pPr>
                  <w:r>
                    <w:rPr>
                      <w:rFonts w:hint="eastAsia"/>
                      <w:color w:val="auto"/>
                    </w:rPr>
                    <w:t>运输</w:t>
                  </w:r>
                </w:p>
              </w:tc>
              <w:tc>
                <w:tcPr>
                  <w:tcW w:w="3862" w:type="pct"/>
                  <w:gridSpan w:val="4"/>
                  <w:tcBorders>
                    <w:tl2br w:val="nil"/>
                    <w:tr2bl w:val="nil"/>
                  </w:tcBorders>
                  <w:vAlign w:val="center"/>
                </w:tcPr>
                <w:p w14:paraId="762E46CD">
                  <w:pPr>
                    <w:adjustRightInd w:val="0"/>
                    <w:snapToGrid w:val="0"/>
                    <w:jc w:val="center"/>
                    <w:rPr>
                      <w:color w:val="auto"/>
                    </w:rPr>
                  </w:pPr>
                  <w:r>
                    <w:rPr>
                      <w:rFonts w:hint="eastAsia"/>
                      <w:color w:val="auto"/>
                    </w:rPr>
                    <w:t>统一由社会车辆运输</w:t>
                  </w:r>
                </w:p>
              </w:tc>
            </w:tr>
            <w:tr w14:paraId="665A73D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90" w:hRule="atLeast"/>
                <w:jc w:val="center"/>
              </w:trPr>
              <w:tc>
                <w:tcPr>
                  <w:tcW w:w="278" w:type="pct"/>
                  <w:vMerge w:val="restart"/>
                  <w:tcBorders>
                    <w:tl2br w:val="nil"/>
                    <w:tr2bl w:val="nil"/>
                  </w:tcBorders>
                  <w:vAlign w:val="center"/>
                </w:tcPr>
                <w:p w14:paraId="6784006E">
                  <w:pPr>
                    <w:adjustRightInd w:val="0"/>
                    <w:snapToGrid w:val="0"/>
                    <w:jc w:val="center"/>
                    <w:rPr>
                      <w:b/>
                      <w:bCs/>
                      <w:color w:val="auto"/>
                    </w:rPr>
                  </w:pPr>
                  <w:r>
                    <w:rPr>
                      <w:b/>
                      <w:bCs/>
                      <w:color w:val="auto"/>
                    </w:rPr>
                    <w:t>环保</w:t>
                  </w:r>
                </w:p>
                <w:p w14:paraId="7DA196CB">
                  <w:pPr>
                    <w:adjustRightInd w:val="0"/>
                    <w:snapToGrid w:val="0"/>
                    <w:jc w:val="center"/>
                    <w:rPr>
                      <w:b/>
                      <w:bCs/>
                      <w:color w:val="auto"/>
                    </w:rPr>
                  </w:pPr>
                  <w:r>
                    <w:rPr>
                      <w:b/>
                      <w:bCs/>
                      <w:color w:val="auto"/>
                    </w:rPr>
                    <w:t>工程</w:t>
                  </w:r>
                </w:p>
              </w:tc>
              <w:tc>
                <w:tcPr>
                  <w:tcW w:w="331" w:type="pct"/>
                  <w:vMerge w:val="restart"/>
                  <w:tcBorders>
                    <w:tl2br w:val="nil"/>
                    <w:tr2bl w:val="nil"/>
                  </w:tcBorders>
                  <w:vAlign w:val="center"/>
                </w:tcPr>
                <w:p w14:paraId="25C481A8">
                  <w:pPr>
                    <w:adjustRightInd w:val="0"/>
                    <w:snapToGrid w:val="0"/>
                    <w:jc w:val="center"/>
                    <w:rPr>
                      <w:color w:val="auto"/>
                    </w:rPr>
                  </w:pPr>
                  <w:r>
                    <w:rPr>
                      <w:color w:val="auto"/>
                    </w:rPr>
                    <w:t>废气</w:t>
                  </w:r>
                </w:p>
              </w:tc>
              <w:tc>
                <w:tcPr>
                  <w:tcW w:w="527" w:type="pct"/>
                  <w:tcBorders>
                    <w:tl2br w:val="nil"/>
                    <w:tr2bl w:val="nil"/>
                  </w:tcBorders>
                  <w:vAlign w:val="center"/>
                </w:tcPr>
                <w:p w14:paraId="3838BFE4">
                  <w:pPr>
                    <w:adjustRightInd w:val="0"/>
                    <w:snapToGrid w:val="0"/>
                    <w:jc w:val="center"/>
                    <w:rPr>
                      <w:rFonts w:hint="default" w:eastAsia="宋体"/>
                      <w:color w:val="auto"/>
                      <w:lang w:val="en-US" w:eastAsia="zh-CN"/>
                    </w:rPr>
                  </w:pPr>
                  <w:r>
                    <w:rPr>
                      <w:rFonts w:hint="eastAsia"/>
                      <w:color w:val="auto"/>
                      <w:lang w:val="en-US" w:eastAsia="zh-CN"/>
                    </w:rPr>
                    <w:t>喷砂粉尘</w:t>
                  </w:r>
                </w:p>
              </w:tc>
              <w:tc>
                <w:tcPr>
                  <w:tcW w:w="1859" w:type="pct"/>
                  <w:vMerge w:val="restart"/>
                  <w:tcBorders>
                    <w:tl2br w:val="nil"/>
                    <w:tr2bl w:val="nil"/>
                  </w:tcBorders>
                  <w:vAlign w:val="center"/>
                </w:tcPr>
                <w:p w14:paraId="430B8754">
                  <w:pPr>
                    <w:adjustRightInd w:val="0"/>
                    <w:snapToGrid w:val="0"/>
                    <w:jc w:val="center"/>
                    <w:rPr>
                      <w:rFonts w:hint="default" w:eastAsia="宋体"/>
                      <w:color w:val="auto"/>
                      <w:lang w:val="en-US" w:eastAsia="zh-CN"/>
                    </w:rPr>
                  </w:pPr>
                  <w:r>
                    <w:rPr>
                      <w:rFonts w:hint="eastAsia"/>
                      <w:color w:val="auto"/>
                      <w:lang w:val="en-US" w:eastAsia="zh-CN"/>
                    </w:rPr>
                    <w:t>密闭收集+袋式除尘器处理+15m排气筒DA001</w:t>
                  </w:r>
                </w:p>
              </w:tc>
              <w:tc>
                <w:tcPr>
                  <w:tcW w:w="1405" w:type="pct"/>
                  <w:gridSpan w:val="2"/>
                  <w:vMerge w:val="restart"/>
                  <w:tcBorders>
                    <w:tl2br w:val="nil"/>
                    <w:tr2bl w:val="nil"/>
                  </w:tcBorders>
                  <w:vAlign w:val="center"/>
                </w:tcPr>
                <w:p w14:paraId="1D678F7E">
                  <w:pPr>
                    <w:adjustRightInd w:val="0"/>
                    <w:snapToGrid w:val="0"/>
                    <w:jc w:val="center"/>
                    <w:rPr>
                      <w:color w:val="auto"/>
                    </w:rPr>
                  </w:pPr>
                  <w:r>
                    <w:rPr>
                      <w:rFonts w:hint="eastAsia"/>
                      <w:color w:val="auto"/>
                      <w:lang w:val="en-US" w:eastAsia="zh-CN"/>
                    </w:rPr>
                    <w:t>收集效率98%，</w:t>
                  </w:r>
                  <w:r>
                    <w:rPr>
                      <w:color w:val="auto"/>
                    </w:rPr>
                    <w:t>处理效率</w:t>
                  </w:r>
                  <w:r>
                    <w:rPr>
                      <w:rFonts w:hint="eastAsia"/>
                      <w:color w:val="auto"/>
                    </w:rPr>
                    <w:t>9</w:t>
                  </w:r>
                  <w:r>
                    <w:rPr>
                      <w:rFonts w:hint="eastAsia"/>
                      <w:color w:val="auto"/>
                      <w:lang w:val="en-US" w:eastAsia="zh-CN"/>
                    </w:rPr>
                    <w:t>5</w:t>
                  </w:r>
                  <w:r>
                    <w:rPr>
                      <w:color w:val="auto"/>
                    </w:rPr>
                    <w:t>%</w:t>
                  </w:r>
                </w:p>
              </w:tc>
              <w:tc>
                <w:tcPr>
                  <w:tcW w:w="597" w:type="pct"/>
                  <w:vMerge w:val="restart"/>
                  <w:tcBorders>
                    <w:tl2br w:val="nil"/>
                    <w:tr2bl w:val="nil"/>
                  </w:tcBorders>
                  <w:vAlign w:val="center"/>
                </w:tcPr>
                <w:p w14:paraId="406BBB8A">
                  <w:pPr>
                    <w:adjustRightInd w:val="0"/>
                    <w:snapToGrid w:val="0"/>
                    <w:jc w:val="center"/>
                    <w:rPr>
                      <w:color w:val="auto"/>
                    </w:rPr>
                  </w:pPr>
                  <w:r>
                    <w:rPr>
                      <w:color w:val="auto"/>
                    </w:rPr>
                    <w:t>新建</w:t>
                  </w:r>
                </w:p>
              </w:tc>
            </w:tr>
            <w:tr w14:paraId="7AF0DD3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182" w:hRule="atLeast"/>
                <w:jc w:val="center"/>
              </w:trPr>
              <w:tc>
                <w:tcPr>
                  <w:tcW w:w="278" w:type="pct"/>
                  <w:vMerge w:val="continue"/>
                  <w:tcBorders>
                    <w:tl2br w:val="nil"/>
                    <w:tr2bl w:val="nil"/>
                  </w:tcBorders>
                  <w:vAlign w:val="center"/>
                </w:tcPr>
                <w:p w14:paraId="73137DE0">
                  <w:pPr>
                    <w:adjustRightInd w:val="0"/>
                    <w:snapToGrid w:val="0"/>
                    <w:jc w:val="center"/>
                    <w:rPr>
                      <w:b/>
                      <w:bCs/>
                      <w:color w:val="auto"/>
                    </w:rPr>
                  </w:pPr>
                </w:p>
              </w:tc>
              <w:tc>
                <w:tcPr>
                  <w:tcW w:w="331" w:type="pct"/>
                  <w:vMerge w:val="continue"/>
                  <w:tcBorders>
                    <w:tl2br w:val="nil"/>
                    <w:tr2bl w:val="nil"/>
                  </w:tcBorders>
                  <w:vAlign w:val="center"/>
                </w:tcPr>
                <w:p w14:paraId="59C26976">
                  <w:pPr>
                    <w:adjustRightInd w:val="0"/>
                    <w:snapToGrid w:val="0"/>
                    <w:jc w:val="center"/>
                    <w:rPr>
                      <w:color w:val="auto"/>
                    </w:rPr>
                  </w:pPr>
                </w:p>
              </w:tc>
              <w:tc>
                <w:tcPr>
                  <w:tcW w:w="527" w:type="pct"/>
                  <w:tcBorders>
                    <w:tl2br w:val="nil"/>
                    <w:tr2bl w:val="nil"/>
                  </w:tcBorders>
                  <w:vAlign w:val="center"/>
                </w:tcPr>
                <w:p w14:paraId="64891FCE">
                  <w:pPr>
                    <w:adjustRightInd w:val="0"/>
                    <w:snapToGrid w:val="0"/>
                    <w:jc w:val="center"/>
                    <w:rPr>
                      <w:rFonts w:hint="eastAsia"/>
                      <w:color w:val="auto"/>
                      <w:lang w:val="en-US" w:eastAsia="zh-CN"/>
                    </w:rPr>
                  </w:pPr>
                  <w:r>
                    <w:rPr>
                      <w:rFonts w:hint="eastAsia"/>
                      <w:color w:val="auto"/>
                      <w:lang w:val="en-US" w:eastAsia="zh-CN"/>
                    </w:rPr>
                    <w:t>喷锌粉尘</w:t>
                  </w:r>
                </w:p>
              </w:tc>
              <w:tc>
                <w:tcPr>
                  <w:tcW w:w="1859" w:type="pct"/>
                  <w:vMerge w:val="continue"/>
                  <w:tcBorders>
                    <w:tl2br w:val="nil"/>
                    <w:tr2bl w:val="nil"/>
                  </w:tcBorders>
                  <w:vAlign w:val="center"/>
                </w:tcPr>
                <w:p w14:paraId="239B5E31">
                  <w:pPr>
                    <w:adjustRightInd w:val="0"/>
                    <w:snapToGrid w:val="0"/>
                    <w:jc w:val="center"/>
                    <w:rPr>
                      <w:rFonts w:hint="eastAsia"/>
                      <w:color w:val="auto"/>
                      <w:lang w:val="en-US" w:eastAsia="zh-CN"/>
                    </w:rPr>
                  </w:pPr>
                </w:p>
              </w:tc>
              <w:tc>
                <w:tcPr>
                  <w:tcW w:w="1405" w:type="pct"/>
                  <w:gridSpan w:val="2"/>
                  <w:vMerge w:val="continue"/>
                  <w:tcBorders>
                    <w:tl2br w:val="nil"/>
                    <w:tr2bl w:val="nil"/>
                  </w:tcBorders>
                  <w:vAlign w:val="center"/>
                </w:tcPr>
                <w:p w14:paraId="0441A7A2">
                  <w:pPr>
                    <w:adjustRightInd w:val="0"/>
                    <w:snapToGrid w:val="0"/>
                    <w:jc w:val="center"/>
                    <w:rPr>
                      <w:rFonts w:hint="eastAsia"/>
                      <w:color w:val="auto"/>
                    </w:rPr>
                  </w:pPr>
                </w:p>
              </w:tc>
              <w:tc>
                <w:tcPr>
                  <w:tcW w:w="597" w:type="pct"/>
                  <w:vMerge w:val="continue"/>
                  <w:tcBorders>
                    <w:tl2br w:val="nil"/>
                    <w:tr2bl w:val="nil"/>
                  </w:tcBorders>
                  <w:vAlign w:val="center"/>
                </w:tcPr>
                <w:p w14:paraId="68EC294A">
                  <w:pPr>
                    <w:adjustRightInd w:val="0"/>
                    <w:snapToGrid w:val="0"/>
                    <w:jc w:val="center"/>
                    <w:rPr>
                      <w:color w:val="auto"/>
                    </w:rPr>
                  </w:pPr>
                </w:p>
              </w:tc>
            </w:tr>
            <w:tr w14:paraId="2875E907">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197" w:hRule="atLeast"/>
                <w:jc w:val="center"/>
              </w:trPr>
              <w:tc>
                <w:tcPr>
                  <w:tcW w:w="278" w:type="pct"/>
                  <w:vMerge w:val="continue"/>
                  <w:tcBorders>
                    <w:tl2br w:val="nil"/>
                    <w:tr2bl w:val="nil"/>
                  </w:tcBorders>
                  <w:vAlign w:val="center"/>
                </w:tcPr>
                <w:p w14:paraId="150898CE">
                  <w:pPr>
                    <w:adjustRightInd w:val="0"/>
                    <w:snapToGrid w:val="0"/>
                    <w:jc w:val="center"/>
                    <w:rPr>
                      <w:b/>
                      <w:bCs/>
                      <w:color w:val="auto"/>
                    </w:rPr>
                  </w:pPr>
                </w:p>
              </w:tc>
              <w:tc>
                <w:tcPr>
                  <w:tcW w:w="331" w:type="pct"/>
                  <w:vMerge w:val="continue"/>
                  <w:tcBorders>
                    <w:tl2br w:val="nil"/>
                    <w:tr2bl w:val="nil"/>
                  </w:tcBorders>
                  <w:vAlign w:val="center"/>
                </w:tcPr>
                <w:p w14:paraId="6AC69DFE">
                  <w:pPr>
                    <w:adjustRightInd w:val="0"/>
                    <w:snapToGrid w:val="0"/>
                    <w:jc w:val="center"/>
                    <w:rPr>
                      <w:color w:val="auto"/>
                    </w:rPr>
                  </w:pPr>
                </w:p>
              </w:tc>
              <w:tc>
                <w:tcPr>
                  <w:tcW w:w="527" w:type="pct"/>
                  <w:tcBorders>
                    <w:tl2br w:val="nil"/>
                    <w:tr2bl w:val="nil"/>
                  </w:tcBorders>
                  <w:vAlign w:val="center"/>
                </w:tcPr>
                <w:p w14:paraId="7FD35011">
                  <w:pPr>
                    <w:adjustRightInd w:val="0"/>
                    <w:snapToGrid w:val="0"/>
                    <w:jc w:val="center"/>
                    <w:rPr>
                      <w:rFonts w:hint="default"/>
                      <w:color w:val="auto"/>
                      <w:lang w:val="en-US" w:eastAsia="zh-CN"/>
                    </w:rPr>
                  </w:pPr>
                  <w:r>
                    <w:rPr>
                      <w:rFonts w:hint="eastAsia"/>
                      <w:color w:val="auto"/>
                      <w:lang w:val="en-US" w:eastAsia="zh-CN"/>
                    </w:rPr>
                    <w:t>喷漆废气</w:t>
                  </w:r>
                </w:p>
              </w:tc>
              <w:tc>
                <w:tcPr>
                  <w:tcW w:w="1859" w:type="pct"/>
                  <w:vMerge w:val="restart"/>
                  <w:tcBorders>
                    <w:tl2br w:val="nil"/>
                    <w:tr2bl w:val="nil"/>
                  </w:tcBorders>
                  <w:vAlign w:val="center"/>
                </w:tcPr>
                <w:p w14:paraId="3181C9D5">
                  <w:pPr>
                    <w:adjustRightInd w:val="0"/>
                    <w:snapToGrid w:val="0"/>
                    <w:jc w:val="center"/>
                    <w:rPr>
                      <w:rFonts w:hint="default"/>
                      <w:color w:val="auto"/>
                      <w:lang w:val="en-US" w:eastAsia="zh-CN"/>
                    </w:rPr>
                  </w:pPr>
                  <w:r>
                    <w:rPr>
                      <w:rFonts w:hint="eastAsia"/>
                      <w:color w:val="auto"/>
                      <w:lang w:val="en-US" w:eastAsia="zh-CN"/>
                    </w:rPr>
                    <w:t>密闭收集+“过滤棉+二级活性炭装置”+15m排气筒DA002</w:t>
                  </w:r>
                </w:p>
              </w:tc>
              <w:tc>
                <w:tcPr>
                  <w:tcW w:w="1405" w:type="pct"/>
                  <w:gridSpan w:val="2"/>
                  <w:vMerge w:val="restart"/>
                  <w:tcBorders>
                    <w:tl2br w:val="nil"/>
                    <w:tr2bl w:val="nil"/>
                  </w:tcBorders>
                  <w:vAlign w:val="center"/>
                </w:tcPr>
                <w:p w14:paraId="1540E0DD">
                  <w:pPr>
                    <w:adjustRightInd w:val="0"/>
                    <w:snapToGrid w:val="0"/>
                    <w:jc w:val="center"/>
                    <w:rPr>
                      <w:rFonts w:hint="eastAsia"/>
                      <w:color w:val="auto"/>
                    </w:rPr>
                  </w:pPr>
                  <w:r>
                    <w:rPr>
                      <w:rFonts w:hint="eastAsia"/>
                      <w:color w:val="auto"/>
                    </w:rPr>
                    <w:t>收集效率</w:t>
                  </w:r>
                  <w:r>
                    <w:rPr>
                      <w:rFonts w:hint="eastAsia"/>
                      <w:color w:val="auto"/>
                      <w:lang w:val="en-US" w:eastAsia="zh-CN"/>
                    </w:rPr>
                    <w:t>98</w:t>
                  </w:r>
                  <w:r>
                    <w:rPr>
                      <w:rFonts w:hint="eastAsia"/>
                      <w:color w:val="auto"/>
                    </w:rPr>
                    <w:t>%，</w:t>
                  </w:r>
                  <w:r>
                    <w:rPr>
                      <w:color w:val="auto"/>
                    </w:rPr>
                    <w:t>处理效率</w:t>
                  </w:r>
                  <w:r>
                    <w:rPr>
                      <w:rFonts w:hint="eastAsia"/>
                      <w:color w:val="auto"/>
                    </w:rPr>
                    <w:t>90</w:t>
                  </w:r>
                  <w:r>
                    <w:rPr>
                      <w:color w:val="auto"/>
                    </w:rPr>
                    <w:t>%</w:t>
                  </w:r>
                </w:p>
              </w:tc>
              <w:tc>
                <w:tcPr>
                  <w:tcW w:w="597" w:type="pct"/>
                  <w:vMerge w:val="continue"/>
                  <w:tcBorders>
                    <w:tl2br w:val="nil"/>
                    <w:tr2bl w:val="nil"/>
                  </w:tcBorders>
                  <w:vAlign w:val="center"/>
                </w:tcPr>
                <w:p w14:paraId="4EDBA3A8">
                  <w:pPr>
                    <w:adjustRightInd w:val="0"/>
                    <w:snapToGrid w:val="0"/>
                    <w:jc w:val="center"/>
                    <w:rPr>
                      <w:color w:val="auto"/>
                    </w:rPr>
                  </w:pPr>
                </w:p>
              </w:tc>
            </w:tr>
            <w:tr w14:paraId="5172431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90" w:hRule="atLeast"/>
                <w:jc w:val="center"/>
              </w:trPr>
              <w:tc>
                <w:tcPr>
                  <w:tcW w:w="278" w:type="pct"/>
                  <w:vMerge w:val="continue"/>
                  <w:tcBorders>
                    <w:tl2br w:val="nil"/>
                    <w:tr2bl w:val="nil"/>
                  </w:tcBorders>
                  <w:vAlign w:val="center"/>
                </w:tcPr>
                <w:p w14:paraId="0E9FB3EC">
                  <w:pPr>
                    <w:adjustRightInd w:val="0"/>
                    <w:snapToGrid w:val="0"/>
                    <w:jc w:val="center"/>
                    <w:rPr>
                      <w:b/>
                      <w:bCs/>
                      <w:color w:val="auto"/>
                    </w:rPr>
                  </w:pPr>
                </w:p>
              </w:tc>
              <w:tc>
                <w:tcPr>
                  <w:tcW w:w="331" w:type="pct"/>
                  <w:vMerge w:val="continue"/>
                  <w:tcBorders>
                    <w:tl2br w:val="nil"/>
                    <w:tr2bl w:val="nil"/>
                  </w:tcBorders>
                  <w:vAlign w:val="center"/>
                </w:tcPr>
                <w:p w14:paraId="119485A1">
                  <w:pPr>
                    <w:adjustRightInd w:val="0"/>
                    <w:snapToGrid w:val="0"/>
                    <w:jc w:val="center"/>
                    <w:rPr>
                      <w:color w:val="auto"/>
                    </w:rPr>
                  </w:pPr>
                </w:p>
              </w:tc>
              <w:tc>
                <w:tcPr>
                  <w:tcW w:w="527" w:type="pct"/>
                  <w:tcBorders>
                    <w:tl2br w:val="nil"/>
                    <w:tr2bl w:val="nil"/>
                  </w:tcBorders>
                  <w:vAlign w:val="center"/>
                </w:tcPr>
                <w:p w14:paraId="484CEAE8">
                  <w:pPr>
                    <w:adjustRightInd w:val="0"/>
                    <w:snapToGrid w:val="0"/>
                    <w:jc w:val="center"/>
                    <w:rPr>
                      <w:rFonts w:hint="default"/>
                      <w:color w:val="auto"/>
                      <w:lang w:val="en-US" w:eastAsia="zh-CN"/>
                    </w:rPr>
                  </w:pPr>
                  <w:r>
                    <w:rPr>
                      <w:rFonts w:hint="eastAsia"/>
                      <w:color w:val="auto"/>
                      <w:lang w:val="en-US" w:eastAsia="zh-CN"/>
                    </w:rPr>
                    <w:t>漆雾</w:t>
                  </w:r>
                </w:p>
              </w:tc>
              <w:tc>
                <w:tcPr>
                  <w:tcW w:w="1859" w:type="pct"/>
                  <w:vMerge w:val="continue"/>
                  <w:tcBorders>
                    <w:tl2br w:val="nil"/>
                    <w:tr2bl w:val="nil"/>
                  </w:tcBorders>
                  <w:vAlign w:val="center"/>
                </w:tcPr>
                <w:p w14:paraId="67592B65">
                  <w:pPr>
                    <w:adjustRightInd w:val="0"/>
                    <w:snapToGrid w:val="0"/>
                    <w:jc w:val="center"/>
                    <w:rPr>
                      <w:rFonts w:hint="eastAsia"/>
                      <w:color w:val="auto"/>
                      <w:lang w:val="en-US" w:eastAsia="zh-CN"/>
                    </w:rPr>
                  </w:pPr>
                </w:p>
              </w:tc>
              <w:tc>
                <w:tcPr>
                  <w:tcW w:w="1405" w:type="pct"/>
                  <w:gridSpan w:val="2"/>
                  <w:vMerge w:val="continue"/>
                  <w:tcBorders>
                    <w:tl2br w:val="nil"/>
                    <w:tr2bl w:val="nil"/>
                  </w:tcBorders>
                  <w:vAlign w:val="center"/>
                </w:tcPr>
                <w:p w14:paraId="777B0A7E">
                  <w:pPr>
                    <w:adjustRightInd w:val="0"/>
                    <w:snapToGrid w:val="0"/>
                    <w:jc w:val="center"/>
                    <w:rPr>
                      <w:rFonts w:hint="eastAsia"/>
                      <w:color w:val="auto"/>
                    </w:rPr>
                  </w:pPr>
                </w:p>
              </w:tc>
              <w:tc>
                <w:tcPr>
                  <w:tcW w:w="597" w:type="pct"/>
                  <w:vMerge w:val="continue"/>
                  <w:tcBorders>
                    <w:tl2br w:val="nil"/>
                    <w:tr2bl w:val="nil"/>
                  </w:tcBorders>
                  <w:vAlign w:val="center"/>
                </w:tcPr>
                <w:p w14:paraId="03EBD805">
                  <w:pPr>
                    <w:adjustRightInd w:val="0"/>
                    <w:snapToGrid w:val="0"/>
                    <w:jc w:val="center"/>
                    <w:rPr>
                      <w:color w:val="auto"/>
                    </w:rPr>
                  </w:pPr>
                </w:p>
              </w:tc>
            </w:tr>
            <w:tr w14:paraId="144A3EC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90" w:hRule="atLeast"/>
                <w:jc w:val="center"/>
              </w:trPr>
              <w:tc>
                <w:tcPr>
                  <w:tcW w:w="278" w:type="pct"/>
                  <w:vMerge w:val="continue"/>
                  <w:tcBorders>
                    <w:tl2br w:val="nil"/>
                    <w:tr2bl w:val="nil"/>
                  </w:tcBorders>
                  <w:vAlign w:val="center"/>
                </w:tcPr>
                <w:p w14:paraId="1A0C7F91">
                  <w:pPr>
                    <w:adjustRightInd w:val="0"/>
                    <w:snapToGrid w:val="0"/>
                    <w:jc w:val="center"/>
                    <w:rPr>
                      <w:b/>
                      <w:bCs/>
                      <w:color w:val="auto"/>
                    </w:rPr>
                  </w:pPr>
                </w:p>
              </w:tc>
              <w:tc>
                <w:tcPr>
                  <w:tcW w:w="331" w:type="pct"/>
                  <w:vMerge w:val="continue"/>
                  <w:tcBorders>
                    <w:tl2br w:val="nil"/>
                    <w:tr2bl w:val="nil"/>
                  </w:tcBorders>
                  <w:vAlign w:val="center"/>
                </w:tcPr>
                <w:p w14:paraId="79CF67B0">
                  <w:pPr>
                    <w:adjustRightInd w:val="0"/>
                    <w:snapToGrid w:val="0"/>
                    <w:jc w:val="center"/>
                    <w:rPr>
                      <w:color w:val="auto"/>
                    </w:rPr>
                  </w:pPr>
                </w:p>
              </w:tc>
              <w:tc>
                <w:tcPr>
                  <w:tcW w:w="527" w:type="pct"/>
                  <w:tcBorders>
                    <w:tl2br w:val="nil"/>
                    <w:tr2bl w:val="nil"/>
                  </w:tcBorders>
                  <w:vAlign w:val="center"/>
                </w:tcPr>
                <w:p w14:paraId="6B011977">
                  <w:pPr>
                    <w:adjustRightInd w:val="0"/>
                    <w:snapToGrid w:val="0"/>
                    <w:jc w:val="center"/>
                    <w:rPr>
                      <w:rFonts w:hint="default"/>
                      <w:color w:val="auto"/>
                      <w:lang w:val="en-US" w:eastAsia="zh-CN"/>
                    </w:rPr>
                  </w:pPr>
                  <w:r>
                    <w:rPr>
                      <w:rFonts w:hint="eastAsia"/>
                      <w:color w:val="auto"/>
                      <w:lang w:val="en-US" w:eastAsia="zh-CN"/>
                    </w:rPr>
                    <w:t>危废仓库</w:t>
                  </w:r>
                </w:p>
              </w:tc>
              <w:tc>
                <w:tcPr>
                  <w:tcW w:w="1859" w:type="pct"/>
                  <w:tcBorders>
                    <w:tl2br w:val="nil"/>
                    <w:tr2bl w:val="nil"/>
                  </w:tcBorders>
                  <w:vAlign w:val="center"/>
                </w:tcPr>
                <w:p w14:paraId="107430CB">
                  <w:pPr>
                    <w:adjustRightInd w:val="0"/>
                    <w:snapToGrid w:val="0"/>
                    <w:jc w:val="center"/>
                    <w:rPr>
                      <w:rFonts w:hint="default"/>
                      <w:color w:val="auto"/>
                      <w:lang w:val="en-US" w:eastAsia="zh-CN"/>
                    </w:rPr>
                  </w:pPr>
                  <w:r>
                    <w:rPr>
                      <w:rFonts w:hint="eastAsia"/>
                      <w:color w:val="auto"/>
                      <w:lang w:val="en-US" w:eastAsia="zh-CN"/>
                    </w:rPr>
                    <w:t>密闭收集+二级活性炭装置</w:t>
                  </w:r>
                </w:p>
              </w:tc>
              <w:tc>
                <w:tcPr>
                  <w:tcW w:w="1405" w:type="pct"/>
                  <w:gridSpan w:val="2"/>
                  <w:tcBorders>
                    <w:tl2br w:val="nil"/>
                    <w:tr2bl w:val="nil"/>
                  </w:tcBorders>
                  <w:vAlign w:val="center"/>
                </w:tcPr>
                <w:p w14:paraId="0ED8D2F2">
                  <w:pPr>
                    <w:adjustRightInd w:val="0"/>
                    <w:snapToGrid w:val="0"/>
                    <w:jc w:val="center"/>
                    <w:rPr>
                      <w:rFonts w:hint="default" w:eastAsia="宋体"/>
                      <w:color w:val="auto"/>
                      <w:lang w:val="en-US" w:eastAsia="zh-CN"/>
                    </w:rPr>
                  </w:pPr>
                  <w:r>
                    <w:rPr>
                      <w:rFonts w:hint="eastAsia"/>
                      <w:color w:val="auto"/>
                      <w:lang w:val="en-US" w:eastAsia="zh-CN"/>
                    </w:rPr>
                    <w:t>收集效率98%，处理效率90%，处理后无组织排放</w:t>
                  </w:r>
                </w:p>
              </w:tc>
              <w:tc>
                <w:tcPr>
                  <w:tcW w:w="597" w:type="pct"/>
                  <w:vMerge w:val="continue"/>
                  <w:tcBorders>
                    <w:tl2br w:val="nil"/>
                    <w:tr2bl w:val="nil"/>
                  </w:tcBorders>
                  <w:vAlign w:val="center"/>
                </w:tcPr>
                <w:p w14:paraId="729C4350">
                  <w:pPr>
                    <w:adjustRightInd w:val="0"/>
                    <w:snapToGrid w:val="0"/>
                    <w:jc w:val="center"/>
                    <w:rPr>
                      <w:color w:val="auto"/>
                    </w:rPr>
                  </w:pPr>
                </w:p>
              </w:tc>
            </w:tr>
            <w:tr w14:paraId="48BF5A7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278" w:type="pct"/>
                  <w:vMerge w:val="continue"/>
                  <w:tcBorders>
                    <w:tl2br w:val="nil"/>
                    <w:tr2bl w:val="nil"/>
                  </w:tcBorders>
                  <w:vAlign w:val="center"/>
                </w:tcPr>
                <w:p w14:paraId="3B9EDB84">
                  <w:pPr>
                    <w:adjustRightInd w:val="0"/>
                    <w:snapToGrid w:val="0"/>
                    <w:jc w:val="center"/>
                    <w:rPr>
                      <w:color w:val="auto"/>
                    </w:rPr>
                  </w:pPr>
                </w:p>
              </w:tc>
              <w:tc>
                <w:tcPr>
                  <w:tcW w:w="331" w:type="pct"/>
                  <w:tcBorders>
                    <w:tl2br w:val="nil"/>
                    <w:tr2bl w:val="nil"/>
                  </w:tcBorders>
                  <w:vAlign w:val="center"/>
                </w:tcPr>
                <w:p w14:paraId="5FC8E015">
                  <w:pPr>
                    <w:adjustRightInd w:val="0"/>
                    <w:snapToGrid w:val="0"/>
                    <w:jc w:val="center"/>
                    <w:rPr>
                      <w:color w:val="auto"/>
                    </w:rPr>
                  </w:pPr>
                  <w:r>
                    <w:rPr>
                      <w:rFonts w:hint="eastAsia"/>
                      <w:color w:val="auto"/>
                    </w:rPr>
                    <w:t>废水</w:t>
                  </w:r>
                </w:p>
              </w:tc>
              <w:tc>
                <w:tcPr>
                  <w:tcW w:w="527" w:type="pct"/>
                  <w:tcBorders>
                    <w:tl2br w:val="nil"/>
                    <w:tr2bl w:val="nil"/>
                  </w:tcBorders>
                  <w:vAlign w:val="center"/>
                </w:tcPr>
                <w:p w14:paraId="1AB7B5D1">
                  <w:pPr>
                    <w:adjustRightInd w:val="0"/>
                    <w:snapToGrid w:val="0"/>
                    <w:jc w:val="center"/>
                    <w:rPr>
                      <w:color w:val="auto"/>
                    </w:rPr>
                  </w:pPr>
                  <w:r>
                    <w:rPr>
                      <w:rFonts w:hint="eastAsia"/>
                      <w:color w:val="auto"/>
                    </w:rPr>
                    <w:t>生活污水</w:t>
                  </w:r>
                </w:p>
              </w:tc>
              <w:tc>
                <w:tcPr>
                  <w:tcW w:w="1859" w:type="pct"/>
                  <w:tcBorders>
                    <w:tl2br w:val="nil"/>
                    <w:tr2bl w:val="nil"/>
                  </w:tcBorders>
                  <w:vAlign w:val="center"/>
                </w:tcPr>
                <w:p w14:paraId="3138D8E2">
                  <w:pPr>
                    <w:adjustRightInd w:val="0"/>
                    <w:snapToGrid w:val="0"/>
                    <w:jc w:val="center"/>
                    <w:rPr>
                      <w:color w:val="auto"/>
                    </w:rPr>
                  </w:pPr>
                  <w:r>
                    <w:rPr>
                      <w:rFonts w:hint="eastAsia"/>
                      <w:color w:val="auto"/>
                    </w:rPr>
                    <w:t>接管至常州金坛区第二污水处理有限公司</w:t>
                  </w:r>
                </w:p>
              </w:tc>
              <w:tc>
                <w:tcPr>
                  <w:tcW w:w="1405" w:type="pct"/>
                  <w:gridSpan w:val="2"/>
                  <w:tcBorders>
                    <w:tl2br w:val="nil"/>
                    <w:tr2bl w:val="nil"/>
                  </w:tcBorders>
                  <w:vAlign w:val="center"/>
                </w:tcPr>
                <w:p w14:paraId="748833A9">
                  <w:pPr>
                    <w:adjustRightInd w:val="0"/>
                    <w:snapToGrid w:val="0"/>
                    <w:jc w:val="center"/>
                    <w:rPr>
                      <w:color w:val="auto"/>
                    </w:rPr>
                  </w:pPr>
                  <w:r>
                    <w:rPr>
                      <w:rFonts w:hint="eastAsia"/>
                      <w:color w:val="auto"/>
                      <w:lang w:val="en-US" w:eastAsia="zh-CN"/>
                    </w:rPr>
                    <w:t>720</w:t>
                  </w:r>
                  <w:r>
                    <w:rPr>
                      <w:rFonts w:hint="eastAsia"/>
                      <w:color w:val="auto"/>
                    </w:rPr>
                    <w:t>t/a</w:t>
                  </w:r>
                </w:p>
              </w:tc>
              <w:tc>
                <w:tcPr>
                  <w:tcW w:w="597" w:type="pct"/>
                  <w:tcBorders>
                    <w:tl2br w:val="nil"/>
                    <w:tr2bl w:val="nil"/>
                  </w:tcBorders>
                  <w:vAlign w:val="center"/>
                </w:tcPr>
                <w:p w14:paraId="0F3DE7DA">
                  <w:pPr>
                    <w:adjustRightInd w:val="0"/>
                    <w:snapToGrid w:val="0"/>
                    <w:jc w:val="center"/>
                    <w:rPr>
                      <w:color w:val="auto"/>
                    </w:rPr>
                  </w:pPr>
                  <w:r>
                    <w:rPr>
                      <w:color w:val="auto"/>
                    </w:rPr>
                    <w:t>依托</w:t>
                  </w:r>
                  <w:r>
                    <w:rPr>
                      <w:rFonts w:hint="eastAsia"/>
                      <w:color w:val="auto"/>
                    </w:rPr>
                    <w:t>现有</w:t>
                  </w:r>
                  <w:r>
                    <w:rPr>
                      <w:color w:val="auto"/>
                    </w:rPr>
                    <w:t>已建管网</w:t>
                  </w:r>
                  <w:r>
                    <w:rPr>
                      <w:rFonts w:hint="eastAsia"/>
                      <w:color w:val="auto"/>
                    </w:rPr>
                    <w:t>及排口</w:t>
                  </w:r>
                </w:p>
              </w:tc>
            </w:tr>
            <w:tr w14:paraId="4831075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278" w:type="pct"/>
                  <w:vMerge w:val="continue"/>
                  <w:tcBorders>
                    <w:tl2br w:val="nil"/>
                    <w:tr2bl w:val="nil"/>
                  </w:tcBorders>
                  <w:vAlign w:val="center"/>
                </w:tcPr>
                <w:p w14:paraId="7C62C0C8">
                  <w:pPr>
                    <w:adjustRightInd w:val="0"/>
                    <w:snapToGrid w:val="0"/>
                    <w:jc w:val="center"/>
                    <w:rPr>
                      <w:color w:val="auto"/>
                    </w:rPr>
                  </w:pPr>
                </w:p>
              </w:tc>
              <w:tc>
                <w:tcPr>
                  <w:tcW w:w="858" w:type="pct"/>
                  <w:gridSpan w:val="2"/>
                  <w:tcBorders>
                    <w:tl2br w:val="nil"/>
                    <w:tr2bl w:val="nil"/>
                  </w:tcBorders>
                  <w:vAlign w:val="center"/>
                </w:tcPr>
                <w:p w14:paraId="446F4BCF">
                  <w:pPr>
                    <w:adjustRightInd w:val="0"/>
                    <w:snapToGrid w:val="0"/>
                    <w:jc w:val="center"/>
                    <w:rPr>
                      <w:color w:val="auto"/>
                    </w:rPr>
                  </w:pPr>
                  <w:r>
                    <w:rPr>
                      <w:color w:val="auto"/>
                    </w:rPr>
                    <w:t>噪声</w:t>
                  </w:r>
                </w:p>
              </w:tc>
              <w:tc>
                <w:tcPr>
                  <w:tcW w:w="1859" w:type="pct"/>
                  <w:tcBorders>
                    <w:tl2br w:val="nil"/>
                    <w:tr2bl w:val="nil"/>
                  </w:tcBorders>
                  <w:vAlign w:val="center"/>
                </w:tcPr>
                <w:p w14:paraId="2F664674">
                  <w:pPr>
                    <w:adjustRightInd w:val="0"/>
                    <w:snapToGrid w:val="0"/>
                    <w:jc w:val="center"/>
                    <w:rPr>
                      <w:color w:val="auto"/>
                    </w:rPr>
                  </w:pPr>
                  <w:r>
                    <w:rPr>
                      <w:color w:val="auto"/>
                    </w:rPr>
                    <w:t>减振、隔声、消音</w:t>
                  </w:r>
                </w:p>
              </w:tc>
              <w:tc>
                <w:tcPr>
                  <w:tcW w:w="1405" w:type="pct"/>
                  <w:gridSpan w:val="2"/>
                  <w:tcBorders>
                    <w:tl2br w:val="nil"/>
                    <w:tr2bl w:val="nil"/>
                  </w:tcBorders>
                  <w:vAlign w:val="center"/>
                </w:tcPr>
                <w:p w14:paraId="0942D552">
                  <w:pPr>
                    <w:adjustRightInd w:val="0"/>
                    <w:snapToGrid w:val="0"/>
                    <w:jc w:val="center"/>
                    <w:rPr>
                      <w:color w:val="auto"/>
                    </w:rPr>
                  </w:pPr>
                  <w:r>
                    <w:rPr>
                      <w:color w:val="auto"/>
                    </w:rPr>
                    <w:t>降噪≥25dB（A）</w:t>
                  </w:r>
                </w:p>
              </w:tc>
              <w:tc>
                <w:tcPr>
                  <w:tcW w:w="597" w:type="pct"/>
                  <w:tcBorders>
                    <w:tl2br w:val="nil"/>
                    <w:tr2bl w:val="nil"/>
                  </w:tcBorders>
                  <w:vAlign w:val="center"/>
                </w:tcPr>
                <w:p w14:paraId="06D61BFA">
                  <w:pPr>
                    <w:adjustRightInd w:val="0"/>
                    <w:snapToGrid w:val="0"/>
                    <w:jc w:val="center"/>
                    <w:rPr>
                      <w:color w:val="auto"/>
                    </w:rPr>
                  </w:pPr>
                  <w:r>
                    <w:rPr>
                      <w:color w:val="auto"/>
                    </w:rPr>
                    <w:t>新建</w:t>
                  </w:r>
                </w:p>
              </w:tc>
            </w:tr>
            <w:tr w14:paraId="1CB44B4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278" w:type="pct"/>
                  <w:vMerge w:val="continue"/>
                  <w:tcBorders>
                    <w:tl2br w:val="nil"/>
                    <w:tr2bl w:val="nil"/>
                  </w:tcBorders>
                  <w:vAlign w:val="center"/>
                </w:tcPr>
                <w:p w14:paraId="78D0718E">
                  <w:pPr>
                    <w:adjustRightInd w:val="0"/>
                    <w:snapToGrid w:val="0"/>
                    <w:jc w:val="center"/>
                    <w:rPr>
                      <w:color w:val="auto"/>
                    </w:rPr>
                  </w:pPr>
                </w:p>
              </w:tc>
              <w:tc>
                <w:tcPr>
                  <w:tcW w:w="331" w:type="pct"/>
                  <w:vMerge w:val="restart"/>
                  <w:tcBorders>
                    <w:tl2br w:val="nil"/>
                    <w:tr2bl w:val="nil"/>
                  </w:tcBorders>
                  <w:vAlign w:val="center"/>
                </w:tcPr>
                <w:p w14:paraId="31457984">
                  <w:pPr>
                    <w:adjustRightInd w:val="0"/>
                    <w:snapToGrid w:val="0"/>
                    <w:jc w:val="center"/>
                    <w:rPr>
                      <w:color w:val="auto"/>
                    </w:rPr>
                  </w:pPr>
                  <w:r>
                    <w:rPr>
                      <w:rFonts w:hint="eastAsia"/>
                      <w:color w:val="auto"/>
                    </w:rPr>
                    <w:t>固废</w:t>
                  </w:r>
                </w:p>
              </w:tc>
              <w:tc>
                <w:tcPr>
                  <w:tcW w:w="527" w:type="pct"/>
                  <w:tcBorders>
                    <w:tl2br w:val="nil"/>
                    <w:tr2bl w:val="nil"/>
                  </w:tcBorders>
                  <w:vAlign w:val="center"/>
                </w:tcPr>
                <w:p w14:paraId="7A10C6B6">
                  <w:pPr>
                    <w:adjustRightInd w:val="0"/>
                    <w:snapToGrid w:val="0"/>
                    <w:jc w:val="center"/>
                    <w:rPr>
                      <w:color w:val="auto"/>
                    </w:rPr>
                  </w:pPr>
                  <w:r>
                    <w:rPr>
                      <w:rFonts w:hint="eastAsia"/>
                      <w:color w:val="auto"/>
                    </w:rPr>
                    <w:t>一般工业固废</w:t>
                  </w:r>
                </w:p>
              </w:tc>
              <w:tc>
                <w:tcPr>
                  <w:tcW w:w="1859" w:type="pct"/>
                  <w:tcBorders>
                    <w:tl2br w:val="nil"/>
                    <w:tr2bl w:val="nil"/>
                  </w:tcBorders>
                  <w:vAlign w:val="center"/>
                </w:tcPr>
                <w:p w14:paraId="1E920384">
                  <w:pPr>
                    <w:adjustRightInd w:val="0"/>
                    <w:snapToGrid w:val="0"/>
                    <w:jc w:val="center"/>
                    <w:rPr>
                      <w:rFonts w:hint="eastAsia" w:eastAsia="宋体"/>
                      <w:color w:val="auto"/>
                      <w:lang w:eastAsia="zh-CN"/>
                    </w:rPr>
                  </w:pPr>
                  <w:r>
                    <w:rPr>
                      <w:rFonts w:hint="eastAsia"/>
                      <w:color w:val="auto"/>
                    </w:rPr>
                    <w:t>一般固废暂存，位于车间</w:t>
                  </w:r>
                  <w:r>
                    <w:rPr>
                      <w:rFonts w:hint="eastAsia"/>
                      <w:color w:val="auto"/>
                      <w:lang w:val="en-US" w:eastAsia="zh-CN"/>
                    </w:rPr>
                    <w:t>东北侧</w:t>
                  </w:r>
                </w:p>
              </w:tc>
              <w:tc>
                <w:tcPr>
                  <w:tcW w:w="1405" w:type="pct"/>
                  <w:gridSpan w:val="2"/>
                  <w:tcBorders>
                    <w:tl2br w:val="nil"/>
                    <w:tr2bl w:val="nil"/>
                  </w:tcBorders>
                  <w:vAlign w:val="center"/>
                </w:tcPr>
                <w:p w14:paraId="33A8621F">
                  <w:pPr>
                    <w:adjustRightInd w:val="0"/>
                    <w:snapToGrid w:val="0"/>
                    <w:jc w:val="center"/>
                    <w:rPr>
                      <w:color w:val="auto"/>
                    </w:rPr>
                  </w:pPr>
                  <w:r>
                    <w:rPr>
                      <w:rFonts w:hint="eastAsia"/>
                      <w:color w:val="auto"/>
                    </w:rPr>
                    <w:t>建筑面积</w:t>
                  </w:r>
                  <w:r>
                    <w:rPr>
                      <w:rFonts w:hint="eastAsia"/>
                      <w:color w:val="auto"/>
                      <w:lang w:val="en-US" w:eastAsia="zh-CN"/>
                    </w:rPr>
                    <w:t>20</w:t>
                  </w:r>
                  <w:r>
                    <w:rPr>
                      <w:rFonts w:hint="eastAsia"/>
                      <w:color w:val="auto"/>
                    </w:rPr>
                    <w:t>m</w:t>
                  </w:r>
                  <w:r>
                    <w:rPr>
                      <w:rFonts w:hint="eastAsia"/>
                      <w:color w:val="auto"/>
                      <w:vertAlign w:val="superscript"/>
                    </w:rPr>
                    <w:t>2</w:t>
                  </w:r>
                </w:p>
              </w:tc>
              <w:tc>
                <w:tcPr>
                  <w:tcW w:w="597" w:type="pct"/>
                  <w:tcBorders>
                    <w:tl2br w:val="nil"/>
                    <w:tr2bl w:val="nil"/>
                  </w:tcBorders>
                  <w:vAlign w:val="center"/>
                </w:tcPr>
                <w:p w14:paraId="6A6450FC">
                  <w:pPr>
                    <w:adjustRightInd w:val="0"/>
                    <w:snapToGrid w:val="0"/>
                    <w:jc w:val="center"/>
                    <w:rPr>
                      <w:color w:val="auto"/>
                    </w:rPr>
                  </w:pPr>
                  <w:r>
                    <w:rPr>
                      <w:rFonts w:hint="eastAsia"/>
                      <w:color w:val="auto"/>
                    </w:rPr>
                    <w:t>依托现有厂房，新建</w:t>
                  </w:r>
                </w:p>
              </w:tc>
            </w:tr>
            <w:tr w14:paraId="552B195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278" w:type="pct"/>
                  <w:vMerge w:val="continue"/>
                  <w:tcBorders>
                    <w:tl2br w:val="nil"/>
                    <w:tr2bl w:val="nil"/>
                  </w:tcBorders>
                  <w:vAlign w:val="center"/>
                </w:tcPr>
                <w:p w14:paraId="56D8C85B">
                  <w:pPr>
                    <w:adjustRightInd w:val="0"/>
                    <w:snapToGrid w:val="0"/>
                    <w:jc w:val="center"/>
                    <w:rPr>
                      <w:color w:val="auto"/>
                    </w:rPr>
                  </w:pPr>
                </w:p>
              </w:tc>
              <w:tc>
                <w:tcPr>
                  <w:tcW w:w="331" w:type="pct"/>
                  <w:vMerge w:val="continue"/>
                  <w:tcBorders>
                    <w:tl2br w:val="nil"/>
                    <w:tr2bl w:val="nil"/>
                  </w:tcBorders>
                  <w:vAlign w:val="center"/>
                </w:tcPr>
                <w:p w14:paraId="53FAB297">
                  <w:pPr>
                    <w:adjustRightInd w:val="0"/>
                    <w:snapToGrid w:val="0"/>
                    <w:jc w:val="center"/>
                    <w:rPr>
                      <w:color w:val="auto"/>
                    </w:rPr>
                  </w:pPr>
                </w:p>
              </w:tc>
              <w:tc>
                <w:tcPr>
                  <w:tcW w:w="527" w:type="pct"/>
                  <w:tcBorders>
                    <w:tl2br w:val="nil"/>
                    <w:tr2bl w:val="nil"/>
                  </w:tcBorders>
                  <w:vAlign w:val="center"/>
                </w:tcPr>
                <w:p w14:paraId="1FB057CB">
                  <w:pPr>
                    <w:adjustRightInd w:val="0"/>
                    <w:snapToGrid w:val="0"/>
                    <w:jc w:val="center"/>
                    <w:rPr>
                      <w:color w:val="auto"/>
                    </w:rPr>
                  </w:pPr>
                  <w:r>
                    <w:rPr>
                      <w:rFonts w:hint="eastAsia"/>
                      <w:color w:val="auto"/>
                    </w:rPr>
                    <w:t>危险固废</w:t>
                  </w:r>
                </w:p>
              </w:tc>
              <w:tc>
                <w:tcPr>
                  <w:tcW w:w="1859" w:type="pct"/>
                  <w:tcBorders>
                    <w:tl2br w:val="nil"/>
                    <w:tr2bl w:val="nil"/>
                  </w:tcBorders>
                  <w:vAlign w:val="center"/>
                </w:tcPr>
                <w:p w14:paraId="0952D1FA">
                  <w:pPr>
                    <w:adjustRightInd w:val="0"/>
                    <w:snapToGrid w:val="0"/>
                    <w:jc w:val="center"/>
                    <w:rPr>
                      <w:rFonts w:hint="eastAsia" w:eastAsia="宋体"/>
                      <w:color w:val="auto"/>
                      <w:lang w:eastAsia="zh-CN"/>
                    </w:rPr>
                  </w:pPr>
                  <w:r>
                    <w:rPr>
                      <w:rFonts w:hint="eastAsia"/>
                      <w:color w:val="auto"/>
                    </w:rPr>
                    <w:t>危废暂存，位于车间</w:t>
                  </w:r>
                  <w:r>
                    <w:rPr>
                      <w:rFonts w:hint="eastAsia"/>
                      <w:color w:val="auto"/>
                      <w:lang w:val="en-US" w:eastAsia="zh-CN"/>
                    </w:rPr>
                    <w:t>东北侧</w:t>
                  </w:r>
                </w:p>
              </w:tc>
              <w:tc>
                <w:tcPr>
                  <w:tcW w:w="1405" w:type="pct"/>
                  <w:gridSpan w:val="2"/>
                  <w:tcBorders>
                    <w:tl2br w:val="nil"/>
                    <w:tr2bl w:val="nil"/>
                  </w:tcBorders>
                  <w:vAlign w:val="center"/>
                </w:tcPr>
                <w:p w14:paraId="1DC8E5F3">
                  <w:pPr>
                    <w:adjustRightInd w:val="0"/>
                    <w:snapToGrid w:val="0"/>
                    <w:jc w:val="center"/>
                    <w:rPr>
                      <w:color w:val="auto"/>
                    </w:rPr>
                  </w:pPr>
                  <w:r>
                    <w:rPr>
                      <w:rFonts w:hint="eastAsia"/>
                      <w:color w:val="auto"/>
                    </w:rPr>
                    <w:t>建筑面积</w:t>
                  </w:r>
                  <w:r>
                    <w:rPr>
                      <w:rFonts w:hint="eastAsia"/>
                      <w:color w:val="auto"/>
                      <w:lang w:val="en-US" w:eastAsia="zh-CN"/>
                    </w:rPr>
                    <w:t>20</w:t>
                  </w:r>
                  <w:r>
                    <w:rPr>
                      <w:rFonts w:hint="eastAsia"/>
                      <w:color w:val="auto"/>
                    </w:rPr>
                    <w:t>m</w:t>
                  </w:r>
                  <w:r>
                    <w:rPr>
                      <w:rFonts w:hint="eastAsia"/>
                      <w:color w:val="auto"/>
                      <w:vertAlign w:val="superscript"/>
                    </w:rPr>
                    <w:t>2</w:t>
                  </w:r>
                </w:p>
              </w:tc>
              <w:tc>
                <w:tcPr>
                  <w:tcW w:w="597" w:type="pct"/>
                  <w:tcBorders>
                    <w:tl2br w:val="nil"/>
                    <w:tr2bl w:val="nil"/>
                  </w:tcBorders>
                  <w:vAlign w:val="center"/>
                </w:tcPr>
                <w:p w14:paraId="78A84B25">
                  <w:pPr>
                    <w:adjustRightInd w:val="0"/>
                    <w:snapToGrid w:val="0"/>
                    <w:jc w:val="center"/>
                    <w:rPr>
                      <w:color w:val="auto"/>
                    </w:rPr>
                  </w:pPr>
                  <w:r>
                    <w:rPr>
                      <w:rFonts w:hint="eastAsia"/>
                      <w:color w:val="auto"/>
                    </w:rPr>
                    <w:t>依托现有厂房，新建</w:t>
                  </w:r>
                </w:p>
              </w:tc>
            </w:tr>
          </w:tbl>
          <w:p w14:paraId="50A3B0D7">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textAlignment w:val="auto"/>
              <w:rPr>
                <w:rFonts w:hint="eastAsia" w:eastAsia="宋体"/>
                <w:b/>
                <w:bCs/>
                <w:color w:val="auto"/>
                <w:sz w:val="21"/>
                <w:szCs w:val="21"/>
                <w:highlight w:val="none"/>
                <w:lang w:eastAsia="zh-CN"/>
              </w:rPr>
            </w:pPr>
            <w:r>
              <w:rPr>
                <w:rFonts w:hint="eastAsia"/>
                <w:b/>
                <w:bCs/>
                <w:color w:val="auto"/>
                <w:sz w:val="21"/>
                <w:szCs w:val="21"/>
                <w:highlight w:val="none"/>
                <w:lang w:eastAsia="zh-CN"/>
              </w:rPr>
              <w:t>（</w:t>
            </w:r>
            <w:r>
              <w:rPr>
                <w:rFonts w:hint="eastAsia"/>
                <w:b/>
                <w:bCs/>
                <w:color w:val="auto"/>
                <w:sz w:val="21"/>
                <w:szCs w:val="21"/>
                <w:highlight w:val="none"/>
                <w:lang w:val="en-US" w:eastAsia="zh-CN"/>
              </w:rPr>
              <w:t>1</w:t>
            </w:r>
            <w:r>
              <w:rPr>
                <w:rFonts w:hint="eastAsia"/>
                <w:b/>
                <w:bCs/>
                <w:color w:val="auto"/>
                <w:sz w:val="21"/>
                <w:szCs w:val="21"/>
                <w:highlight w:val="none"/>
                <w:lang w:eastAsia="zh-CN"/>
              </w:rPr>
              <w:t>）</w:t>
            </w:r>
            <w:r>
              <w:rPr>
                <w:rFonts w:hint="eastAsia"/>
                <w:b/>
                <w:bCs/>
                <w:color w:val="auto"/>
                <w:sz w:val="21"/>
                <w:szCs w:val="21"/>
                <w:highlight w:val="none"/>
                <w:lang w:val="en-US" w:eastAsia="zh-CN"/>
              </w:rPr>
              <w:t>主体</w:t>
            </w:r>
            <w:r>
              <w:rPr>
                <w:b/>
                <w:bCs/>
                <w:color w:val="auto"/>
                <w:sz w:val="21"/>
                <w:szCs w:val="21"/>
                <w:highlight w:val="none"/>
              </w:rPr>
              <w:t>工程</w:t>
            </w:r>
            <w:r>
              <w:rPr>
                <w:rFonts w:hint="eastAsia"/>
                <w:b/>
                <w:bCs/>
                <w:color w:val="auto"/>
                <w:lang w:eastAsia="zh-CN"/>
              </w:rPr>
              <w:t>、</w:t>
            </w:r>
            <w:r>
              <w:rPr>
                <w:rFonts w:hint="eastAsia"/>
                <w:b/>
                <w:bCs/>
                <w:color w:val="auto"/>
                <w:lang w:val="en-US" w:eastAsia="zh-CN"/>
              </w:rPr>
              <w:t>公用工程</w:t>
            </w:r>
            <w:r>
              <w:rPr>
                <w:b/>
                <w:bCs/>
                <w:color w:val="auto"/>
                <w:sz w:val="21"/>
                <w:szCs w:val="21"/>
                <w:highlight w:val="none"/>
              </w:rPr>
              <w:t>依托可行性分析</w:t>
            </w:r>
            <w:r>
              <w:rPr>
                <w:rFonts w:hint="eastAsia"/>
                <w:b/>
                <w:bCs/>
                <w:color w:val="auto"/>
                <w:sz w:val="21"/>
                <w:szCs w:val="21"/>
                <w:highlight w:val="none"/>
                <w:lang w:eastAsia="zh-CN"/>
              </w:rPr>
              <w:t>：</w:t>
            </w:r>
          </w:p>
          <w:p w14:paraId="7E4CF749">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color w:val="auto"/>
                <w:sz w:val="21"/>
                <w:szCs w:val="21"/>
                <w:highlight w:val="none"/>
              </w:rPr>
            </w:pPr>
            <w:r>
              <w:rPr>
                <w:color w:val="auto"/>
                <w:sz w:val="21"/>
                <w:szCs w:val="21"/>
                <w:highlight w:val="none"/>
              </w:rPr>
              <w:t>本项目</w:t>
            </w:r>
            <w:r>
              <w:rPr>
                <w:rFonts w:hint="default" w:ascii="Times New Roman" w:hAnsi="Times New Roman" w:eastAsia="宋体" w:cs="Times New Roman"/>
                <w:color w:val="auto"/>
                <w:sz w:val="21"/>
                <w:szCs w:val="21"/>
                <w:highlight w:val="none"/>
                <w:lang w:val="en-US" w:eastAsia="zh-CN"/>
              </w:rPr>
              <w:t>依托</w:t>
            </w:r>
            <w:r>
              <w:rPr>
                <w:rFonts w:hint="eastAsia" w:ascii="Times New Roman" w:hAnsi="Times New Roman" w:eastAsia="宋体" w:cs="Times New Roman"/>
                <w:color w:val="auto"/>
                <w:sz w:val="21"/>
                <w:szCs w:val="21"/>
                <w:highlight w:val="none"/>
                <w:lang w:val="en-US" w:eastAsia="zh-CN"/>
              </w:rPr>
              <w:t>现有已建</w:t>
            </w:r>
            <w:r>
              <w:rPr>
                <w:rFonts w:hint="default" w:ascii="Times New Roman" w:hAnsi="Times New Roman" w:eastAsia="宋体" w:cs="Times New Roman"/>
                <w:color w:val="auto"/>
                <w:sz w:val="21"/>
                <w:szCs w:val="21"/>
                <w:highlight w:val="none"/>
                <w:lang w:val="en-US" w:eastAsia="zh-CN"/>
              </w:rPr>
              <w:t>生产车间</w:t>
            </w:r>
            <w:r>
              <w:rPr>
                <w:rFonts w:hint="eastAsia" w:ascii="Times New Roman" w:hAnsi="Times New Roman" w:eastAsia="宋体" w:cs="Times New Roman"/>
                <w:color w:val="auto"/>
                <w:sz w:val="21"/>
                <w:szCs w:val="21"/>
                <w:highlight w:val="none"/>
                <w:lang w:val="en-US" w:eastAsia="zh-CN"/>
              </w:rPr>
              <w:t>进行生产。</w:t>
            </w:r>
            <w:r>
              <w:rPr>
                <w:rFonts w:hint="eastAsia" w:eastAsia="宋体"/>
                <w:color w:val="auto"/>
                <w:sz w:val="21"/>
                <w:szCs w:val="21"/>
                <w:highlight w:val="none"/>
                <w:lang w:val="en-US" w:eastAsia="zh-CN"/>
              </w:rPr>
              <w:t>供水、</w:t>
            </w:r>
            <w:r>
              <w:rPr>
                <w:color w:val="auto"/>
                <w:sz w:val="21"/>
                <w:szCs w:val="21"/>
                <w:highlight w:val="none"/>
              </w:rPr>
              <w:t>供电依托</w:t>
            </w:r>
            <w:r>
              <w:rPr>
                <w:rFonts w:hint="eastAsia" w:ascii="Times New Roman" w:hAnsi="Times New Roman" w:eastAsia="宋体" w:cs="Times New Roman"/>
                <w:color w:val="auto"/>
                <w:sz w:val="21"/>
                <w:szCs w:val="21"/>
                <w:highlight w:val="none"/>
                <w:lang w:val="en-US" w:eastAsia="zh-CN"/>
              </w:rPr>
              <w:t>现有供水、</w:t>
            </w:r>
            <w:r>
              <w:rPr>
                <w:color w:val="auto"/>
                <w:sz w:val="21"/>
                <w:szCs w:val="21"/>
                <w:highlight w:val="none"/>
              </w:rPr>
              <w:t>供电管网</w:t>
            </w:r>
            <w:r>
              <w:rPr>
                <w:rFonts w:hint="eastAsia"/>
                <w:color w:val="auto"/>
                <w:sz w:val="21"/>
                <w:szCs w:val="21"/>
                <w:highlight w:val="none"/>
                <w:lang w:val="en-US" w:eastAsia="zh-CN"/>
              </w:rPr>
              <w:t>，供水、供电管网均铺设到位</w:t>
            </w:r>
            <w:r>
              <w:rPr>
                <w:color w:val="auto"/>
                <w:sz w:val="21"/>
                <w:szCs w:val="21"/>
                <w:highlight w:val="none"/>
              </w:rPr>
              <w:t>，满足本项目使用需求。</w:t>
            </w:r>
          </w:p>
          <w:p w14:paraId="51E9E2BF">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textAlignment w:val="auto"/>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（2）环保工程建设情况分析：</w:t>
            </w:r>
          </w:p>
          <w:p w14:paraId="60237408">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建设单位拟</w:t>
            </w:r>
            <w:r>
              <w:rPr>
                <w:rFonts w:hint="default" w:ascii="Times New Roman" w:hAnsi="Times New Roman" w:eastAsia="宋体" w:cs="Times New Roman"/>
                <w:b w:val="0"/>
                <w:bCs w:val="0"/>
                <w:color w:val="auto"/>
                <w:sz w:val="21"/>
                <w:szCs w:val="21"/>
                <w:highlight w:val="none"/>
                <w:lang w:val="en-US" w:eastAsia="zh-CN"/>
              </w:rPr>
              <w:t>按照《危险废物贮存污染控制标准》（GB18597-2023）及省生态环境厅关于印发《江苏省固体废物全过程环境监管工作意见》的通知（苏环办[2024]16号）的要求建设</w:t>
            </w:r>
            <w:r>
              <w:rPr>
                <w:rFonts w:hint="eastAsia" w:ascii="Times New Roman" w:hAnsi="Times New Roman" w:eastAsia="宋体" w:cs="Times New Roman"/>
                <w:b w:val="0"/>
                <w:bCs w:val="0"/>
                <w:color w:val="auto"/>
                <w:sz w:val="21"/>
                <w:szCs w:val="21"/>
                <w:highlight w:val="none"/>
                <w:lang w:val="en-US" w:eastAsia="zh-CN"/>
              </w:rPr>
              <w:t>危废仓库</w:t>
            </w:r>
            <w:r>
              <w:rPr>
                <w:rFonts w:hint="default" w:ascii="Times New Roman" w:hAnsi="Times New Roman" w:eastAsia="宋体" w:cs="Times New Roman"/>
                <w:b w:val="0"/>
                <w:bCs w:val="0"/>
                <w:color w:val="auto"/>
                <w:sz w:val="21"/>
                <w:szCs w:val="21"/>
                <w:highlight w:val="none"/>
                <w:lang w:val="en-US" w:eastAsia="zh-CN"/>
              </w:rPr>
              <w:t>。</w:t>
            </w:r>
            <w:r>
              <w:rPr>
                <w:rFonts w:hint="eastAsia" w:ascii="Times New Roman" w:hAnsi="Times New Roman" w:eastAsia="宋体" w:cs="Times New Roman"/>
                <w:b w:val="0"/>
                <w:bCs w:val="0"/>
                <w:color w:val="auto"/>
                <w:sz w:val="21"/>
                <w:szCs w:val="21"/>
                <w:highlight w:val="none"/>
                <w:lang w:val="en-US" w:eastAsia="zh-CN"/>
              </w:rPr>
              <w:t>项目</w:t>
            </w:r>
            <w:r>
              <w:rPr>
                <w:rFonts w:hint="eastAsia" w:ascii="Times New Roman" w:hAnsi="Times New Roman" w:eastAsia="宋体" w:cs="Times New Roman"/>
                <w:b w:val="0"/>
                <w:bCs w:val="0"/>
                <w:color w:val="auto"/>
                <w:sz w:val="21"/>
                <w:szCs w:val="21"/>
                <w:highlight w:val="none"/>
                <w:shd w:val="clear" w:color="auto" w:fill="auto"/>
                <w:lang w:val="en-US" w:eastAsia="zh-CN"/>
              </w:rPr>
              <w:t>拟建设20</w:t>
            </w:r>
            <w:r>
              <w:rPr>
                <w:rFonts w:hint="default" w:ascii="Times New Roman" w:hAnsi="Times New Roman" w:eastAsia="宋体" w:cs="Times New Roman"/>
                <w:b w:val="0"/>
                <w:bCs w:val="0"/>
                <w:color w:val="auto"/>
                <w:sz w:val="21"/>
                <w:szCs w:val="21"/>
                <w:highlight w:val="none"/>
                <w:lang w:val="en-US" w:eastAsia="zh-CN"/>
              </w:rPr>
              <w:t>m</w:t>
            </w:r>
            <w:r>
              <w:rPr>
                <w:rFonts w:hint="default" w:ascii="Times New Roman" w:hAnsi="Times New Roman" w:eastAsia="宋体" w:cs="Times New Roman"/>
                <w:b w:val="0"/>
                <w:bCs w:val="0"/>
                <w:color w:val="auto"/>
                <w:sz w:val="21"/>
                <w:szCs w:val="21"/>
                <w:highlight w:val="none"/>
                <w:vertAlign w:val="superscript"/>
                <w:lang w:val="en-US" w:eastAsia="zh-CN"/>
              </w:rPr>
              <w:t>2</w:t>
            </w:r>
            <w:r>
              <w:rPr>
                <w:rFonts w:hint="default" w:ascii="Times New Roman" w:hAnsi="Times New Roman" w:eastAsia="宋体" w:cs="Times New Roman"/>
                <w:b w:val="0"/>
                <w:bCs w:val="0"/>
                <w:color w:val="auto"/>
                <w:sz w:val="21"/>
                <w:szCs w:val="21"/>
                <w:highlight w:val="none"/>
                <w:shd w:val="clear" w:color="auto" w:fill="auto"/>
                <w:lang w:val="en-US" w:eastAsia="zh-CN"/>
              </w:rPr>
              <w:t>危废仓库</w:t>
            </w:r>
            <w:r>
              <w:rPr>
                <w:rFonts w:hint="default" w:ascii="Times New Roman" w:hAnsi="Times New Roman" w:eastAsia="宋体" w:cs="Times New Roman"/>
                <w:b w:val="0"/>
                <w:bCs w:val="0"/>
                <w:color w:val="auto"/>
                <w:sz w:val="21"/>
                <w:szCs w:val="21"/>
                <w:highlight w:val="none"/>
                <w:lang w:val="en-US" w:eastAsia="zh-CN"/>
              </w:rPr>
              <w:t>，</w:t>
            </w:r>
            <w:r>
              <w:rPr>
                <w:color w:val="auto"/>
                <w:szCs w:val="21"/>
                <w:highlight w:val="none"/>
              </w:rPr>
              <w:t>危废仓库储存能力以</w:t>
            </w:r>
            <w:r>
              <w:rPr>
                <w:rFonts w:hint="eastAsia"/>
                <w:color w:val="auto"/>
                <w:szCs w:val="21"/>
                <w:highlight w:val="none"/>
                <w:lang w:val="en-US" w:eastAsia="zh-CN"/>
              </w:rPr>
              <w:t>16t</w:t>
            </w:r>
            <w:r>
              <w:rPr>
                <w:color w:val="auto"/>
                <w:szCs w:val="21"/>
                <w:highlight w:val="none"/>
              </w:rPr>
              <w:t>计</w:t>
            </w:r>
            <w:r>
              <w:rPr>
                <w:rFonts w:hint="default" w:ascii="Times New Roman" w:hAnsi="Times New Roman" w:eastAsia="宋体" w:cs="Times New Roman"/>
                <w:b w:val="0"/>
                <w:bCs w:val="0"/>
                <w:color w:val="auto"/>
                <w:sz w:val="21"/>
                <w:szCs w:val="21"/>
                <w:highlight w:val="none"/>
              </w:rPr>
              <w:t>。</w:t>
            </w:r>
            <w:r>
              <w:rPr>
                <w:rFonts w:hint="default" w:ascii="Times New Roman" w:hAnsi="Times New Roman" w:eastAsia="宋体" w:cs="Times New Roman"/>
                <w:b w:val="0"/>
                <w:bCs w:val="0"/>
                <w:color w:val="auto"/>
                <w:sz w:val="21"/>
                <w:szCs w:val="21"/>
                <w:highlight w:val="none"/>
                <w:lang w:val="en-US" w:eastAsia="zh-CN"/>
              </w:rPr>
              <w:t>建设单位危废</w:t>
            </w:r>
            <w:r>
              <w:rPr>
                <w:rFonts w:hint="eastAsia" w:ascii="Times New Roman" w:hAnsi="Times New Roman" w:eastAsia="宋体" w:cs="Times New Roman"/>
                <w:b w:val="0"/>
                <w:bCs w:val="0"/>
                <w:color w:val="auto"/>
                <w:sz w:val="21"/>
                <w:szCs w:val="21"/>
                <w:highlight w:val="none"/>
                <w:lang w:val="en-US" w:eastAsia="zh-CN"/>
              </w:rPr>
              <w:t>预计</w:t>
            </w:r>
            <w:r>
              <w:rPr>
                <w:rFonts w:hint="default" w:ascii="Times New Roman" w:hAnsi="Times New Roman" w:eastAsia="宋体" w:cs="Times New Roman"/>
                <w:b w:val="0"/>
                <w:bCs w:val="0"/>
                <w:color w:val="auto"/>
                <w:sz w:val="21"/>
                <w:szCs w:val="21"/>
                <w:highlight w:val="none"/>
                <w:lang w:val="en-US" w:eastAsia="zh-CN"/>
              </w:rPr>
              <w:t>产生量为</w:t>
            </w:r>
            <w:r>
              <w:rPr>
                <w:rFonts w:hint="eastAsia" w:cs="Times New Roman"/>
                <w:b w:val="0"/>
                <w:bCs w:val="0"/>
                <w:color w:val="auto"/>
                <w:sz w:val="21"/>
                <w:szCs w:val="21"/>
                <w:highlight w:val="none"/>
                <w:lang w:val="en-US" w:eastAsia="zh-CN"/>
              </w:rPr>
              <w:t>12.4448</w:t>
            </w:r>
            <w:r>
              <w:rPr>
                <w:rFonts w:hint="default" w:ascii="Times New Roman" w:hAnsi="Times New Roman" w:eastAsia="宋体" w:cs="Times New Roman"/>
                <w:b w:val="0"/>
                <w:bCs w:val="0"/>
                <w:color w:val="auto"/>
                <w:sz w:val="21"/>
                <w:szCs w:val="21"/>
                <w:highlight w:val="none"/>
                <w:lang w:val="en-US" w:eastAsia="zh-CN"/>
              </w:rPr>
              <w:t>t/a，</w:t>
            </w:r>
            <w:r>
              <w:rPr>
                <w:rFonts w:hint="eastAsia" w:cs="Times New Roman"/>
                <w:b w:val="0"/>
                <w:bCs w:val="0"/>
                <w:color w:val="auto"/>
                <w:sz w:val="21"/>
                <w:szCs w:val="21"/>
                <w:highlight w:val="none"/>
                <w:lang w:val="en-US" w:eastAsia="zh-CN"/>
              </w:rPr>
              <w:t>3</w:t>
            </w:r>
            <w:r>
              <w:rPr>
                <w:rFonts w:hint="default" w:ascii="Times New Roman" w:hAnsi="Times New Roman" w:eastAsia="宋体" w:cs="Times New Roman"/>
                <w:b w:val="0"/>
                <w:bCs w:val="0"/>
                <w:color w:val="auto"/>
                <w:sz w:val="21"/>
                <w:szCs w:val="21"/>
                <w:highlight w:val="none"/>
                <w:lang w:val="en-US" w:eastAsia="zh-CN"/>
              </w:rPr>
              <w:t>个月转移一次，最大暂存量为</w:t>
            </w:r>
            <w:r>
              <w:rPr>
                <w:rFonts w:hint="eastAsia" w:cs="Times New Roman"/>
                <w:b w:val="0"/>
                <w:bCs w:val="0"/>
                <w:color w:val="auto"/>
                <w:sz w:val="21"/>
                <w:szCs w:val="21"/>
                <w:highlight w:val="none"/>
                <w:lang w:val="en-US" w:eastAsia="zh-CN"/>
              </w:rPr>
              <w:t>3.111</w:t>
            </w:r>
            <w:r>
              <w:rPr>
                <w:rFonts w:hint="default" w:ascii="Times New Roman" w:hAnsi="Times New Roman" w:eastAsia="宋体" w:cs="Times New Roman"/>
                <w:b w:val="0"/>
                <w:bCs w:val="0"/>
                <w:color w:val="auto"/>
                <w:sz w:val="21"/>
                <w:szCs w:val="21"/>
                <w:highlight w:val="none"/>
                <w:lang w:val="en-US" w:eastAsia="zh-CN"/>
              </w:rPr>
              <w:t>t，占危废仓库储存能力的</w:t>
            </w:r>
            <w:r>
              <w:rPr>
                <w:rFonts w:hint="eastAsia" w:cs="Times New Roman"/>
                <w:b w:val="0"/>
                <w:bCs w:val="0"/>
                <w:color w:val="auto"/>
                <w:sz w:val="21"/>
                <w:szCs w:val="21"/>
                <w:highlight w:val="none"/>
                <w:lang w:val="en-US" w:eastAsia="zh-CN"/>
              </w:rPr>
              <w:t>19.4</w:t>
            </w:r>
            <w:r>
              <w:rPr>
                <w:rFonts w:hint="default" w:ascii="Times New Roman" w:hAnsi="Times New Roman" w:eastAsia="宋体" w:cs="Times New Roman"/>
                <w:b w:val="0"/>
                <w:bCs w:val="0"/>
                <w:color w:val="auto"/>
                <w:sz w:val="21"/>
                <w:szCs w:val="21"/>
                <w:highlight w:val="none"/>
                <w:lang w:val="en-US" w:eastAsia="zh-CN"/>
              </w:rPr>
              <w:t>%，因此</w:t>
            </w:r>
            <w:r>
              <w:rPr>
                <w:rFonts w:hint="eastAsia" w:ascii="Times New Roman" w:hAnsi="Times New Roman" w:eastAsia="宋体" w:cs="Times New Roman"/>
                <w:b w:val="0"/>
                <w:bCs w:val="0"/>
                <w:color w:val="auto"/>
                <w:sz w:val="21"/>
                <w:szCs w:val="21"/>
                <w:highlight w:val="none"/>
                <w:lang w:val="en-US" w:eastAsia="zh-CN"/>
              </w:rPr>
              <w:t>拟建</w:t>
            </w:r>
            <w:r>
              <w:rPr>
                <w:rFonts w:hint="default" w:ascii="Times New Roman" w:hAnsi="Times New Roman" w:eastAsia="宋体" w:cs="Times New Roman"/>
                <w:b w:val="0"/>
                <w:bCs w:val="0"/>
                <w:color w:val="auto"/>
                <w:sz w:val="21"/>
                <w:szCs w:val="21"/>
                <w:highlight w:val="none"/>
                <w:lang w:val="en-US" w:eastAsia="zh-CN"/>
              </w:rPr>
              <w:t>危废仓库储存能力能够满足本项目所用。</w:t>
            </w:r>
          </w:p>
          <w:p w14:paraId="56E12CA1">
            <w:pPr>
              <w:pStyle w:val="2"/>
              <w:keepNext/>
              <w:keepLines/>
              <w:pageBreakBefore w:val="0"/>
              <w:widowControl w:val="0"/>
              <w:numPr>
                <w:ilvl w:val="0"/>
                <w:numId w:val="0"/>
              </w:numPr>
              <w:kinsoku/>
              <w:wordWrap/>
              <w:overflowPunct/>
              <w:topLinePunct w:val="0"/>
              <w:autoSpaceDE/>
              <w:autoSpaceDN/>
              <w:bidi w:val="0"/>
              <w:adjustRightInd w:val="0"/>
              <w:snapToGrid w:val="0"/>
              <w:spacing w:before="0" w:after="0" w:line="360" w:lineRule="auto"/>
              <w:ind w:firstLine="420" w:firstLineChars="200"/>
              <w:textAlignment w:val="auto"/>
              <w:rPr>
                <w:rFonts w:hint="default"/>
                <w:color w:val="auto"/>
                <w:highlight w:val="none"/>
                <w:lang w:val="en-US" w:eastAsia="zh-CN"/>
              </w:rPr>
            </w:pPr>
            <w:r>
              <w:rPr>
                <w:rFonts w:hint="eastAsia" w:ascii="Times New Roman" w:hAnsi="Times New Roman" w:eastAsia="宋体" w:cs="Times New Roman"/>
                <w:b w:val="0"/>
                <w:bCs w:val="0"/>
                <w:color w:val="auto"/>
                <w:kern w:val="2"/>
                <w:sz w:val="21"/>
                <w:szCs w:val="21"/>
                <w:highlight w:val="none"/>
                <w:shd w:val="clear" w:color="auto" w:fill="auto"/>
                <w:lang w:val="en-US" w:eastAsia="zh-CN" w:bidi="ar-SA"/>
              </w:rPr>
              <w:t>建设单位拟按照</w:t>
            </w:r>
            <w:r>
              <w:rPr>
                <w:rFonts w:hint="default" w:ascii="Times New Roman" w:hAnsi="Times New Roman" w:eastAsia="宋体" w:cs="Times New Roman"/>
                <w:b w:val="0"/>
                <w:bCs w:val="0"/>
                <w:color w:val="auto"/>
                <w:kern w:val="2"/>
                <w:sz w:val="21"/>
                <w:szCs w:val="21"/>
                <w:highlight w:val="none"/>
                <w:shd w:val="clear" w:color="auto" w:fill="auto"/>
                <w:lang w:val="en-US" w:eastAsia="zh-CN" w:bidi="ar-SA"/>
              </w:rPr>
              <w:t>《一般工业固体废物贮存和填埋污染控制标准》（GB18599-2020）要求建设</w:t>
            </w:r>
            <w:r>
              <w:rPr>
                <w:rFonts w:hint="eastAsia" w:ascii="Times New Roman" w:hAnsi="Times New Roman" w:eastAsia="宋体" w:cs="Times New Roman"/>
                <w:b w:val="0"/>
                <w:bCs w:val="0"/>
                <w:color w:val="auto"/>
                <w:kern w:val="2"/>
                <w:sz w:val="21"/>
                <w:szCs w:val="21"/>
                <w:highlight w:val="none"/>
                <w:shd w:val="clear" w:color="auto" w:fill="auto"/>
                <w:lang w:val="en-US" w:eastAsia="zh-CN" w:bidi="ar-SA"/>
              </w:rPr>
              <w:t>一般固废仓库，现有拟建设20m</w:t>
            </w:r>
            <w:r>
              <w:rPr>
                <w:rFonts w:hint="eastAsia" w:ascii="Times New Roman" w:hAnsi="Times New Roman" w:eastAsia="宋体" w:cs="Times New Roman"/>
                <w:b w:val="0"/>
                <w:bCs w:val="0"/>
                <w:color w:val="auto"/>
                <w:kern w:val="2"/>
                <w:sz w:val="21"/>
                <w:szCs w:val="21"/>
                <w:highlight w:val="none"/>
                <w:shd w:val="clear" w:color="auto" w:fill="auto"/>
                <w:vertAlign w:val="superscript"/>
                <w:lang w:val="en-US" w:eastAsia="zh-CN" w:bidi="ar-SA"/>
              </w:rPr>
              <w:t>2</w:t>
            </w:r>
            <w:r>
              <w:rPr>
                <w:rFonts w:hint="eastAsia" w:ascii="Times New Roman" w:hAnsi="Times New Roman" w:eastAsia="宋体" w:cs="Times New Roman"/>
                <w:b w:val="0"/>
                <w:bCs w:val="0"/>
                <w:color w:val="auto"/>
                <w:kern w:val="2"/>
                <w:sz w:val="21"/>
                <w:szCs w:val="21"/>
                <w:highlight w:val="none"/>
                <w:shd w:val="clear" w:color="auto" w:fill="auto"/>
                <w:lang w:val="en-US" w:eastAsia="zh-CN" w:bidi="ar-SA"/>
              </w:rPr>
              <w:t>一般固废仓库，</w:t>
            </w:r>
            <w:r>
              <w:rPr>
                <w:rFonts w:hint="eastAsia" w:ascii="Times New Roman" w:hAnsi="Times New Roman" w:eastAsia="宋体" w:cs="Times New Roman"/>
                <w:b w:val="0"/>
                <w:bCs w:val="0"/>
                <w:color w:val="auto"/>
                <w:sz w:val="21"/>
                <w:szCs w:val="21"/>
                <w:highlight w:val="none"/>
                <w:lang w:val="en-US" w:eastAsia="zh-CN"/>
              </w:rPr>
              <w:t>一般固废</w:t>
            </w:r>
            <w:r>
              <w:rPr>
                <w:rFonts w:hint="default" w:ascii="Times New Roman" w:hAnsi="Times New Roman" w:eastAsia="宋体" w:cs="Times New Roman"/>
                <w:b w:val="0"/>
                <w:bCs w:val="0"/>
                <w:color w:val="auto"/>
                <w:sz w:val="21"/>
                <w:szCs w:val="21"/>
                <w:highlight w:val="none"/>
              </w:rPr>
              <w:t>仓库储存能力以</w:t>
            </w:r>
            <w:r>
              <w:rPr>
                <w:rFonts w:hint="eastAsia" w:cs="Times New Roman"/>
                <w:b w:val="0"/>
                <w:bCs w:val="0"/>
                <w:color w:val="auto"/>
                <w:sz w:val="21"/>
                <w:szCs w:val="21"/>
                <w:highlight w:val="none"/>
                <w:lang w:val="en-US" w:eastAsia="zh-CN"/>
              </w:rPr>
              <w:t>16</w:t>
            </w:r>
            <w:r>
              <w:rPr>
                <w:rFonts w:hint="default" w:ascii="Times New Roman" w:hAnsi="Times New Roman" w:eastAsia="宋体" w:cs="Times New Roman"/>
                <w:b w:val="0"/>
                <w:bCs w:val="0"/>
                <w:color w:val="auto"/>
                <w:sz w:val="21"/>
                <w:szCs w:val="21"/>
                <w:highlight w:val="none"/>
              </w:rPr>
              <w:t>t计。</w:t>
            </w:r>
            <w:r>
              <w:rPr>
                <w:rFonts w:hint="default" w:ascii="Times New Roman" w:hAnsi="Times New Roman" w:eastAsia="宋体" w:cs="Times New Roman"/>
                <w:b w:val="0"/>
                <w:bCs w:val="0"/>
                <w:color w:val="auto"/>
                <w:sz w:val="21"/>
                <w:szCs w:val="21"/>
                <w:highlight w:val="none"/>
                <w:lang w:val="en-US" w:eastAsia="zh-CN"/>
              </w:rPr>
              <w:t>建设单位</w:t>
            </w:r>
            <w:r>
              <w:rPr>
                <w:rFonts w:hint="eastAsia" w:ascii="Times New Roman" w:hAnsi="Times New Roman" w:eastAsia="宋体" w:cs="Times New Roman"/>
                <w:b w:val="0"/>
                <w:bCs w:val="0"/>
                <w:color w:val="auto"/>
                <w:sz w:val="21"/>
                <w:szCs w:val="21"/>
                <w:highlight w:val="none"/>
                <w:lang w:val="en-US" w:eastAsia="zh-CN"/>
              </w:rPr>
              <w:t>一般固废预计</w:t>
            </w:r>
            <w:r>
              <w:rPr>
                <w:rFonts w:hint="default" w:ascii="Times New Roman" w:hAnsi="Times New Roman" w:eastAsia="宋体" w:cs="Times New Roman"/>
                <w:b w:val="0"/>
                <w:bCs w:val="0"/>
                <w:color w:val="auto"/>
                <w:sz w:val="21"/>
                <w:szCs w:val="21"/>
                <w:highlight w:val="none"/>
                <w:lang w:val="en-US" w:eastAsia="zh-CN"/>
              </w:rPr>
              <w:t>产生量为</w:t>
            </w:r>
            <w:r>
              <w:rPr>
                <w:rFonts w:hint="eastAsia" w:cs="Times New Roman"/>
                <w:b w:val="0"/>
                <w:bCs w:val="0"/>
                <w:color w:val="auto"/>
                <w:sz w:val="21"/>
                <w:szCs w:val="21"/>
                <w:highlight w:val="none"/>
                <w:lang w:val="en-US" w:eastAsia="zh-CN"/>
              </w:rPr>
              <w:t>3</w:t>
            </w:r>
            <w:r>
              <w:rPr>
                <w:rFonts w:hint="default" w:ascii="Times New Roman" w:hAnsi="Times New Roman" w:eastAsia="宋体" w:cs="Times New Roman"/>
                <w:b w:val="0"/>
                <w:bCs w:val="0"/>
                <w:color w:val="auto"/>
                <w:sz w:val="21"/>
                <w:szCs w:val="21"/>
                <w:highlight w:val="none"/>
                <w:lang w:val="en-US" w:eastAsia="zh-CN"/>
              </w:rPr>
              <w:t>t/a，</w:t>
            </w:r>
            <w:r>
              <w:rPr>
                <w:rFonts w:hint="eastAsia" w:cs="Times New Roman"/>
                <w:b w:val="0"/>
                <w:bCs w:val="0"/>
                <w:color w:val="auto"/>
                <w:sz w:val="21"/>
                <w:szCs w:val="21"/>
                <w:highlight w:val="none"/>
                <w:lang w:val="en-US" w:eastAsia="zh-CN"/>
              </w:rPr>
              <w:t>3个月回收一次</w:t>
            </w:r>
            <w:r>
              <w:rPr>
                <w:rFonts w:hint="default" w:ascii="Times New Roman" w:hAnsi="Times New Roman" w:eastAsia="宋体" w:cs="Times New Roman"/>
                <w:b w:val="0"/>
                <w:bCs w:val="0"/>
                <w:color w:val="auto"/>
                <w:sz w:val="21"/>
                <w:szCs w:val="21"/>
                <w:highlight w:val="none"/>
                <w:lang w:val="en-US" w:eastAsia="zh-CN"/>
              </w:rPr>
              <w:t>，最大暂存量为</w:t>
            </w:r>
            <w:r>
              <w:rPr>
                <w:rFonts w:hint="eastAsia" w:cs="Times New Roman"/>
                <w:b w:val="0"/>
                <w:bCs w:val="0"/>
                <w:color w:val="auto"/>
                <w:sz w:val="21"/>
                <w:szCs w:val="21"/>
                <w:highlight w:val="none"/>
                <w:lang w:val="en-US" w:eastAsia="zh-CN"/>
              </w:rPr>
              <w:t>0.75</w:t>
            </w:r>
            <w:r>
              <w:rPr>
                <w:rFonts w:hint="default" w:ascii="Times New Roman" w:hAnsi="Times New Roman" w:eastAsia="宋体" w:cs="Times New Roman"/>
                <w:b w:val="0"/>
                <w:bCs w:val="0"/>
                <w:color w:val="auto"/>
                <w:sz w:val="21"/>
                <w:szCs w:val="21"/>
                <w:highlight w:val="none"/>
                <w:lang w:val="en-US" w:eastAsia="zh-CN"/>
              </w:rPr>
              <w:t>t</w:t>
            </w:r>
            <w:r>
              <w:rPr>
                <w:rFonts w:hint="eastAsia" w:ascii="Times New Roman" w:hAnsi="Times New Roman" w:eastAsia="宋体" w:cs="Times New Roman"/>
                <w:b w:val="0"/>
                <w:bCs w:val="0"/>
                <w:color w:val="auto"/>
                <w:sz w:val="21"/>
                <w:szCs w:val="21"/>
                <w:highlight w:val="none"/>
                <w:lang w:val="en-US" w:eastAsia="zh-CN"/>
              </w:rPr>
              <w:t>，</w:t>
            </w:r>
            <w:r>
              <w:rPr>
                <w:rFonts w:hint="default" w:ascii="Times New Roman" w:hAnsi="Times New Roman" w:eastAsia="宋体" w:cs="Times New Roman"/>
                <w:b w:val="0"/>
                <w:bCs w:val="0"/>
                <w:color w:val="auto"/>
                <w:sz w:val="21"/>
                <w:szCs w:val="21"/>
                <w:highlight w:val="none"/>
                <w:lang w:val="en-US" w:eastAsia="zh-CN"/>
              </w:rPr>
              <w:t>占</w:t>
            </w:r>
            <w:r>
              <w:rPr>
                <w:rFonts w:hint="eastAsia" w:ascii="Times New Roman" w:hAnsi="Times New Roman" w:eastAsia="宋体" w:cs="Times New Roman"/>
                <w:b w:val="0"/>
                <w:bCs w:val="0"/>
                <w:color w:val="auto"/>
                <w:sz w:val="21"/>
                <w:szCs w:val="21"/>
                <w:highlight w:val="none"/>
                <w:lang w:val="en-US" w:eastAsia="zh-CN"/>
              </w:rPr>
              <w:t>一般固废</w:t>
            </w:r>
            <w:r>
              <w:rPr>
                <w:rFonts w:hint="default" w:ascii="Times New Roman" w:hAnsi="Times New Roman" w:eastAsia="宋体" w:cs="Times New Roman"/>
                <w:b w:val="0"/>
                <w:bCs w:val="0"/>
                <w:color w:val="auto"/>
                <w:sz w:val="21"/>
                <w:szCs w:val="21"/>
                <w:highlight w:val="none"/>
                <w:lang w:val="en-US" w:eastAsia="zh-CN"/>
              </w:rPr>
              <w:t>仓库储存能力的</w:t>
            </w:r>
            <w:r>
              <w:rPr>
                <w:rFonts w:hint="eastAsia" w:cs="Times New Roman"/>
                <w:b w:val="0"/>
                <w:bCs w:val="0"/>
                <w:color w:val="auto"/>
                <w:sz w:val="21"/>
                <w:szCs w:val="21"/>
                <w:highlight w:val="none"/>
                <w:lang w:val="en-US" w:eastAsia="zh-CN"/>
              </w:rPr>
              <w:t>4.7</w:t>
            </w:r>
            <w:r>
              <w:rPr>
                <w:rFonts w:hint="default" w:ascii="Times New Roman" w:hAnsi="Times New Roman" w:eastAsia="宋体" w:cs="Times New Roman"/>
                <w:b w:val="0"/>
                <w:bCs w:val="0"/>
                <w:color w:val="auto"/>
                <w:sz w:val="21"/>
                <w:szCs w:val="21"/>
                <w:highlight w:val="none"/>
                <w:lang w:val="en-US" w:eastAsia="zh-CN"/>
              </w:rPr>
              <w:t>%，因此</w:t>
            </w:r>
            <w:r>
              <w:rPr>
                <w:rFonts w:hint="eastAsia" w:ascii="Times New Roman" w:hAnsi="Times New Roman" w:eastAsia="宋体" w:cs="Times New Roman"/>
                <w:b w:val="0"/>
                <w:bCs w:val="0"/>
                <w:color w:val="auto"/>
                <w:sz w:val="21"/>
                <w:szCs w:val="21"/>
                <w:highlight w:val="none"/>
                <w:lang w:val="en-US" w:eastAsia="zh-CN"/>
              </w:rPr>
              <w:t>拟建一般固废</w:t>
            </w:r>
            <w:r>
              <w:rPr>
                <w:rFonts w:hint="default" w:ascii="Times New Roman" w:hAnsi="Times New Roman" w:eastAsia="宋体" w:cs="Times New Roman"/>
                <w:b w:val="0"/>
                <w:bCs w:val="0"/>
                <w:color w:val="auto"/>
                <w:sz w:val="21"/>
                <w:szCs w:val="21"/>
                <w:highlight w:val="none"/>
                <w:lang w:val="en-US" w:eastAsia="zh-CN"/>
              </w:rPr>
              <w:t>仓库储存能力能够满足本项目所用。</w:t>
            </w:r>
          </w:p>
          <w:p w14:paraId="44E34B68">
            <w:pPr>
              <w:autoSpaceDE w:val="0"/>
              <w:autoSpaceDN w:val="0"/>
              <w:adjustRightInd w:val="0"/>
              <w:snapToGrid w:val="0"/>
              <w:spacing w:line="360" w:lineRule="auto"/>
              <w:jc w:val="left"/>
              <w:rPr>
                <w:rFonts w:cs="宋体"/>
                <w:b/>
                <w:bCs/>
                <w:color w:val="auto"/>
              </w:rPr>
            </w:pPr>
            <w:r>
              <w:rPr>
                <w:rFonts w:hint="eastAsia" w:cs="宋体"/>
                <w:b/>
                <w:bCs/>
                <w:color w:val="auto"/>
              </w:rPr>
              <w:t>2.1.4 主要生产设备</w:t>
            </w:r>
          </w:p>
          <w:p w14:paraId="4F3364E1">
            <w:pPr>
              <w:adjustRightInd w:val="0"/>
              <w:snapToGrid w:val="0"/>
              <w:spacing w:line="360" w:lineRule="auto"/>
              <w:ind w:firstLine="420" w:firstLineChars="200"/>
              <w:rPr>
                <w:rFonts w:cs="宋体"/>
                <w:color w:val="auto"/>
              </w:rPr>
            </w:pPr>
            <w:r>
              <w:rPr>
                <w:rFonts w:hint="eastAsia" w:cs="宋体"/>
                <w:color w:val="auto"/>
              </w:rPr>
              <w:t>本项目主要设备情况见下表。</w:t>
            </w:r>
          </w:p>
          <w:p w14:paraId="5890BDBE">
            <w:pPr>
              <w:pStyle w:val="16"/>
              <w:keepNext/>
              <w:adjustRightInd w:val="0"/>
              <w:snapToGrid w:val="0"/>
              <w:jc w:val="center"/>
              <w:rPr>
                <w:rFonts w:ascii="Times New Roman" w:hAnsi="Times New Roman" w:eastAsia="宋体"/>
                <w:b/>
                <w:color w:val="auto"/>
                <w:sz w:val="21"/>
                <w:szCs w:val="21"/>
              </w:rPr>
            </w:pPr>
            <w:bookmarkStart w:id="11" w:name="_Hlk38892495"/>
            <w:r>
              <w:rPr>
                <w:rFonts w:hint="eastAsia" w:ascii="Times New Roman" w:hAnsi="Times New Roman" w:eastAsia="宋体" w:cs="宋体"/>
                <w:b/>
                <w:color w:val="auto"/>
                <w:sz w:val="21"/>
                <w:szCs w:val="21"/>
              </w:rPr>
              <w:t>表2-</w:t>
            </w:r>
            <w:r>
              <w:rPr>
                <w:rFonts w:hint="eastAsia" w:ascii="Times New Roman" w:hAnsi="Times New Roman" w:eastAsia="宋体" w:cs="宋体"/>
                <w:b/>
                <w:color w:val="auto"/>
                <w:sz w:val="21"/>
                <w:szCs w:val="21"/>
                <w:lang w:val="en-US" w:eastAsia="zh-CN"/>
              </w:rPr>
              <w:t>3</w:t>
            </w:r>
            <w:r>
              <w:rPr>
                <w:rFonts w:hint="eastAsia" w:ascii="Times New Roman" w:hAnsi="Times New Roman" w:eastAsia="宋体" w:cs="宋体"/>
                <w:b/>
                <w:color w:val="auto"/>
                <w:sz w:val="21"/>
                <w:szCs w:val="21"/>
              </w:rPr>
              <w:t xml:space="preserve">   主要设备清单</w:t>
            </w:r>
          </w:p>
          <w:bookmarkEnd w:id="11"/>
          <w:tbl>
            <w:tblPr>
              <w:tblStyle w:val="59"/>
              <w:tblW w:w="4997"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836"/>
              <w:gridCol w:w="1715"/>
              <w:gridCol w:w="2956"/>
              <w:gridCol w:w="1647"/>
              <w:gridCol w:w="1390"/>
            </w:tblGrid>
            <w:tr w14:paraId="5B1962F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489" w:type="pct"/>
                  <w:tcBorders>
                    <w:tl2br w:val="nil"/>
                    <w:tr2bl w:val="nil"/>
                  </w:tcBorders>
                  <w:vAlign w:val="center"/>
                </w:tcPr>
                <w:p w14:paraId="01D90FD2">
                  <w:pPr>
                    <w:keepNext w:val="0"/>
                    <w:keepLines w:val="0"/>
                    <w:pageBreakBefore w:val="0"/>
                    <w:widowControl w:val="0"/>
                    <w:kinsoku/>
                    <w:overflowPunct/>
                    <w:topLinePunct w:val="0"/>
                    <w:autoSpaceDE/>
                    <w:autoSpaceDN/>
                    <w:bidi w:val="0"/>
                    <w:adjustRightInd w:val="0"/>
                    <w:snapToGrid w:val="0"/>
                    <w:jc w:val="center"/>
                    <w:textAlignment w:val="auto"/>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生产</w:t>
                  </w:r>
                </w:p>
                <w:p w14:paraId="534F3BD4">
                  <w:pPr>
                    <w:keepNext w:val="0"/>
                    <w:keepLines w:val="0"/>
                    <w:pageBreakBefore w:val="0"/>
                    <w:widowControl w:val="0"/>
                    <w:kinsoku/>
                    <w:overflowPunct/>
                    <w:topLinePunct w:val="0"/>
                    <w:autoSpaceDE/>
                    <w:autoSpaceDN/>
                    <w:bidi w:val="0"/>
                    <w:adjustRightInd w:val="0"/>
                    <w:snapToGrid w:val="0"/>
                    <w:jc w:val="center"/>
                    <w:textAlignment w:val="auto"/>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单元</w:t>
                  </w:r>
                </w:p>
              </w:tc>
              <w:tc>
                <w:tcPr>
                  <w:tcW w:w="1003" w:type="pct"/>
                  <w:tcBorders>
                    <w:tl2br w:val="nil"/>
                    <w:tr2bl w:val="nil"/>
                  </w:tcBorders>
                  <w:vAlign w:val="center"/>
                </w:tcPr>
                <w:p w14:paraId="681E4DC7">
                  <w:pPr>
                    <w:keepNext w:val="0"/>
                    <w:keepLines w:val="0"/>
                    <w:pageBreakBefore w:val="0"/>
                    <w:widowControl w:val="0"/>
                    <w:kinsoku/>
                    <w:overflowPunct/>
                    <w:topLinePunct w:val="0"/>
                    <w:autoSpaceDE/>
                    <w:autoSpaceDN/>
                    <w:bidi w:val="0"/>
                    <w:adjustRightInd w:val="0"/>
                    <w:snapToGrid w:val="0"/>
                    <w:jc w:val="center"/>
                    <w:textAlignment w:val="auto"/>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工序</w:t>
                  </w:r>
                </w:p>
              </w:tc>
              <w:tc>
                <w:tcPr>
                  <w:tcW w:w="1729" w:type="pct"/>
                  <w:tcBorders>
                    <w:tl2br w:val="nil"/>
                    <w:tr2bl w:val="nil"/>
                  </w:tcBorders>
                  <w:vAlign w:val="center"/>
                </w:tcPr>
                <w:p w14:paraId="5694D522">
                  <w:pPr>
                    <w:keepNext w:val="0"/>
                    <w:keepLines w:val="0"/>
                    <w:pageBreakBefore w:val="0"/>
                    <w:widowControl w:val="0"/>
                    <w:kinsoku/>
                    <w:overflowPunct/>
                    <w:topLinePunct w:val="0"/>
                    <w:autoSpaceDE/>
                    <w:autoSpaceDN/>
                    <w:bidi w:val="0"/>
                    <w:adjustRightInd w:val="0"/>
                    <w:snapToGrid w:val="0"/>
                    <w:jc w:val="center"/>
                    <w:textAlignment w:val="auto"/>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设备名称</w:t>
                  </w:r>
                </w:p>
              </w:tc>
              <w:tc>
                <w:tcPr>
                  <w:tcW w:w="963" w:type="pct"/>
                  <w:tcBorders>
                    <w:tl2br w:val="nil"/>
                    <w:tr2bl w:val="nil"/>
                  </w:tcBorders>
                  <w:vAlign w:val="center"/>
                </w:tcPr>
                <w:p w14:paraId="1BBE563D">
                  <w:pPr>
                    <w:keepNext w:val="0"/>
                    <w:keepLines w:val="0"/>
                    <w:pageBreakBefore w:val="0"/>
                    <w:widowControl w:val="0"/>
                    <w:kinsoku/>
                    <w:overflowPunct/>
                    <w:topLinePunct w:val="0"/>
                    <w:autoSpaceDE/>
                    <w:autoSpaceDN/>
                    <w:bidi w:val="0"/>
                    <w:adjustRightInd w:val="0"/>
                    <w:snapToGrid w:val="0"/>
                    <w:jc w:val="center"/>
                    <w:textAlignment w:val="auto"/>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规格型号</w:t>
                  </w:r>
                </w:p>
              </w:tc>
              <w:tc>
                <w:tcPr>
                  <w:tcW w:w="813" w:type="pct"/>
                  <w:tcBorders>
                    <w:tl2br w:val="nil"/>
                    <w:tr2bl w:val="nil"/>
                  </w:tcBorders>
                  <w:vAlign w:val="center"/>
                </w:tcPr>
                <w:p w14:paraId="3A7CF55C">
                  <w:pPr>
                    <w:keepNext w:val="0"/>
                    <w:keepLines w:val="0"/>
                    <w:pageBreakBefore w:val="0"/>
                    <w:widowControl w:val="0"/>
                    <w:kinsoku/>
                    <w:overflowPunct/>
                    <w:topLinePunct w:val="0"/>
                    <w:autoSpaceDE/>
                    <w:autoSpaceDN/>
                    <w:bidi w:val="0"/>
                    <w:adjustRightInd w:val="0"/>
                    <w:snapToGrid w:val="0"/>
                    <w:jc w:val="center"/>
                    <w:textAlignment w:val="auto"/>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数量（台/套）</w:t>
                  </w:r>
                </w:p>
              </w:tc>
            </w:tr>
            <w:tr w14:paraId="3708AE4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32" w:hRule="atLeast"/>
                <w:jc w:val="center"/>
              </w:trPr>
              <w:tc>
                <w:tcPr>
                  <w:tcW w:w="489" w:type="pct"/>
                  <w:vMerge w:val="restart"/>
                  <w:tcBorders>
                    <w:tl2br w:val="nil"/>
                    <w:tr2bl w:val="nil"/>
                  </w:tcBorders>
                  <w:vAlign w:val="center"/>
                </w:tcPr>
                <w:p w14:paraId="407BE30D">
                  <w:pPr>
                    <w:pStyle w:val="688"/>
                    <w:keepNext w:val="0"/>
                    <w:keepLines w:val="0"/>
                    <w:pageBreakBefore w:val="0"/>
                    <w:widowControl w:val="0"/>
                    <w:kinsoku/>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lang w:eastAsia="zh-CN"/>
                    </w:rPr>
                  </w:pPr>
                  <w:r>
                    <w:rPr>
                      <w:rFonts w:hint="default" w:ascii="Times New Roman" w:hAnsi="Times New Roman" w:cs="Times New Roman"/>
                      <w:color w:val="auto"/>
                      <w:kern w:val="0"/>
                      <w:sz w:val="21"/>
                      <w:szCs w:val="21"/>
                      <w:lang w:val="en-US" w:eastAsia="zh-CN"/>
                    </w:rPr>
                    <w:t>生产设备</w:t>
                  </w:r>
                </w:p>
              </w:tc>
              <w:tc>
                <w:tcPr>
                  <w:tcW w:w="1003" w:type="pct"/>
                  <w:tcBorders>
                    <w:tl2br w:val="nil"/>
                    <w:tr2bl w:val="nil"/>
                  </w:tcBorders>
                  <w:shd w:val="clear" w:color="auto" w:fill="auto"/>
                  <w:vAlign w:val="center"/>
                </w:tcPr>
                <w:p w14:paraId="1709C70F">
                  <w:pPr>
                    <w:keepNext w:val="0"/>
                    <w:keepLines w:val="0"/>
                    <w:pageBreakBefore w:val="0"/>
                    <w:widowControl w:val="0"/>
                    <w:kinsoku/>
                    <w:overflowPunct/>
                    <w:topLinePunct w:val="0"/>
                    <w:autoSpaceDE/>
                    <w:autoSpaceDN/>
                    <w:bidi w:val="0"/>
                    <w:adjustRightInd w:val="0"/>
                    <w:snapToGrid w:val="0"/>
                    <w:jc w:val="center"/>
                    <w:textAlignment w:val="auto"/>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龙门铣精加工</w:t>
                  </w:r>
                </w:p>
              </w:tc>
              <w:tc>
                <w:tcPr>
                  <w:tcW w:w="1729" w:type="pct"/>
                  <w:tcBorders>
                    <w:tl2br w:val="nil"/>
                    <w:tr2bl w:val="nil"/>
                  </w:tcBorders>
                  <w:vAlign w:val="center"/>
                </w:tcPr>
                <w:p w14:paraId="4A0C263B">
                  <w:pPr>
                    <w:keepNext w:val="0"/>
                    <w:keepLines w:val="0"/>
                    <w:pageBreakBefore w:val="0"/>
                    <w:widowControl w:val="0"/>
                    <w:kinsoku/>
                    <w:overflowPunct/>
                    <w:topLinePunct w:val="0"/>
                    <w:autoSpaceDE/>
                    <w:autoSpaceDN/>
                    <w:bidi w:val="0"/>
                    <w:adjustRightInd w:val="0"/>
                    <w:snapToGrid w:val="0"/>
                    <w:jc w:val="center"/>
                    <w:textAlignment w:val="auto"/>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龙门铣床</w:t>
                  </w:r>
                </w:p>
              </w:tc>
              <w:tc>
                <w:tcPr>
                  <w:tcW w:w="963" w:type="pct"/>
                  <w:tcBorders>
                    <w:tl2br w:val="nil"/>
                    <w:tr2bl w:val="nil"/>
                  </w:tcBorders>
                  <w:vAlign w:val="center"/>
                </w:tcPr>
                <w:p w14:paraId="4EA8846C">
                  <w:pPr>
                    <w:keepNext w:val="0"/>
                    <w:keepLines w:val="0"/>
                    <w:pageBreakBefore w:val="0"/>
                    <w:widowControl w:val="0"/>
                    <w:kinsoku/>
                    <w:overflowPunct/>
                    <w:topLinePunct w:val="0"/>
                    <w:autoSpaceDE/>
                    <w:autoSpaceDN/>
                    <w:bidi w:val="0"/>
                    <w:adjustRightInd w:val="0"/>
                    <w:snapToGrid w:val="0"/>
                    <w:jc w:val="center"/>
                    <w:textAlignment w:val="auto"/>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定制</w:t>
                  </w:r>
                </w:p>
              </w:tc>
              <w:tc>
                <w:tcPr>
                  <w:tcW w:w="813" w:type="pct"/>
                  <w:tcBorders>
                    <w:tl2br w:val="nil"/>
                    <w:tr2bl w:val="nil"/>
                  </w:tcBorders>
                  <w:vAlign w:val="center"/>
                </w:tcPr>
                <w:p w14:paraId="51CCD2D3">
                  <w:pPr>
                    <w:keepNext w:val="0"/>
                    <w:keepLines w:val="0"/>
                    <w:pageBreakBefore w:val="0"/>
                    <w:widowControl w:val="0"/>
                    <w:kinsoku/>
                    <w:overflowPunct/>
                    <w:topLinePunct w:val="0"/>
                    <w:autoSpaceDE/>
                    <w:autoSpaceDN/>
                    <w:bidi w:val="0"/>
                    <w:adjustRightInd w:val="0"/>
                    <w:snapToGrid w:val="0"/>
                    <w:jc w:val="center"/>
                    <w:textAlignment w:val="auto"/>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1</w:t>
                  </w:r>
                </w:p>
              </w:tc>
            </w:tr>
            <w:tr w14:paraId="72F5377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489" w:type="pct"/>
                  <w:vMerge w:val="continue"/>
                  <w:tcBorders>
                    <w:tl2br w:val="nil"/>
                    <w:tr2bl w:val="nil"/>
                  </w:tcBorders>
                  <w:vAlign w:val="center"/>
                </w:tcPr>
                <w:p w14:paraId="1A93D313">
                  <w:pPr>
                    <w:pStyle w:val="688"/>
                    <w:keepNext w:val="0"/>
                    <w:keepLines w:val="0"/>
                    <w:pageBreakBefore w:val="0"/>
                    <w:widowControl w:val="0"/>
                    <w:kinsoku/>
                    <w:overflowPunct/>
                    <w:topLinePunct w:val="0"/>
                    <w:autoSpaceDE/>
                    <w:autoSpaceDN/>
                    <w:bidi w:val="0"/>
                    <w:adjustRightInd w:val="0"/>
                    <w:snapToGrid w:val="0"/>
                    <w:jc w:val="center"/>
                    <w:textAlignment w:val="auto"/>
                    <w:rPr>
                      <w:rFonts w:hint="default" w:ascii="Times New Roman" w:hAnsi="Times New Roman" w:cs="Times New Roman"/>
                      <w:color w:val="auto"/>
                      <w:kern w:val="0"/>
                      <w:sz w:val="21"/>
                      <w:szCs w:val="21"/>
                      <w:lang w:val="en-US" w:eastAsia="zh-CN"/>
                    </w:rPr>
                  </w:pPr>
                </w:p>
              </w:tc>
              <w:tc>
                <w:tcPr>
                  <w:tcW w:w="1003" w:type="pct"/>
                  <w:tcBorders>
                    <w:tl2br w:val="nil"/>
                    <w:tr2bl w:val="nil"/>
                  </w:tcBorders>
                  <w:shd w:val="clear" w:color="auto" w:fill="auto"/>
                  <w:vAlign w:val="center"/>
                </w:tcPr>
                <w:p w14:paraId="70097125">
                  <w:pPr>
                    <w:keepNext w:val="0"/>
                    <w:keepLines w:val="0"/>
                    <w:pageBreakBefore w:val="0"/>
                    <w:widowControl w:val="0"/>
                    <w:kinsoku/>
                    <w:overflowPunct/>
                    <w:topLinePunct w:val="0"/>
                    <w:autoSpaceDE/>
                    <w:autoSpaceDN/>
                    <w:bidi w:val="0"/>
                    <w:adjustRightInd w:val="0"/>
                    <w:snapToGrid w:val="0"/>
                    <w:jc w:val="center"/>
                    <w:textAlignment w:val="auto"/>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蒸汽清洗</w:t>
                  </w:r>
                </w:p>
              </w:tc>
              <w:tc>
                <w:tcPr>
                  <w:tcW w:w="1729" w:type="pct"/>
                  <w:tcBorders>
                    <w:tl2br w:val="nil"/>
                    <w:tr2bl w:val="nil"/>
                  </w:tcBorders>
                  <w:vAlign w:val="center"/>
                </w:tcPr>
                <w:p w14:paraId="4E31C3EF">
                  <w:pPr>
                    <w:keepNext w:val="0"/>
                    <w:keepLines w:val="0"/>
                    <w:pageBreakBefore w:val="0"/>
                    <w:widowControl w:val="0"/>
                    <w:kinsoku/>
                    <w:overflowPunct/>
                    <w:topLinePunct w:val="0"/>
                    <w:autoSpaceDE/>
                    <w:autoSpaceDN/>
                    <w:bidi w:val="0"/>
                    <w:adjustRightInd w:val="0"/>
                    <w:snapToGrid w:val="0"/>
                    <w:jc w:val="center"/>
                    <w:textAlignment w:val="auto"/>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高温蒸汽清洗机</w:t>
                  </w:r>
                </w:p>
              </w:tc>
              <w:tc>
                <w:tcPr>
                  <w:tcW w:w="963" w:type="pct"/>
                  <w:tcBorders>
                    <w:tl2br w:val="nil"/>
                    <w:tr2bl w:val="nil"/>
                  </w:tcBorders>
                  <w:vAlign w:val="center"/>
                </w:tcPr>
                <w:p w14:paraId="2B5C91B1">
                  <w:pPr>
                    <w:keepNext w:val="0"/>
                    <w:keepLines w:val="0"/>
                    <w:pageBreakBefore w:val="0"/>
                    <w:widowControl w:val="0"/>
                    <w:kinsoku/>
                    <w:overflowPunct/>
                    <w:topLinePunct w:val="0"/>
                    <w:autoSpaceDE/>
                    <w:autoSpaceDN/>
                    <w:bidi w:val="0"/>
                    <w:adjustRightInd w:val="0"/>
                    <w:snapToGrid w:val="0"/>
                    <w:jc w:val="center"/>
                    <w:textAlignment w:val="auto"/>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定制</w:t>
                  </w:r>
                </w:p>
              </w:tc>
              <w:tc>
                <w:tcPr>
                  <w:tcW w:w="813" w:type="pct"/>
                  <w:tcBorders>
                    <w:tl2br w:val="nil"/>
                    <w:tr2bl w:val="nil"/>
                  </w:tcBorders>
                  <w:vAlign w:val="center"/>
                </w:tcPr>
                <w:p w14:paraId="7E4B55F9">
                  <w:pPr>
                    <w:keepNext w:val="0"/>
                    <w:keepLines w:val="0"/>
                    <w:pageBreakBefore w:val="0"/>
                    <w:widowControl w:val="0"/>
                    <w:kinsoku/>
                    <w:overflowPunct/>
                    <w:topLinePunct w:val="0"/>
                    <w:autoSpaceDE/>
                    <w:autoSpaceDN/>
                    <w:bidi w:val="0"/>
                    <w:adjustRightInd w:val="0"/>
                    <w:snapToGrid w:val="0"/>
                    <w:jc w:val="center"/>
                    <w:textAlignment w:val="auto"/>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1</w:t>
                  </w:r>
                </w:p>
              </w:tc>
            </w:tr>
            <w:tr w14:paraId="301C7C0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489" w:type="pct"/>
                  <w:vMerge w:val="continue"/>
                  <w:tcBorders>
                    <w:tl2br w:val="nil"/>
                    <w:tr2bl w:val="nil"/>
                  </w:tcBorders>
                  <w:vAlign w:val="center"/>
                </w:tcPr>
                <w:p w14:paraId="6D2743F8">
                  <w:pPr>
                    <w:pStyle w:val="688"/>
                    <w:keepNext w:val="0"/>
                    <w:keepLines w:val="0"/>
                    <w:pageBreakBefore w:val="0"/>
                    <w:widowControl w:val="0"/>
                    <w:kinsoku/>
                    <w:overflowPunct/>
                    <w:topLinePunct w:val="0"/>
                    <w:autoSpaceDE/>
                    <w:autoSpaceDN/>
                    <w:bidi w:val="0"/>
                    <w:adjustRightInd w:val="0"/>
                    <w:snapToGrid w:val="0"/>
                    <w:jc w:val="center"/>
                    <w:textAlignment w:val="auto"/>
                    <w:rPr>
                      <w:rFonts w:hint="default" w:ascii="Times New Roman" w:hAnsi="Times New Roman" w:cs="Times New Roman"/>
                      <w:color w:val="auto"/>
                      <w:kern w:val="0"/>
                      <w:sz w:val="21"/>
                      <w:szCs w:val="21"/>
                      <w:lang w:val="en-US" w:eastAsia="zh-CN"/>
                    </w:rPr>
                  </w:pPr>
                </w:p>
              </w:tc>
              <w:tc>
                <w:tcPr>
                  <w:tcW w:w="1003" w:type="pct"/>
                  <w:tcBorders>
                    <w:tl2br w:val="nil"/>
                    <w:tr2bl w:val="nil"/>
                  </w:tcBorders>
                  <w:shd w:val="clear" w:color="auto" w:fill="auto"/>
                  <w:vAlign w:val="center"/>
                </w:tcPr>
                <w:p w14:paraId="30761EE8">
                  <w:pPr>
                    <w:keepNext w:val="0"/>
                    <w:keepLines w:val="0"/>
                    <w:pageBreakBefore w:val="0"/>
                    <w:widowControl w:val="0"/>
                    <w:kinsoku/>
                    <w:overflowPunct/>
                    <w:topLinePunct w:val="0"/>
                    <w:autoSpaceDE/>
                    <w:autoSpaceDN/>
                    <w:bidi w:val="0"/>
                    <w:adjustRightInd w:val="0"/>
                    <w:snapToGrid w:val="0"/>
                    <w:jc w:val="center"/>
                    <w:textAlignment w:val="auto"/>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喷砂</w:t>
                  </w:r>
                </w:p>
              </w:tc>
              <w:tc>
                <w:tcPr>
                  <w:tcW w:w="1729" w:type="pct"/>
                  <w:tcBorders>
                    <w:tl2br w:val="nil"/>
                    <w:tr2bl w:val="nil"/>
                  </w:tcBorders>
                  <w:vAlign w:val="center"/>
                </w:tcPr>
                <w:p w14:paraId="2FA54706">
                  <w:pPr>
                    <w:keepNext w:val="0"/>
                    <w:keepLines w:val="0"/>
                    <w:pageBreakBefore w:val="0"/>
                    <w:widowControl w:val="0"/>
                    <w:kinsoku/>
                    <w:overflowPunct/>
                    <w:topLinePunct w:val="0"/>
                    <w:autoSpaceDE/>
                    <w:autoSpaceDN/>
                    <w:bidi w:val="0"/>
                    <w:adjustRightInd w:val="0"/>
                    <w:snapToGrid w:val="0"/>
                    <w:jc w:val="center"/>
                    <w:textAlignment w:val="auto"/>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喷砂房</w:t>
                  </w:r>
                </w:p>
              </w:tc>
              <w:tc>
                <w:tcPr>
                  <w:tcW w:w="963" w:type="pct"/>
                  <w:tcBorders>
                    <w:tl2br w:val="nil"/>
                    <w:tr2bl w:val="nil"/>
                  </w:tcBorders>
                  <w:vAlign w:val="center"/>
                </w:tcPr>
                <w:p w14:paraId="32EB2277">
                  <w:pPr>
                    <w:keepNext w:val="0"/>
                    <w:keepLines w:val="0"/>
                    <w:pageBreakBefore w:val="0"/>
                    <w:widowControl w:val="0"/>
                    <w:kinsoku/>
                    <w:overflowPunct/>
                    <w:topLinePunct w:val="0"/>
                    <w:autoSpaceDE/>
                    <w:autoSpaceDN/>
                    <w:bidi w:val="0"/>
                    <w:adjustRightInd w:val="0"/>
                    <w:snapToGrid w:val="0"/>
                    <w:jc w:val="center"/>
                    <w:textAlignment w:val="auto"/>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6m×8m×6m</w:t>
                  </w:r>
                </w:p>
              </w:tc>
              <w:tc>
                <w:tcPr>
                  <w:tcW w:w="813" w:type="pct"/>
                  <w:tcBorders>
                    <w:tl2br w:val="nil"/>
                    <w:tr2bl w:val="nil"/>
                  </w:tcBorders>
                  <w:vAlign w:val="center"/>
                </w:tcPr>
                <w:p w14:paraId="77C427F9">
                  <w:pPr>
                    <w:keepNext w:val="0"/>
                    <w:keepLines w:val="0"/>
                    <w:pageBreakBefore w:val="0"/>
                    <w:widowControl w:val="0"/>
                    <w:kinsoku/>
                    <w:overflowPunct/>
                    <w:topLinePunct w:val="0"/>
                    <w:autoSpaceDE/>
                    <w:autoSpaceDN/>
                    <w:bidi w:val="0"/>
                    <w:adjustRightInd w:val="0"/>
                    <w:snapToGrid w:val="0"/>
                    <w:jc w:val="center"/>
                    <w:textAlignment w:val="auto"/>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1</w:t>
                  </w:r>
                </w:p>
              </w:tc>
            </w:tr>
            <w:tr w14:paraId="1F12DA97">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489" w:type="pct"/>
                  <w:vMerge w:val="continue"/>
                  <w:tcBorders>
                    <w:tl2br w:val="nil"/>
                    <w:tr2bl w:val="nil"/>
                  </w:tcBorders>
                  <w:vAlign w:val="center"/>
                </w:tcPr>
                <w:p w14:paraId="623AF6C1">
                  <w:pPr>
                    <w:pStyle w:val="688"/>
                    <w:keepNext w:val="0"/>
                    <w:keepLines w:val="0"/>
                    <w:pageBreakBefore w:val="0"/>
                    <w:widowControl w:val="0"/>
                    <w:kinsoku/>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lang w:eastAsia="zh-CN"/>
                    </w:rPr>
                  </w:pPr>
                </w:p>
              </w:tc>
              <w:tc>
                <w:tcPr>
                  <w:tcW w:w="1003" w:type="pct"/>
                  <w:vMerge w:val="restart"/>
                  <w:tcBorders>
                    <w:tl2br w:val="nil"/>
                    <w:tr2bl w:val="nil"/>
                  </w:tcBorders>
                  <w:shd w:val="clear" w:color="auto" w:fill="auto"/>
                  <w:vAlign w:val="center"/>
                </w:tcPr>
                <w:p w14:paraId="2E0F5393">
                  <w:pPr>
                    <w:keepNext w:val="0"/>
                    <w:keepLines w:val="0"/>
                    <w:pageBreakBefore w:val="0"/>
                    <w:widowControl w:val="0"/>
                    <w:kinsoku/>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cs="Times New Roman"/>
                      <w:snapToGrid w:val="0"/>
                      <w:color w:val="auto"/>
                      <w:kern w:val="0"/>
                      <w:sz w:val="21"/>
                      <w:szCs w:val="21"/>
                      <w:lang w:val="en-US" w:eastAsia="zh-CN" w:bidi="ar-SA"/>
                    </w:rPr>
                    <w:t>喷锌</w:t>
                  </w:r>
                </w:p>
              </w:tc>
              <w:tc>
                <w:tcPr>
                  <w:tcW w:w="1729" w:type="pct"/>
                  <w:tcBorders>
                    <w:tl2br w:val="nil"/>
                    <w:tr2bl w:val="nil"/>
                  </w:tcBorders>
                  <w:vAlign w:val="center"/>
                </w:tcPr>
                <w:p w14:paraId="4BF9E8EE">
                  <w:pPr>
                    <w:keepNext w:val="0"/>
                    <w:keepLines w:val="0"/>
                    <w:pageBreakBefore w:val="0"/>
                    <w:widowControl w:val="0"/>
                    <w:kinsoku/>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电弧喷涂机</w:t>
                  </w:r>
                </w:p>
              </w:tc>
              <w:tc>
                <w:tcPr>
                  <w:tcW w:w="963" w:type="pct"/>
                  <w:tcBorders>
                    <w:tl2br w:val="nil"/>
                    <w:tr2bl w:val="nil"/>
                  </w:tcBorders>
                  <w:vAlign w:val="center"/>
                </w:tcPr>
                <w:p w14:paraId="4A216C67">
                  <w:pPr>
                    <w:keepNext w:val="0"/>
                    <w:keepLines w:val="0"/>
                    <w:pageBreakBefore w:val="0"/>
                    <w:widowControl w:val="0"/>
                    <w:kinsoku/>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阿耐思特岩田APL系列</w:t>
                  </w:r>
                </w:p>
              </w:tc>
              <w:tc>
                <w:tcPr>
                  <w:tcW w:w="813" w:type="pct"/>
                  <w:tcBorders>
                    <w:tl2br w:val="nil"/>
                    <w:tr2bl w:val="nil"/>
                  </w:tcBorders>
                  <w:vAlign w:val="center"/>
                </w:tcPr>
                <w:p w14:paraId="4A3E741C">
                  <w:pPr>
                    <w:keepNext w:val="0"/>
                    <w:keepLines w:val="0"/>
                    <w:pageBreakBefore w:val="0"/>
                    <w:widowControl w:val="0"/>
                    <w:kinsoku/>
                    <w:overflowPunct/>
                    <w:topLinePunct w:val="0"/>
                    <w:autoSpaceDE/>
                    <w:autoSpaceDN/>
                    <w:bidi w:val="0"/>
                    <w:adjustRightInd w:val="0"/>
                    <w:snapToGrid w:val="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lang w:val="en-US" w:eastAsia="zh-CN"/>
                    </w:rPr>
                    <w:t>1</w:t>
                  </w:r>
                </w:p>
              </w:tc>
            </w:tr>
            <w:tr w14:paraId="2E1B333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489" w:type="pct"/>
                  <w:vMerge w:val="continue"/>
                  <w:tcBorders>
                    <w:tl2br w:val="nil"/>
                    <w:tr2bl w:val="nil"/>
                  </w:tcBorders>
                  <w:vAlign w:val="center"/>
                </w:tcPr>
                <w:p w14:paraId="2D6C47E0">
                  <w:pPr>
                    <w:pStyle w:val="688"/>
                    <w:keepNext w:val="0"/>
                    <w:keepLines w:val="0"/>
                    <w:pageBreakBefore w:val="0"/>
                    <w:widowControl w:val="0"/>
                    <w:kinsoku/>
                    <w:overflowPunct/>
                    <w:topLinePunct w:val="0"/>
                    <w:autoSpaceDE/>
                    <w:autoSpaceDN/>
                    <w:bidi w:val="0"/>
                    <w:adjustRightInd w:val="0"/>
                    <w:snapToGrid w:val="0"/>
                    <w:jc w:val="center"/>
                    <w:textAlignment w:val="auto"/>
                    <w:rPr>
                      <w:rFonts w:hint="default" w:ascii="Times New Roman" w:hAnsi="Times New Roman" w:cs="Times New Roman"/>
                      <w:color w:val="auto"/>
                      <w:kern w:val="0"/>
                      <w:sz w:val="21"/>
                      <w:szCs w:val="21"/>
                      <w:lang w:val="en-US" w:eastAsia="zh-CN"/>
                    </w:rPr>
                  </w:pPr>
                </w:p>
              </w:tc>
              <w:tc>
                <w:tcPr>
                  <w:tcW w:w="1003" w:type="pct"/>
                  <w:vMerge w:val="continue"/>
                  <w:tcBorders>
                    <w:tl2br w:val="nil"/>
                    <w:tr2bl w:val="nil"/>
                  </w:tcBorders>
                  <w:shd w:val="clear" w:color="auto" w:fill="auto"/>
                  <w:vAlign w:val="center"/>
                </w:tcPr>
                <w:p w14:paraId="359FC671">
                  <w:pPr>
                    <w:keepNext w:val="0"/>
                    <w:keepLines w:val="0"/>
                    <w:pageBreakBefore w:val="0"/>
                    <w:widowControl w:val="0"/>
                    <w:kinsoku/>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lang w:val="en-US" w:eastAsia="zh-CN" w:bidi="ar-SA"/>
                    </w:rPr>
                  </w:pPr>
                </w:p>
              </w:tc>
              <w:tc>
                <w:tcPr>
                  <w:tcW w:w="1729" w:type="pct"/>
                  <w:tcBorders>
                    <w:tl2br w:val="nil"/>
                    <w:tr2bl w:val="nil"/>
                  </w:tcBorders>
                  <w:vAlign w:val="center"/>
                </w:tcPr>
                <w:p w14:paraId="2E4801A2">
                  <w:pPr>
                    <w:keepNext w:val="0"/>
                    <w:keepLines w:val="0"/>
                    <w:pageBreakBefore w:val="0"/>
                    <w:widowControl w:val="0"/>
                    <w:kinsoku/>
                    <w:overflowPunct/>
                    <w:topLinePunct w:val="0"/>
                    <w:autoSpaceDE/>
                    <w:autoSpaceDN/>
                    <w:bidi w:val="0"/>
                    <w:adjustRightInd w:val="0"/>
                    <w:snapToGrid w:val="0"/>
                    <w:jc w:val="center"/>
                    <w:textAlignment w:val="auto"/>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喷锌房</w:t>
                  </w:r>
                </w:p>
              </w:tc>
              <w:tc>
                <w:tcPr>
                  <w:tcW w:w="963" w:type="pct"/>
                  <w:tcBorders>
                    <w:tl2br w:val="nil"/>
                    <w:tr2bl w:val="nil"/>
                  </w:tcBorders>
                  <w:vAlign w:val="center"/>
                </w:tcPr>
                <w:p w14:paraId="258C1C17">
                  <w:pPr>
                    <w:keepNext w:val="0"/>
                    <w:keepLines w:val="0"/>
                    <w:pageBreakBefore w:val="0"/>
                    <w:widowControl w:val="0"/>
                    <w:kinsoku/>
                    <w:overflowPunct/>
                    <w:topLinePunct w:val="0"/>
                    <w:autoSpaceDE/>
                    <w:autoSpaceDN/>
                    <w:bidi w:val="0"/>
                    <w:adjustRightInd w:val="0"/>
                    <w:snapToGrid w:val="0"/>
                    <w:jc w:val="center"/>
                    <w:textAlignment w:val="auto"/>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6m×8m×6m</w:t>
                  </w:r>
                </w:p>
              </w:tc>
              <w:tc>
                <w:tcPr>
                  <w:tcW w:w="813" w:type="pct"/>
                  <w:tcBorders>
                    <w:tl2br w:val="nil"/>
                    <w:tr2bl w:val="nil"/>
                  </w:tcBorders>
                  <w:vAlign w:val="center"/>
                </w:tcPr>
                <w:p w14:paraId="032EE004">
                  <w:pPr>
                    <w:keepNext w:val="0"/>
                    <w:keepLines w:val="0"/>
                    <w:pageBreakBefore w:val="0"/>
                    <w:widowControl w:val="0"/>
                    <w:kinsoku/>
                    <w:overflowPunct/>
                    <w:topLinePunct w:val="0"/>
                    <w:autoSpaceDE/>
                    <w:autoSpaceDN/>
                    <w:bidi w:val="0"/>
                    <w:adjustRightInd w:val="0"/>
                    <w:snapToGrid w:val="0"/>
                    <w:jc w:val="center"/>
                    <w:textAlignment w:val="auto"/>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1</w:t>
                  </w:r>
                </w:p>
              </w:tc>
            </w:tr>
            <w:tr w14:paraId="24F4BAF3">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489" w:type="pct"/>
                  <w:vMerge w:val="continue"/>
                  <w:tcBorders>
                    <w:tl2br w:val="nil"/>
                    <w:tr2bl w:val="nil"/>
                  </w:tcBorders>
                  <w:vAlign w:val="center"/>
                </w:tcPr>
                <w:p w14:paraId="695069FC">
                  <w:pPr>
                    <w:pStyle w:val="688"/>
                    <w:keepNext w:val="0"/>
                    <w:keepLines w:val="0"/>
                    <w:pageBreakBefore w:val="0"/>
                    <w:widowControl w:val="0"/>
                    <w:kinsoku/>
                    <w:overflowPunct/>
                    <w:topLinePunct w:val="0"/>
                    <w:autoSpaceDE/>
                    <w:autoSpaceDN/>
                    <w:bidi w:val="0"/>
                    <w:adjustRightInd w:val="0"/>
                    <w:snapToGrid w:val="0"/>
                    <w:jc w:val="center"/>
                    <w:textAlignment w:val="auto"/>
                    <w:rPr>
                      <w:rFonts w:hint="default" w:ascii="Times New Roman" w:hAnsi="Times New Roman" w:cs="Times New Roman"/>
                      <w:color w:val="auto"/>
                      <w:kern w:val="0"/>
                      <w:sz w:val="21"/>
                      <w:szCs w:val="21"/>
                    </w:rPr>
                  </w:pPr>
                </w:p>
              </w:tc>
              <w:tc>
                <w:tcPr>
                  <w:tcW w:w="1003" w:type="pct"/>
                  <w:tcBorders>
                    <w:tl2br w:val="nil"/>
                    <w:tr2bl w:val="nil"/>
                  </w:tcBorders>
                  <w:shd w:val="clear" w:color="auto" w:fill="auto"/>
                  <w:vAlign w:val="center"/>
                </w:tcPr>
                <w:p w14:paraId="5690EAF4">
                  <w:pPr>
                    <w:keepNext w:val="0"/>
                    <w:keepLines w:val="0"/>
                    <w:pageBreakBefore w:val="0"/>
                    <w:widowControl w:val="0"/>
                    <w:kinsoku/>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cs="Times New Roman"/>
                      <w:snapToGrid w:val="0"/>
                      <w:color w:val="auto"/>
                      <w:kern w:val="0"/>
                      <w:sz w:val="21"/>
                      <w:szCs w:val="21"/>
                      <w:lang w:val="en-US" w:eastAsia="zh-CN" w:bidi="ar-SA"/>
                    </w:rPr>
                    <w:t>喷漆</w:t>
                  </w:r>
                </w:p>
              </w:tc>
              <w:tc>
                <w:tcPr>
                  <w:tcW w:w="1729" w:type="pct"/>
                  <w:tcBorders>
                    <w:tl2br w:val="nil"/>
                    <w:tr2bl w:val="nil"/>
                  </w:tcBorders>
                  <w:vAlign w:val="center"/>
                </w:tcPr>
                <w:p w14:paraId="20255CA2">
                  <w:pPr>
                    <w:keepNext w:val="0"/>
                    <w:keepLines w:val="0"/>
                    <w:pageBreakBefore w:val="0"/>
                    <w:widowControl w:val="0"/>
                    <w:kinsoku/>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喷漆房</w:t>
                  </w:r>
                </w:p>
              </w:tc>
              <w:tc>
                <w:tcPr>
                  <w:tcW w:w="963" w:type="pct"/>
                  <w:tcBorders>
                    <w:tl2br w:val="nil"/>
                    <w:tr2bl w:val="nil"/>
                  </w:tcBorders>
                  <w:vAlign w:val="center"/>
                </w:tcPr>
                <w:p w14:paraId="59226F37">
                  <w:pPr>
                    <w:keepNext w:val="0"/>
                    <w:keepLines w:val="0"/>
                    <w:pageBreakBefore w:val="0"/>
                    <w:widowControl w:val="0"/>
                    <w:kinsoku/>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6m×8m×6m</w:t>
                  </w:r>
                </w:p>
              </w:tc>
              <w:tc>
                <w:tcPr>
                  <w:tcW w:w="813" w:type="pct"/>
                  <w:tcBorders>
                    <w:tl2br w:val="nil"/>
                    <w:tr2bl w:val="nil"/>
                  </w:tcBorders>
                  <w:vAlign w:val="center"/>
                </w:tcPr>
                <w:p w14:paraId="04E39CCF">
                  <w:pPr>
                    <w:keepNext w:val="0"/>
                    <w:keepLines w:val="0"/>
                    <w:pageBreakBefore w:val="0"/>
                    <w:widowControl w:val="0"/>
                    <w:kinsoku/>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4</w:t>
                  </w:r>
                </w:p>
              </w:tc>
            </w:tr>
            <w:tr w14:paraId="77FDEDB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489" w:type="pct"/>
                  <w:vMerge w:val="restart"/>
                  <w:tcBorders>
                    <w:tl2br w:val="nil"/>
                    <w:tr2bl w:val="nil"/>
                  </w:tcBorders>
                  <w:vAlign w:val="center"/>
                </w:tcPr>
                <w:p w14:paraId="57CA00A5">
                  <w:pPr>
                    <w:pStyle w:val="688"/>
                    <w:keepNext w:val="0"/>
                    <w:keepLines w:val="0"/>
                    <w:pageBreakBefore w:val="0"/>
                    <w:widowControl w:val="0"/>
                    <w:kinsoku/>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公辅</w:t>
                  </w:r>
                </w:p>
              </w:tc>
              <w:tc>
                <w:tcPr>
                  <w:tcW w:w="1003" w:type="pct"/>
                  <w:vMerge w:val="restart"/>
                  <w:tcBorders>
                    <w:tl2br w:val="nil"/>
                    <w:tr2bl w:val="nil"/>
                  </w:tcBorders>
                  <w:shd w:val="clear" w:color="auto" w:fill="auto"/>
                  <w:vAlign w:val="center"/>
                </w:tcPr>
                <w:p w14:paraId="215A25D4">
                  <w:pPr>
                    <w:keepNext w:val="0"/>
                    <w:keepLines w:val="0"/>
                    <w:pageBreakBefore w:val="0"/>
                    <w:widowControl w:val="0"/>
                    <w:kinsoku/>
                    <w:overflowPunct/>
                    <w:topLinePunct w:val="0"/>
                    <w:autoSpaceDE/>
                    <w:autoSpaceDN/>
                    <w:bidi w:val="0"/>
                    <w:adjustRightInd w:val="0"/>
                    <w:snapToGrid w:val="0"/>
                    <w:jc w:val="center"/>
                    <w:textAlignment w:val="auto"/>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废气治理</w:t>
                  </w:r>
                </w:p>
              </w:tc>
              <w:tc>
                <w:tcPr>
                  <w:tcW w:w="1729" w:type="pct"/>
                  <w:tcBorders>
                    <w:tl2br w:val="nil"/>
                    <w:tr2bl w:val="nil"/>
                  </w:tcBorders>
                  <w:shd w:val="clear" w:color="auto" w:fill="auto"/>
                  <w:vAlign w:val="center"/>
                </w:tcPr>
                <w:p w14:paraId="0B8454AC">
                  <w:pPr>
                    <w:keepNext w:val="0"/>
                    <w:keepLines w:val="0"/>
                    <w:pageBreakBefore w:val="0"/>
                    <w:widowControl w:val="0"/>
                    <w:kinsoku/>
                    <w:overflowPunct/>
                    <w:topLinePunct w:val="0"/>
                    <w:autoSpaceDE/>
                    <w:autoSpaceDN/>
                    <w:bidi w:val="0"/>
                    <w:adjustRightInd w:val="0"/>
                    <w:snapToGrid w:val="0"/>
                    <w:jc w:val="center"/>
                    <w:textAlignment w:val="auto"/>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二级活性炭装置</w:t>
                  </w:r>
                </w:p>
              </w:tc>
              <w:tc>
                <w:tcPr>
                  <w:tcW w:w="963" w:type="pct"/>
                  <w:tcBorders>
                    <w:tl2br w:val="nil"/>
                    <w:tr2bl w:val="nil"/>
                  </w:tcBorders>
                  <w:vAlign w:val="center"/>
                </w:tcPr>
                <w:p w14:paraId="51899022">
                  <w:pPr>
                    <w:keepNext w:val="0"/>
                    <w:keepLines w:val="0"/>
                    <w:pageBreakBefore w:val="0"/>
                    <w:widowControl w:val="0"/>
                    <w:kinsoku/>
                    <w:overflowPunct/>
                    <w:topLinePunct w:val="0"/>
                    <w:autoSpaceDE/>
                    <w:autoSpaceDN/>
                    <w:bidi w:val="0"/>
                    <w:adjustRightInd w:val="0"/>
                    <w:snapToGrid w:val="0"/>
                    <w:jc w:val="center"/>
                    <w:textAlignment w:val="auto"/>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w:t>
                  </w:r>
                </w:p>
              </w:tc>
              <w:tc>
                <w:tcPr>
                  <w:tcW w:w="813" w:type="pct"/>
                  <w:tcBorders>
                    <w:tl2br w:val="nil"/>
                    <w:tr2bl w:val="nil"/>
                  </w:tcBorders>
                  <w:shd w:val="clear" w:color="auto" w:fill="auto"/>
                  <w:vAlign w:val="center"/>
                </w:tcPr>
                <w:p w14:paraId="6FF2354E">
                  <w:pPr>
                    <w:keepNext w:val="0"/>
                    <w:keepLines w:val="0"/>
                    <w:pageBreakBefore w:val="0"/>
                    <w:widowControl w:val="0"/>
                    <w:kinsoku/>
                    <w:overflowPunct/>
                    <w:topLinePunct w:val="0"/>
                    <w:autoSpaceDE/>
                    <w:autoSpaceDN/>
                    <w:bidi w:val="0"/>
                    <w:adjustRightInd w:val="0"/>
                    <w:snapToGrid w:val="0"/>
                    <w:jc w:val="center"/>
                    <w:textAlignment w:val="auto"/>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1</w:t>
                  </w:r>
                </w:p>
              </w:tc>
            </w:tr>
            <w:tr w14:paraId="617F080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489" w:type="pct"/>
                  <w:vMerge w:val="continue"/>
                  <w:tcBorders>
                    <w:tl2br w:val="nil"/>
                    <w:tr2bl w:val="nil"/>
                  </w:tcBorders>
                  <w:vAlign w:val="center"/>
                </w:tcPr>
                <w:p w14:paraId="21F0A948">
                  <w:pPr>
                    <w:pStyle w:val="688"/>
                    <w:keepNext w:val="0"/>
                    <w:keepLines w:val="0"/>
                    <w:pageBreakBefore w:val="0"/>
                    <w:widowControl w:val="0"/>
                    <w:kinsoku/>
                    <w:overflowPunct/>
                    <w:topLinePunct w:val="0"/>
                    <w:autoSpaceDE/>
                    <w:autoSpaceDN/>
                    <w:bidi w:val="0"/>
                    <w:adjustRightInd w:val="0"/>
                    <w:snapToGrid w:val="0"/>
                    <w:jc w:val="center"/>
                    <w:textAlignment w:val="auto"/>
                    <w:rPr>
                      <w:rFonts w:hint="default" w:ascii="Times New Roman" w:hAnsi="Times New Roman" w:cs="Times New Roman"/>
                      <w:color w:val="auto"/>
                      <w:kern w:val="0"/>
                      <w:sz w:val="21"/>
                      <w:szCs w:val="21"/>
                      <w:lang w:val="en-US" w:eastAsia="zh-CN"/>
                    </w:rPr>
                  </w:pPr>
                </w:p>
              </w:tc>
              <w:tc>
                <w:tcPr>
                  <w:tcW w:w="1003" w:type="pct"/>
                  <w:vMerge w:val="continue"/>
                  <w:tcBorders>
                    <w:tl2br w:val="nil"/>
                    <w:tr2bl w:val="nil"/>
                  </w:tcBorders>
                  <w:shd w:val="clear" w:color="auto" w:fill="auto"/>
                  <w:vAlign w:val="center"/>
                </w:tcPr>
                <w:p w14:paraId="046FBB03">
                  <w:pPr>
                    <w:keepNext w:val="0"/>
                    <w:keepLines w:val="0"/>
                    <w:pageBreakBefore w:val="0"/>
                    <w:widowControl w:val="0"/>
                    <w:kinsoku/>
                    <w:overflowPunct/>
                    <w:topLinePunct w:val="0"/>
                    <w:autoSpaceDE/>
                    <w:autoSpaceDN/>
                    <w:bidi w:val="0"/>
                    <w:adjustRightInd w:val="0"/>
                    <w:snapToGrid w:val="0"/>
                    <w:jc w:val="center"/>
                    <w:textAlignment w:val="auto"/>
                    <w:rPr>
                      <w:rFonts w:hint="default" w:ascii="Times New Roman" w:hAnsi="Times New Roman" w:cs="Times New Roman"/>
                      <w:color w:val="auto"/>
                      <w:kern w:val="0"/>
                      <w:sz w:val="21"/>
                      <w:szCs w:val="21"/>
                      <w:lang w:val="en-US" w:eastAsia="zh-CN"/>
                    </w:rPr>
                  </w:pPr>
                </w:p>
              </w:tc>
              <w:tc>
                <w:tcPr>
                  <w:tcW w:w="1729" w:type="pct"/>
                  <w:tcBorders>
                    <w:tl2br w:val="nil"/>
                    <w:tr2bl w:val="nil"/>
                  </w:tcBorders>
                  <w:shd w:val="clear" w:color="auto" w:fill="auto"/>
                  <w:vAlign w:val="center"/>
                </w:tcPr>
                <w:p w14:paraId="0F5558B3">
                  <w:pPr>
                    <w:keepNext w:val="0"/>
                    <w:keepLines w:val="0"/>
                    <w:pageBreakBefore w:val="0"/>
                    <w:widowControl w:val="0"/>
                    <w:kinsoku/>
                    <w:overflowPunct/>
                    <w:topLinePunct w:val="0"/>
                    <w:autoSpaceDE/>
                    <w:autoSpaceDN/>
                    <w:bidi w:val="0"/>
                    <w:adjustRightInd w:val="0"/>
                    <w:snapToGrid w:val="0"/>
                    <w:jc w:val="center"/>
                    <w:textAlignment w:val="auto"/>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袋式除尘器</w:t>
                  </w:r>
                </w:p>
              </w:tc>
              <w:tc>
                <w:tcPr>
                  <w:tcW w:w="963" w:type="pct"/>
                  <w:tcBorders>
                    <w:tl2br w:val="nil"/>
                    <w:tr2bl w:val="nil"/>
                  </w:tcBorders>
                  <w:vAlign w:val="center"/>
                </w:tcPr>
                <w:p w14:paraId="6D6E531C">
                  <w:pPr>
                    <w:keepNext w:val="0"/>
                    <w:keepLines w:val="0"/>
                    <w:pageBreakBefore w:val="0"/>
                    <w:widowControl w:val="0"/>
                    <w:kinsoku/>
                    <w:overflowPunct/>
                    <w:topLinePunct w:val="0"/>
                    <w:autoSpaceDE/>
                    <w:autoSpaceDN/>
                    <w:bidi w:val="0"/>
                    <w:adjustRightInd w:val="0"/>
                    <w:snapToGrid w:val="0"/>
                    <w:jc w:val="center"/>
                    <w:textAlignment w:val="auto"/>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w:t>
                  </w:r>
                </w:p>
              </w:tc>
              <w:tc>
                <w:tcPr>
                  <w:tcW w:w="813" w:type="pct"/>
                  <w:tcBorders>
                    <w:tl2br w:val="nil"/>
                    <w:tr2bl w:val="nil"/>
                  </w:tcBorders>
                  <w:shd w:val="clear" w:color="auto" w:fill="auto"/>
                  <w:vAlign w:val="center"/>
                </w:tcPr>
                <w:p w14:paraId="7CCFEB72">
                  <w:pPr>
                    <w:keepNext w:val="0"/>
                    <w:keepLines w:val="0"/>
                    <w:pageBreakBefore w:val="0"/>
                    <w:widowControl w:val="0"/>
                    <w:kinsoku/>
                    <w:overflowPunct/>
                    <w:topLinePunct w:val="0"/>
                    <w:autoSpaceDE/>
                    <w:autoSpaceDN/>
                    <w:bidi w:val="0"/>
                    <w:adjustRightInd w:val="0"/>
                    <w:snapToGrid w:val="0"/>
                    <w:jc w:val="center"/>
                    <w:textAlignment w:val="auto"/>
                    <w:rPr>
                      <w:rFonts w:hint="default" w:ascii="Times New Roman" w:hAnsi="Times New Roman" w:cs="Times New Roman"/>
                      <w:color w:val="auto"/>
                      <w:kern w:val="0"/>
                      <w:sz w:val="21"/>
                      <w:szCs w:val="21"/>
                      <w:lang w:val="en-US" w:eastAsia="zh-CN"/>
                    </w:rPr>
                  </w:pPr>
                  <w:r>
                    <w:rPr>
                      <w:rFonts w:hint="eastAsia" w:cs="Times New Roman"/>
                      <w:color w:val="auto"/>
                      <w:kern w:val="0"/>
                      <w:sz w:val="21"/>
                      <w:szCs w:val="21"/>
                      <w:lang w:val="en-US" w:eastAsia="zh-CN"/>
                    </w:rPr>
                    <w:t>2</w:t>
                  </w:r>
                </w:p>
              </w:tc>
            </w:tr>
          </w:tbl>
          <w:p w14:paraId="516F317C">
            <w:pPr>
              <w:autoSpaceDE w:val="0"/>
              <w:autoSpaceDN w:val="0"/>
              <w:adjustRightInd w:val="0"/>
              <w:snapToGrid w:val="0"/>
              <w:spacing w:line="360" w:lineRule="auto"/>
              <w:jc w:val="left"/>
              <w:rPr>
                <w:rFonts w:cs="宋体"/>
                <w:b/>
                <w:bCs/>
                <w:color w:val="auto"/>
              </w:rPr>
            </w:pPr>
            <w:r>
              <w:rPr>
                <w:rFonts w:hint="eastAsia" w:cs="宋体"/>
                <w:b/>
                <w:bCs/>
                <w:color w:val="auto"/>
              </w:rPr>
              <w:t>2.1.5 原辅材料</w:t>
            </w:r>
          </w:p>
          <w:p w14:paraId="4A69E221">
            <w:pPr>
              <w:autoSpaceDE w:val="0"/>
              <w:autoSpaceDN w:val="0"/>
              <w:adjustRightInd w:val="0"/>
              <w:snapToGrid w:val="0"/>
              <w:spacing w:line="360" w:lineRule="auto"/>
              <w:ind w:firstLine="420" w:firstLineChars="200"/>
              <w:jc w:val="left"/>
              <w:rPr>
                <w:rFonts w:cs="宋体"/>
                <w:bCs/>
                <w:color w:val="auto"/>
              </w:rPr>
            </w:pPr>
            <w:r>
              <w:rPr>
                <w:rFonts w:hint="eastAsia" w:cs="宋体"/>
                <w:bCs/>
                <w:color w:val="auto"/>
              </w:rPr>
              <w:t>本项目主要原辅材料见表2-</w:t>
            </w:r>
            <w:r>
              <w:rPr>
                <w:rFonts w:hint="eastAsia" w:cs="宋体"/>
                <w:bCs/>
                <w:color w:val="auto"/>
                <w:lang w:val="en-US" w:eastAsia="zh-CN"/>
              </w:rPr>
              <w:t>4</w:t>
            </w:r>
            <w:r>
              <w:rPr>
                <w:rFonts w:hint="eastAsia" w:cs="宋体"/>
                <w:bCs/>
                <w:color w:val="auto"/>
              </w:rPr>
              <w:t>，原辅料理化性质见表2-</w:t>
            </w:r>
            <w:r>
              <w:rPr>
                <w:rFonts w:hint="eastAsia" w:cs="宋体"/>
                <w:bCs/>
                <w:color w:val="auto"/>
                <w:lang w:val="en-US" w:eastAsia="zh-CN"/>
              </w:rPr>
              <w:t>5</w:t>
            </w:r>
            <w:r>
              <w:rPr>
                <w:rFonts w:hint="eastAsia" w:cs="宋体"/>
                <w:bCs/>
                <w:color w:val="auto"/>
              </w:rPr>
              <w:t>。</w:t>
            </w:r>
          </w:p>
          <w:p w14:paraId="6388781F">
            <w:pPr>
              <w:pStyle w:val="16"/>
              <w:keepNext/>
              <w:adjustRightInd w:val="0"/>
              <w:snapToGrid w:val="0"/>
              <w:jc w:val="center"/>
              <w:rPr>
                <w:rFonts w:ascii="Times New Roman" w:hAnsi="Times New Roman" w:eastAsia="宋体" w:cs="宋体"/>
                <w:color w:val="auto"/>
                <w:sz w:val="21"/>
                <w:szCs w:val="21"/>
              </w:rPr>
            </w:pPr>
            <w:r>
              <w:rPr>
                <w:rFonts w:hint="eastAsia" w:ascii="Times New Roman" w:hAnsi="Times New Roman" w:eastAsia="宋体" w:cs="宋体"/>
                <w:b/>
                <w:color w:val="auto"/>
                <w:sz w:val="21"/>
                <w:szCs w:val="21"/>
              </w:rPr>
              <w:t>表2-</w:t>
            </w:r>
            <w:r>
              <w:rPr>
                <w:rFonts w:hint="eastAsia" w:ascii="Times New Roman" w:hAnsi="Times New Roman" w:eastAsia="宋体" w:cs="宋体"/>
                <w:b/>
                <w:color w:val="auto"/>
                <w:sz w:val="21"/>
                <w:szCs w:val="21"/>
                <w:lang w:val="en-US" w:eastAsia="zh-CN"/>
              </w:rPr>
              <w:t>4</w:t>
            </w:r>
            <w:r>
              <w:rPr>
                <w:rFonts w:hint="eastAsia" w:ascii="Times New Roman" w:hAnsi="Times New Roman" w:eastAsia="宋体" w:cs="宋体"/>
                <w:b/>
                <w:color w:val="auto"/>
                <w:sz w:val="21"/>
                <w:szCs w:val="21"/>
              </w:rPr>
              <w:t xml:space="preserve">   主要原辅材料消耗情况</w:t>
            </w:r>
          </w:p>
          <w:tbl>
            <w:tblPr>
              <w:tblStyle w:val="59"/>
              <w:tblW w:w="4997"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0" w:type="dxa"/>
                <w:bottom w:w="0" w:type="dxa"/>
                <w:right w:w="0" w:type="dxa"/>
              </w:tblCellMar>
            </w:tblPr>
            <w:tblGrid>
              <w:gridCol w:w="1436"/>
              <w:gridCol w:w="3829"/>
              <w:gridCol w:w="916"/>
              <w:gridCol w:w="614"/>
              <w:gridCol w:w="930"/>
              <w:gridCol w:w="819"/>
            </w:tblGrid>
            <w:tr w14:paraId="1F51644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0" w:hRule="atLeast"/>
                <w:jc w:val="center"/>
              </w:trPr>
              <w:tc>
                <w:tcPr>
                  <w:tcW w:w="840" w:type="pct"/>
                  <w:tcBorders>
                    <w:tl2br w:val="nil"/>
                    <w:tr2bl w:val="nil"/>
                  </w:tcBorders>
                  <w:vAlign w:val="center"/>
                </w:tcPr>
                <w:p w14:paraId="67111EED">
                  <w:pPr>
                    <w:pStyle w:val="693"/>
                    <w:adjustRightInd w:val="0"/>
                    <w:snapToGrid w:val="0"/>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名称</w:t>
                  </w:r>
                </w:p>
              </w:tc>
              <w:tc>
                <w:tcPr>
                  <w:tcW w:w="2240" w:type="pct"/>
                  <w:tcBorders>
                    <w:tl2br w:val="nil"/>
                    <w:tr2bl w:val="nil"/>
                  </w:tcBorders>
                  <w:vAlign w:val="center"/>
                </w:tcPr>
                <w:p w14:paraId="189B7811">
                  <w:pPr>
                    <w:pStyle w:val="693"/>
                    <w:adjustRightInd w:val="0"/>
                    <w:snapToGrid w:val="0"/>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组份</w:t>
                  </w:r>
                </w:p>
              </w:tc>
              <w:tc>
                <w:tcPr>
                  <w:tcW w:w="536" w:type="pct"/>
                  <w:tcBorders>
                    <w:tl2br w:val="nil"/>
                    <w:tr2bl w:val="nil"/>
                  </w:tcBorders>
                  <w:vAlign w:val="center"/>
                </w:tcPr>
                <w:p w14:paraId="60FE563F">
                  <w:pPr>
                    <w:pStyle w:val="693"/>
                    <w:adjustRightInd w:val="0"/>
                    <w:snapToGrid w:val="0"/>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用量t/a</w:t>
                  </w:r>
                </w:p>
              </w:tc>
              <w:tc>
                <w:tcPr>
                  <w:tcW w:w="359" w:type="pct"/>
                  <w:tcBorders>
                    <w:tl2br w:val="nil"/>
                    <w:tr2bl w:val="nil"/>
                  </w:tcBorders>
                  <w:vAlign w:val="center"/>
                </w:tcPr>
                <w:p w14:paraId="5B8678A5">
                  <w:pPr>
                    <w:pStyle w:val="693"/>
                    <w:adjustRightInd w:val="0"/>
                    <w:snapToGrid w:val="0"/>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物料形态</w:t>
                  </w:r>
                </w:p>
              </w:tc>
              <w:tc>
                <w:tcPr>
                  <w:tcW w:w="544" w:type="pct"/>
                  <w:tcBorders>
                    <w:tl2br w:val="nil"/>
                    <w:tr2bl w:val="nil"/>
                  </w:tcBorders>
                  <w:vAlign w:val="center"/>
                </w:tcPr>
                <w:p w14:paraId="5752884E">
                  <w:pPr>
                    <w:pStyle w:val="693"/>
                    <w:adjustRightInd w:val="0"/>
                    <w:snapToGrid w:val="0"/>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包装规格</w:t>
                  </w:r>
                </w:p>
              </w:tc>
              <w:tc>
                <w:tcPr>
                  <w:tcW w:w="479" w:type="pct"/>
                  <w:tcBorders>
                    <w:tl2br w:val="nil"/>
                    <w:tr2bl w:val="nil"/>
                  </w:tcBorders>
                  <w:vAlign w:val="center"/>
                </w:tcPr>
                <w:p w14:paraId="2766CBE7">
                  <w:pPr>
                    <w:pStyle w:val="693"/>
                    <w:adjustRightInd w:val="0"/>
                    <w:snapToGrid w:val="0"/>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最大储存量t</w:t>
                  </w:r>
                </w:p>
              </w:tc>
            </w:tr>
            <w:tr w14:paraId="59671AC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0" w:hRule="atLeast"/>
                <w:jc w:val="center"/>
              </w:trPr>
              <w:tc>
                <w:tcPr>
                  <w:tcW w:w="840" w:type="pct"/>
                  <w:tcBorders>
                    <w:tl2br w:val="nil"/>
                    <w:tr2bl w:val="nil"/>
                  </w:tcBorders>
                  <w:vAlign w:val="center"/>
                </w:tcPr>
                <w:p w14:paraId="03C2B883">
                  <w:pPr>
                    <w:adjustRightInd w:val="0"/>
                    <w:snapToGrid w:val="0"/>
                    <w:jc w:val="center"/>
                    <w:rPr>
                      <w:rFonts w:hint="default" w:cs="Times New Roman"/>
                      <w:color w:val="auto"/>
                      <w:kern w:val="0"/>
                      <w:sz w:val="21"/>
                      <w:szCs w:val="21"/>
                      <w:lang w:val="en-US" w:eastAsia="zh-CN"/>
                    </w:rPr>
                  </w:pPr>
                  <w:r>
                    <w:rPr>
                      <w:rFonts w:hint="eastAsia" w:cs="Times New Roman"/>
                      <w:color w:val="auto"/>
                      <w:kern w:val="0"/>
                      <w:sz w:val="21"/>
                      <w:szCs w:val="21"/>
                      <w:lang w:val="en-US" w:eastAsia="zh-CN"/>
                    </w:rPr>
                    <w:t>风电主轴零件</w:t>
                  </w:r>
                </w:p>
              </w:tc>
              <w:tc>
                <w:tcPr>
                  <w:tcW w:w="2240" w:type="pct"/>
                  <w:tcBorders>
                    <w:tl2br w:val="nil"/>
                    <w:tr2bl w:val="nil"/>
                  </w:tcBorders>
                  <w:vAlign w:val="center"/>
                </w:tcPr>
                <w:p w14:paraId="6C4B20D0">
                  <w:pPr>
                    <w:adjustRightInd w:val="0"/>
                    <w:snapToGrid w:val="0"/>
                    <w:jc w:val="center"/>
                    <w:rPr>
                      <w:rFonts w:hint="default" w:cs="Times New Roman"/>
                      <w:color w:val="auto"/>
                      <w:kern w:val="0"/>
                      <w:sz w:val="21"/>
                      <w:szCs w:val="21"/>
                      <w:lang w:val="en-US" w:eastAsia="zh-CN"/>
                    </w:rPr>
                  </w:pPr>
                  <w:r>
                    <w:rPr>
                      <w:rFonts w:hint="eastAsia" w:cs="Times New Roman"/>
                      <w:color w:val="auto"/>
                      <w:kern w:val="0"/>
                      <w:sz w:val="21"/>
                      <w:szCs w:val="21"/>
                      <w:lang w:val="en-US" w:eastAsia="zh-CN"/>
                    </w:rPr>
                    <w:t>--</w:t>
                  </w:r>
                </w:p>
              </w:tc>
              <w:tc>
                <w:tcPr>
                  <w:tcW w:w="536" w:type="pct"/>
                  <w:tcBorders>
                    <w:tl2br w:val="nil"/>
                    <w:tr2bl w:val="nil"/>
                  </w:tcBorders>
                  <w:vAlign w:val="center"/>
                </w:tcPr>
                <w:p w14:paraId="2D7DDA0D">
                  <w:pPr>
                    <w:adjustRightInd w:val="0"/>
                    <w:snapToGrid w:val="0"/>
                    <w:jc w:val="center"/>
                    <w:rPr>
                      <w:rFonts w:hint="default" w:cs="Times New Roman"/>
                      <w:color w:val="auto"/>
                      <w:kern w:val="0"/>
                      <w:sz w:val="21"/>
                      <w:szCs w:val="21"/>
                      <w:lang w:val="en-US" w:eastAsia="zh-CN"/>
                    </w:rPr>
                  </w:pPr>
                  <w:r>
                    <w:rPr>
                      <w:rFonts w:hint="eastAsia" w:cs="Times New Roman"/>
                      <w:color w:val="auto"/>
                      <w:kern w:val="0"/>
                      <w:sz w:val="21"/>
                      <w:szCs w:val="21"/>
                      <w:lang w:val="en-US" w:eastAsia="zh-CN"/>
                    </w:rPr>
                    <w:t>1000件</w:t>
                  </w:r>
                  <w:r>
                    <w:rPr>
                      <w:rFonts w:hint="eastAsia"/>
                      <w:color w:val="auto"/>
                      <w:lang w:val="en-US" w:eastAsia="zh-CN"/>
                    </w:rPr>
                    <w:t>/a</w:t>
                  </w:r>
                </w:p>
              </w:tc>
              <w:tc>
                <w:tcPr>
                  <w:tcW w:w="359" w:type="pct"/>
                  <w:tcBorders>
                    <w:tl2br w:val="nil"/>
                    <w:tr2bl w:val="nil"/>
                  </w:tcBorders>
                  <w:vAlign w:val="center"/>
                </w:tcPr>
                <w:p w14:paraId="3CA127F9">
                  <w:pPr>
                    <w:adjustRightInd w:val="0"/>
                    <w:snapToGrid w:val="0"/>
                    <w:jc w:val="center"/>
                    <w:rPr>
                      <w:rFonts w:hint="default" w:ascii="Times New Roman" w:hAnsi="Times New Roman" w:cs="Times New Roman"/>
                      <w:color w:val="auto"/>
                      <w:kern w:val="0"/>
                      <w:sz w:val="21"/>
                      <w:szCs w:val="21"/>
                      <w:lang w:val="en-US" w:eastAsia="zh-CN"/>
                    </w:rPr>
                  </w:pPr>
                  <w:r>
                    <w:rPr>
                      <w:rFonts w:hint="eastAsia" w:cs="Times New Roman"/>
                      <w:color w:val="auto"/>
                      <w:kern w:val="0"/>
                      <w:sz w:val="21"/>
                      <w:szCs w:val="21"/>
                      <w:lang w:val="en-US" w:eastAsia="zh-CN"/>
                    </w:rPr>
                    <w:t>固</w:t>
                  </w:r>
                </w:p>
              </w:tc>
              <w:tc>
                <w:tcPr>
                  <w:tcW w:w="544" w:type="pct"/>
                  <w:tcBorders>
                    <w:tl2br w:val="nil"/>
                    <w:tr2bl w:val="nil"/>
                  </w:tcBorders>
                  <w:vAlign w:val="center"/>
                </w:tcPr>
                <w:p w14:paraId="098EC523">
                  <w:pPr>
                    <w:adjustRightInd w:val="0"/>
                    <w:snapToGrid w:val="0"/>
                    <w:jc w:val="center"/>
                    <w:rPr>
                      <w:rFonts w:hint="default" w:cs="Times New Roman"/>
                      <w:color w:val="auto"/>
                      <w:kern w:val="0"/>
                      <w:sz w:val="21"/>
                      <w:szCs w:val="21"/>
                      <w:lang w:val="en-US" w:eastAsia="zh-CN"/>
                    </w:rPr>
                  </w:pPr>
                  <w:r>
                    <w:rPr>
                      <w:rFonts w:hint="eastAsia" w:cs="Times New Roman"/>
                      <w:color w:val="auto"/>
                      <w:kern w:val="0"/>
                      <w:sz w:val="21"/>
                      <w:szCs w:val="21"/>
                      <w:lang w:val="en-US" w:eastAsia="zh-CN"/>
                    </w:rPr>
                    <w:t>散装</w:t>
                  </w:r>
                </w:p>
              </w:tc>
              <w:tc>
                <w:tcPr>
                  <w:tcW w:w="479" w:type="pct"/>
                  <w:tcBorders>
                    <w:tl2br w:val="nil"/>
                    <w:tr2bl w:val="nil"/>
                  </w:tcBorders>
                  <w:vAlign w:val="center"/>
                </w:tcPr>
                <w:p w14:paraId="67DB94F3">
                  <w:pPr>
                    <w:adjustRightInd w:val="0"/>
                    <w:snapToGrid w:val="0"/>
                    <w:jc w:val="center"/>
                    <w:rPr>
                      <w:rFonts w:hint="default" w:cs="Times New Roman"/>
                      <w:color w:val="auto"/>
                      <w:kern w:val="0"/>
                      <w:sz w:val="21"/>
                      <w:szCs w:val="21"/>
                      <w:lang w:val="en-US" w:eastAsia="zh-CN"/>
                    </w:rPr>
                  </w:pPr>
                  <w:r>
                    <w:rPr>
                      <w:rFonts w:hint="eastAsia" w:cs="Times New Roman"/>
                      <w:color w:val="auto"/>
                      <w:kern w:val="0"/>
                      <w:sz w:val="21"/>
                      <w:szCs w:val="21"/>
                      <w:lang w:val="en-US" w:eastAsia="zh-CN"/>
                    </w:rPr>
                    <w:t>300件</w:t>
                  </w:r>
                </w:p>
              </w:tc>
            </w:tr>
            <w:tr w14:paraId="0FE032D7">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0" w:hRule="atLeast"/>
                <w:jc w:val="center"/>
              </w:trPr>
              <w:tc>
                <w:tcPr>
                  <w:tcW w:w="840" w:type="pct"/>
                  <w:tcBorders>
                    <w:tl2br w:val="nil"/>
                    <w:tr2bl w:val="nil"/>
                  </w:tcBorders>
                  <w:vAlign w:val="center"/>
                </w:tcPr>
                <w:p w14:paraId="145747F8">
                  <w:pPr>
                    <w:adjustRightInd w:val="0"/>
                    <w:snapToGrid w:val="0"/>
                    <w:jc w:val="center"/>
                    <w:rPr>
                      <w:rFonts w:hint="default" w:cs="Times New Roman"/>
                      <w:color w:val="auto"/>
                      <w:kern w:val="0"/>
                      <w:sz w:val="21"/>
                      <w:szCs w:val="21"/>
                      <w:lang w:val="en-US" w:eastAsia="zh-CN"/>
                    </w:rPr>
                  </w:pPr>
                  <w:r>
                    <w:rPr>
                      <w:rFonts w:hint="eastAsia" w:cs="Times New Roman"/>
                      <w:color w:val="auto"/>
                      <w:kern w:val="0"/>
                      <w:sz w:val="21"/>
                      <w:szCs w:val="21"/>
                      <w:lang w:val="en-US" w:eastAsia="zh-CN"/>
                    </w:rPr>
                    <w:t>风电轴承座零件</w:t>
                  </w:r>
                </w:p>
              </w:tc>
              <w:tc>
                <w:tcPr>
                  <w:tcW w:w="2240" w:type="pct"/>
                  <w:tcBorders>
                    <w:tl2br w:val="nil"/>
                    <w:tr2bl w:val="nil"/>
                  </w:tcBorders>
                  <w:vAlign w:val="center"/>
                </w:tcPr>
                <w:p w14:paraId="1B662979">
                  <w:pPr>
                    <w:adjustRightInd w:val="0"/>
                    <w:snapToGrid w:val="0"/>
                    <w:jc w:val="center"/>
                    <w:rPr>
                      <w:rFonts w:hint="eastAsia" w:cs="Times New Roman"/>
                      <w:color w:val="auto"/>
                      <w:kern w:val="0"/>
                      <w:sz w:val="21"/>
                      <w:szCs w:val="21"/>
                      <w:lang w:val="en-US" w:eastAsia="zh-CN"/>
                    </w:rPr>
                  </w:pPr>
                  <w:r>
                    <w:rPr>
                      <w:rFonts w:hint="eastAsia" w:cs="Times New Roman"/>
                      <w:color w:val="auto"/>
                      <w:kern w:val="0"/>
                      <w:sz w:val="21"/>
                      <w:szCs w:val="21"/>
                      <w:lang w:val="en-US" w:eastAsia="zh-CN"/>
                    </w:rPr>
                    <w:t>--</w:t>
                  </w:r>
                </w:p>
              </w:tc>
              <w:tc>
                <w:tcPr>
                  <w:tcW w:w="536" w:type="pct"/>
                  <w:tcBorders>
                    <w:tl2br w:val="nil"/>
                    <w:tr2bl w:val="nil"/>
                  </w:tcBorders>
                  <w:vAlign w:val="center"/>
                </w:tcPr>
                <w:p w14:paraId="5E36AFE1">
                  <w:pPr>
                    <w:adjustRightInd w:val="0"/>
                    <w:snapToGrid w:val="0"/>
                    <w:jc w:val="center"/>
                    <w:rPr>
                      <w:rFonts w:hint="default" w:cs="Times New Roman"/>
                      <w:color w:val="auto"/>
                      <w:kern w:val="0"/>
                      <w:sz w:val="21"/>
                      <w:szCs w:val="21"/>
                      <w:lang w:val="en-US" w:eastAsia="zh-CN"/>
                    </w:rPr>
                  </w:pPr>
                  <w:r>
                    <w:rPr>
                      <w:rFonts w:hint="eastAsia" w:cs="Times New Roman"/>
                      <w:color w:val="auto"/>
                      <w:kern w:val="0"/>
                      <w:sz w:val="21"/>
                      <w:szCs w:val="21"/>
                      <w:lang w:val="en-US" w:eastAsia="zh-CN"/>
                    </w:rPr>
                    <w:t>5000件/a</w:t>
                  </w:r>
                </w:p>
              </w:tc>
              <w:tc>
                <w:tcPr>
                  <w:tcW w:w="359" w:type="pct"/>
                  <w:tcBorders>
                    <w:tl2br w:val="nil"/>
                    <w:tr2bl w:val="nil"/>
                  </w:tcBorders>
                  <w:vAlign w:val="center"/>
                </w:tcPr>
                <w:p w14:paraId="3F504D75">
                  <w:pPr>
                    <w:adjustRightInd w:val="0"/>
                    <w:snapToGrid w:val="0"/>
                    <w:jc w:val="center"/>
                    <w:rPr>
                      <w:rFonts w:hint="default" w:ascii="Times New Roman" w:hAnsi="Times New Roman" w:cs="Times New Roman"/>
                      <w:color w:val="auto"/>
                      <w:kern w:val="0"/>
                      <w:sz w:val="21"/>
                      <w:szCs w:val="21"/>
                      <w:lang w:val="en-US" w:eastAsia="zh-CN"/>
                    </w:rPr>
                  </w:pPr>
                  <w:r>
                    <w:rPr>
                      <w:rFonts w:hint="eastAsia" w:cs="Times New Roman"/>
                      <w:color w:val="auto"/>
                      <w:kern w:val="0"/>
                      <w:sz w:val="21"/>
                      <w:szCs w:val="21"/>
                      <w:lang w:val="en-US" w:eastAsia="zh-CN"/>
                    </w:rPr>
                    <w:t>固</w:t>
                  </w:r>
                </w:p>
              </w:tc>
              <w:tc>
                <w:tcPr>
                  <w:tcW w:w="544" w:type="pct"/>
                  <w:tcBorders>
                    <w:tl2br w:val="nil"/>
                    <w:tr2bl w:val="nil"/>
                  </w:tcBorders>
                  <w:vAlign w:val="center"/>
                </w:tcPr>
                <w:p w14:paraId="63942E62">
                  <w:pPr>
                    <w:adjustRightInd w:val="0"/>
                    <w:snapToGrid w:val="0"/>
                    <w:jc w:val="center"/>
                    <w:rPr>
                      <w:rFonts w:hint="eastAsia" w:cs="Times New Roman"/>
                      <w:color w:val="auto"/>
                      <w:kern w:val="0"/>
                      <w:sz w:val="21"/>
                      <w:szCs w:val="21"/>
                      <w:lang w:val="en-US" w:eastAsia="zh-CN"/>
                    </w:rPr>
                  </w:pPr>
                  <w:r>
                    <w:rPr>
                      <w:rFonts w:hint="eastAsia" w:cs="Times New Roman"/>
                      <w:color w:val="auto"/>
                      <w:kern w:val="0"/>
                      <w:sz w:val="21"/>
                      <w:szCs w:val="21"/>
                      <w:lang w:val="en-US" w:eastAsia="zh-CN"/>
                    </w:rPr>
                    <w:t>散装</w:t>
                  </w:r>
                </w:p>
              </w:tc>
              <w:tc>
                <w:tcPr>
                  <w:tcW w:w="479" w:type="pct"/>
                  <w:tcBorders>
                    <w:tl2br w:val="nil"/>
                    <w:tr2bl w:val="nil"/>
                  </w:tcBorders>
                  <w:vAlign w:val="center"/>
                </w:tcPr>
                <w:p w14:paraId="433C6652">
                  <w:pPr>
                    <w:adjustRightInd w:val="0"/>
                    <w:snapToGrid w:val="0"/>
                    <w:jc w:val="center"/>
                    <w:rPr>
                      <w:rFonts w:hint="default" w:cs="Times New Roman"/>
                      <w:color w:val="auto"/>
                      <w:kern w:val="0"/>
                      <w:sz w:val="21"/>
                      <w:szCs w:val="21"/>
                      <w:lang w:val="en-US" w:eastAsia="zh-CN"/>
                    </w:rPr>
                  </w:pPr>
                  <w:r>
                    <w:rPr>
                      <w:rFonts w:hint="eastAsia" w:cs="Times New Roman"/>
                      <w:color w:val="auto"/>
                      <w:kern w:val="0"/>
                      <w:sz w:val="21"/>
                      <w:szCs w:val="21"/>
                      <w:lang w:val="en-US" w:eastAsia="zh-CN"/>
                    </w:rPr>
                    <w:t>1000件</w:t>
                  </w:r>
                </w:p>
              </w:tc>
            </w:tr>
            <w:tr w14:paraId="2FC9E653">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0" w:hRule="atLeast"/>
                <w:jc w:val="center"/>
              </w:trPr>
              <w:tc>
                <w:tcPr>
                  <w:tcW w:w="840" w:type="pct"/>
                  <w:tcBorders>
                    <w:tl2br w:val="nil"/>
                    <w:tr2bl w:val="nil"/>
                  </w:tcBorders>
                  <w:vAlign w:val="center"/>
                </w:tcPr>
                <w:p w14:paraId="0127D4B7">
                  <w:pPr>
                    <w:adjustRightInd w:val="0"/>
                    <w:snapToGrid w:val="0"/>
                    <w:jc w:val="center"/>
                    <w:rPr>
                      <w:rFonts w:hint="default" w:cs="Times New Roman"/>
                      <w:color w:val="auto"/>
                      <w:kern w:val="0"/>
                      <w:sz w:val="21"/>
                      <w:szCs w:val="21"/>
                      <w:lang w:val="en-US" w:eastAsia="zh-CN"/>
                    </w:rPr>
                  </w:pPr>
                  <w:r>
                    <w:rPr>
                      <w:rFonts w:hint="eastAsia" w:cs="Times New Roman"/>
                      <w:color w:val="auto"/>
                      <w:kern w:val="0"/>
                      <w:sz w:val="21"/>
                      <w:szCs w:val="21"/>
                      <w:lang w:val="en-US" w:eastAsia="zh-CN"/>
                    </w:rPr>
                    <w:t>风电机架和轮毂零部件</w:t>
                  </w:r>
                </w:p>
              </w:tc>
              <w:tc>
                <w:tcPr>
                  <w:tcW w:w="2240" w:type="pct"/>
                  <w:tcBorders>
                    <w:tl2br w:val="nil"/>
                    <w:tr2bl w:val="nil"/>
                  </w:tcBorders>
                  <w:vAlign w:val="center"/>
                </w:tcPr>
                <w:p w14:paraId="3D0141E1">
                  <w:pPr>
                    <w:adjustRightInd w:val="0"/>
                    <w:snapToGrid w:val="0"/>
                    <w:jc w:val="center"/>
                    <w:rPr>
                      <w:rFonts w:hint="default" w:cs="Times New Roman"/>
                      <w:color w:val="auto"/>
                      <w:kern w:val="0"/>
                      <w:sz w:val="21"/>
                      <w:szCs w:val="21"/>
                      <w:lang w:val="en-US" w:eastAsia="zh-CN"/>
                    </w:rPr>
                  </w:pPr>
                  <w:r>
                    <w:rPr>
                      <w:rFonts w:hint="eastAsia" w:cs="Times New Roman"/>
                      <w:color w:val="auto"/>
                      <w:kern w:val="0"/>
                      <w:sz w:val="21"/>
                      <w:szCs w:val="21"/>
                      <w:lang w:val="en-US" w:eastAsia="zh-CN"/>
                    </w:rPr>
                    <w:t>--</w:t>
                  </w:r>
                </w:p>
              </w:tc>
              <w:tc>
                <w:tcPr>
                  <w:tcW w:w="536" w:type="pct"/>
                  <w:tcBorders>
                    <w:tl2br w:val="nil"/>
                    <w:tr2bl w:val="nil"/>
                  </w:tcBorders>
                  <w:vAlign w:val="center"/>
                </w:tcPr>
                <w:p w14:paraId="756F4100">
                  <w:pPr>
                    <w:adjustRightInd w:val="0"/>
                    <w:snapToGrid w:val="0"/>
                    <w:jc w:val="center"/>
                    <w:rPr>
                      <w:rFonts w:hint="default" w:cs="Times New Roman"/>
                      <w:color w:val="auto"/>
                      <w:kern w:val="0"/>
                      <w:sz w:val="21"/>
                      <w:szCs w:val="21"/>
                      <w:lang w:val="en-US" w:eastAsia="zh-CN"/>
                    </w:rPr>
                  </w:pPr>
                  <w:r>
                    <w:rPr>
                      <w:rFonts w:hint="eastAsia" w:cs="Times New Roman"/>
                      <w:color w:val="auto"/>
                      <w:kern w:val="0"/>
                      <w:sz w:val="21"/>
                      <w:szCs w:val="21"/>
                      <w:lang w:val="en-US" w:eastAsia="zh-CN"/>
                    </w:rPr>
                    <w:t>1000套/a</w:t>
                  </w:r>
                </w:p>
              </w:tc>
              <w:tc>
                <w:tcPr>
                  <w:tcW w:w="359" w:type="pct"/>
                  <w:tcBorders>
                    <w:tl2br w:val="nil"/>
                    <w:tr2bl w:val="nil"/>
                  </w:tcBorders>
                  <w:vAlign w:val="center"/>
                </w:tcPr>
                <w:p w14:paraId="1A8850BA">
                  <w:pPr>
                    <w:adjustRightInd w:val="0"/>
                    <w:snapToGrid w:val="0"/>
                    <w:jc w:val="center"/>
                    <w:rPr>
                      <w:rFonts w:hint="default" w:ascii="Times New Roman" w:hAnsi="Times New Roman" w:cs="Times New Roman"/>
                      <w:color w:val="auto"/>
                      <w:kern w:val="0"/>
                      <w:sz w:val="21"/>
                      <w:szCs w:val="21"/>
                      <w:lang w:val="en-US" w:eastAsia="zh-CN"/>
                    </w:rPr>
                  </w:pPr>
                  <w:r>
                    <w:rPr>
                      <w:rFonts w:hint="eastAsia" w:cs="Times New Roman"/>
                      <w:color w:val="auto"/>
                      <w:kern w:val="0"/>
                      <w:sz w:val="21"/>
                      <w:szCs w:val="21"/>
                      <w:lang w:val="en-US" w:eastAsia="zh-CN"/>
                    </w:rPr>
                    <w:t>固</w:t>
                  </w:r>
                </w:p>
              </w:tc>
              <w:tc>
                <w:tcPr>
                  <w:tcW w:w="544" w:type="pct"/>
                  <w:tcBorders>
                    <w:tl2br w:val="nil"/>
                    <w:tr2bl w:val="nil"/>
                  </w:tcBorders>
                  <w:vAlign w:val="center"/>
                </w:tcPr>
                <w:p w14:paraId="66E20E32">
                  <w:pPr>
                    <w:adjustRightInd w:val="0"/>
                    <w:snapToGrid w:val="0"/>
                    <w:jc w:val="center"/>
                    <w:rPr>
                      <w:rFonts w:hint="eastAsia" w:cs="Times New Roman"/>
                      <w:color w:val="auto"/>
                      <w:kern w:val="0"/>
                      <w:sz w:val="21"/>
                      <w:szCs w:val="21"/>
                      <w:lang w:val="en-US" w:eastAsia="zh-CN"/>
                    </w:rPr>
                  </w:pPr>
                  <w:r>
                    <w:rPr>
                      <w:rFonts w:hint="eastAsia" w:cs="Times New Roman"/>
                      <w:color w:val="auto"/>
                      <w:kern w:val="0"/>
                      <w:sz w:val="21"/>
                      <w:szCs w:val="21"/>
                      <w:lang w:val="en-US" w:eastAsia="zh-CN"/>
                    </w:rPr>
                    <w:t>散装</w:t>
                  </w:r>
                </w:p>
              </w:tc>
              <w:tc>
                <w:tcPr>
                  <w:tcW w:w="479" w:type="pct"/>
                  <w:tcBorders>
                    <w:tl2br w:val="nil"/>
                    <w:tr2bl w:val="nil"/>
                  </w:tcBorders>
                  <w:vAlign w:val="center"/>
                </w:tcPr>
                <w:p w14:paraId="25D5F113">
                  <w:pPr>
                    <w:adjustRightInd w:val="0"/>
                    <w:snapToGrid w:val="0"/>
                    <w:jc w:val="center"/>
                    <w:rPr>
                      <w:rFonts w:hint="default" w:cs="Times New Roman"/>
                      <w:color w:val="auto"/>
                      <w:kern w:val="0"/>
                      <w:sz w:val="21"/>
                      <w:szCs w:val="21"/>
                      <w:lang w:val="en-US" w:eastAsia="zh-CN"/>
                    </w:rPr>
                  </w:pPr>
                  <w:r>
                    <w:rPr>
                      <w:rFonts w:hint="eastAsia" w:cs="Times New Roman"/>
                      <w:color w:val="auto"/>
                      <w:kern w:val="0"/>
                      <w:sz w:val="21"/>
                      <w:szCs w:val="21"/>
                      <w:lang w:val="en-US" w:eastAsia="zh-CN"/>
                    </w:rPr>
                    <w:t>300套</w:t>
                  </w:r>
                </w:p>
              </w:tc>
            </w:tr>
            <w:tr w14:paraId="6EE5C28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0" w:hRule="atLeast"/>
                <w:jc w:val="center"/>
              </w:trPr>
              <w:tc>
                <w:tcPr>
                  <w:tcW w:w="840" w:type="pct"/>
                  <w:tcBorders>
                    <w:tl2br w:val="nil"/>
                    <w:tr2bl w:val="nil"/>
                  </w:tcBorders>
                  <w:vAlign w:val="center"/>
                </w:tcPr>
                <w:p w14:paraId="3B639B9E">
                  <w:pPr>
                    <w:adjustRightInd w:val="0"/>
                    <w:snapToGrid w:val="0"/>
                    <w:jc w:val="center"/>
                    <w:rPr>
                      <w:rFonts w:hint="default" w:ascii="Times New Roman" w:hAnsi="Times New Roman" w:cs="Times New Roman"/>
                      <w:color w:val="auto"/>
                      <w:kern w:val="0"/>
                      <w:sz w:val="21"/>
                      <w:szCs w:val="21"/>
                    </w:rPr>
                  </w:pPr>
                  <w:r>
                    <w:rPr>
                      <w:rFonts w:hint="eastAsia" w:cs="Times New Roman"/>
                      <w:color w:val="auto"/>
                      <w:kern w:val="0"/>
                      <w:sz w:val="21"/>
                      <w:szCs w:val="21"/>
                      <w:lang w:val="en-US" w:eastAsia="zh-CN"/>
                    </w:rPr>
                    <w:t>钢砂</w:t>
                  </w:r>
                </w:p>
              </w:tc>
              <w:tc>
                <w:tcPr>
                  <w:tcW w:w="2240" w:type="pct"/>
                  <w:tcBorders>
                    <w:tl2br w:val="nil"/>
                    <w:tr2bl w:val="nil"/>
                  </w:tcBorders>
                  <w:vAlign w:val="center"/>
                </w:tcPr>
                <w:p w14:paraId="531BF274">
                  <w:pPr>
                    <w:adjustRightInd w:val="0"/>
                    <w:snapToGrid w:val="0"/>
                    <w:jc w:val="center"/>
                    <w:rPr>
                      <w:rFonts w:hint="default" w:ascii="Times New Roman" w:hAnsi="Times New Roman" w:cs="Times New Roman"/>
                      <w:color w:val="auto"/>
                      <w:kern w:val="0"/>
                      <w:sz w:val="21"/>
                      <w:szCs w:val="21"/>
                      <w:lang w:bidi="ar"/>
                    </w:rPr>
                  </w:pPr>
                  <w:r>
                    <w:rPr>
                      <w:rFonts w:hint="eastAsia" w:cs="Times New Roman"/>
                      <w:color w:val="auto"/>
                      <w:kern w:val="0"/>
                      <w:sz w:val="21"/>
                      <w:szCs w:val="21"/>
                      <w:lang w:val="en-US" w:eastAsia="zh-CN"/>
                    </w:rPr>
                    <w:t>钢</w:t>
                  </w:r>
                </w:p>
              </w:tc>
              <w:tc>
                <w:tcPr>
                  <w:tcW w:w="536" w:type="pct"/>
                  <w:tcBorders>
                    <w:tl2br w:val="nil"/>
                    <w:tr2bl w:val="nil"/>
                  </w:tcBorders>
                  <w:vAlign w:val="center"/>
                </w:tcPr>
                <w:p w14:paraId="5084C228">
                  <w:pPr>
                    <w:adjustRightInd w:val="0"/>
                    <w:snapToGrid w:val="0"/>
                    <w:jc w:val="center"/>
                    <w:rPr>
                      <w:rFonts w:hint="default" w:ascii="Times New Roman" w:hAnsi="Times New Roman" w:cs="Times New Roman"/>
                      <w:color w:val="auto"/>
                      <w:kern w:val="0"/>
                      <w:sz w:val="21"/>
                      <w:szCs w:val="21"/>
                      <w:lang w:val="en-US"/>
                    </w:rPr>
                  </w:pPr>
                  <w:r>
                    <w:rPr>
                      <w:rFonts w:hint="eastAsia" w:cs="Times New Roman"/>
                      <w:color w:val="auto"/>
                      <w:kern w:val="0"/>
                      <w:sz w:val="21"/>
                      <w:szCs w:val="21"/>
                      <w:lang w:val="en-US" w:eastAsia="zh-CN"/>
                    </w:rPr>
                    <w:t>10</w:t>
                  </w:r>
                </w:p>
              </w:tc>
              <w:tc>
                <w:tcPr>
                  <w:tcW w:w="359" w:type="pct"/>
                  <w:tcBorders>
                    <w:tl2br w:val="nil"/>
                    <w:tr2bl w:val="nil"/>
                  </w:tcBorders>
                  <w:vAlign w:val="center"/>
                </w:tcPr>
                <w:p w14:paraId="62F0CEED">
                  <w:pPr>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cs="Times New Roman"/>
                      <w:color w:val="auto"/>
                      <w:kern w:val="0"/>
                      <w:sz w:val="21"/>
                      <w:szCs w:val="21"/>
                      <w:lang w:val="en-US" w:eastAsia="zh-CN"/>
                    </w:rPr>
                    <w:t>固</w:t>
                  </w:r>
                </w:p>
              </w:tc>
              <w:tc>
                <w:tcPr>
                  <w:tcW w:w="544" w:type="pct"/>
                  <w:tcBorders>
                    <w:tl2br w:val="nil"/>
                    <w:tr2bl w:val="nil"/>
                  </w:tcBorders>
                  <w:vAlign w:val="center"/>
                </w:tcPr>
                <w:p w14:paraId="7D124319">
                  <w:pPr>
                    <w:adjustRightInd w:val="0"/>
                    <w:snapToGrid w:val="0"/>
                    <w:jc w:val="center"/>
                    <w:rPr>
                      <w:rFonts w:hint="default" w:ascii="Times New Roman" w:hAnsi="Times New Roman" w:cs="Times New Roman"/>
                      <w:color w:val="auto"/>
                      <w:kern w:val="0"/>
                      <w:sz w:val="21"/>
                      <w:szCs w:val="21"/>
                      <w:lang w:val="en-US"/>
                    </w:rPr>
                  </w:pPr>
                  <w:r>
                    <w:rPr>
                      <w:rFonts w:hint="eastAsia" w:cs="Times New Roman"/>
                      <w:color w:val="auto"/>
                      <w:kern w:val="0"/>
                      <w:sz w:val="21"/>
                      <w:szCs w:val="21"/>
                      <w:lang w:val="en-US" w:eastAsia="zh-CN"/>
                    </w:rPr>
                    <w:t>25kg/袋</w:t>
                  </w:r>
                </w:p>
              </w:tc>
              <w:tc>
                <w:tcPr>
                  <w:tcW w:w="479" w:type="pct"/>
                  <w:tcBorders>
                    <w:tl2br w:val="nil"/>
                    <w:tr2bl w:val="nil"/>
                  </w:tcBorders>
                  <w:vAlign w:val="center"/>
                </w:tcPr>
                <w:p w14:paraId="1572E827">
                  <w:pPr>
                    <w:adjustRightInd w:val="0"/>
                    <w:snapToGrid w:val="0"/>
                    <w:jc w:val="center"/>
                    <w:rPr>
                      <w:rFonts w:hint="default" w:ascii="Times New Roman" w:hAnsi="Times New Roman" w:cs="Times New Roman"/>
                      <w:color w:val="auto"/>
                      <w:kern w:val="0"/>
                      <w:sz w:val="21"/>
                      <w:szCs w:val="21"/>
                    </w:rPr>
                  </w:pPr>
                  <w:r>
                    <w:rPr>
                      <w:rFonts w:hint="eastAsia" w:cs="Times New Roman"/>
                      <w:color w:val="auto"/>
                      <w:kern w:val="0"/>
                      <w:sz w:val="21"/>
                      <w:szCs w:val="21"/>
                      <w:lang w:val="en-US" w:eastAsia="zh-CN"/>
                    </w:rPr>
                    <w:t>3</w:t>
                  </w:r>
                </w:p>
              </w:tc>
            </w:tr>
            <w:tr w14:paraId="311F4A97">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0" w:hRule="atLeast"/>
                <w:jc w:val="center"/>
              </w:trPr>
              <w:tc>
                <w:tcPr>
                  <w:tcW w:w="840" w:type="pct"/>
                  <w:tcBorders>
                    <w:tl2br w:val="nil"/>
                    <w:tr2bl w:val="nil"/>
                  </w:tcBorders>
                  <w:vAlign w:val="center"/>
                </w:tcPr>
                <w:p w14:paraId="23372DF3">
                  <w:pPr>
                    <w:adjustRightInd w:val="0"/>
                    <w:snapToGrid w:val="0"/>
                    <w:jc w:val="center"/>
                    <w:rPr>
                      <w:rFonts w:hint="default" w:ascii="Times New Roman" w:hAnsi="Times New Roman" w:cs="Times New Roman"/>
                      <w:color w:val="auto"/>
                      <w:kern w:val="0"/>
                      <w:sz w:val="21"/>
                      <w:szCs w:val="21"/>
                    </w:rPr>
                  </w:pPr>
                  <w:r>
                    <w:rPr>
                      <w:rFonts w:hint="eastAsia" w:cs="Times New Roman"/>
                      <w:color w:val="auto"/>
                      <w:kern w:val="0"/>
                      <w:sz w:val="21"/>
                      <w:szCs w:val="21"/>
                      <w:lang w:val="en-US" w:eastAsia="zh-CN"/>
                    </w:rPr>
                    <w:t>锌丝</w:t>
                  </w:r>
                </w:p>
              </w:tc>
              <w:tc>
                <w:tcPr>
                  <w:tcW w:w="2240" w:type="pct"/>
                  <w:tcBorders>
                    <w:tl2br w:val="nil"/>
                    <w:tr2bl w:val="nil"/>
                  </w:tcBorders>
                  <w:vAlign w:val="center"/>
                </w:tcPr>
                <w:p w14:paraId="0C17F719">
                  <w:pPr>
                    <w:adjustRightInd w:val="0"/>
                    <w:snapToGrid w:val="0"/>
                    <w:jc w:val="center"/>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锌</w:t>
                  </w:r>
                </w:p>
              </w:tc>
              <w:tc>
                <w:tcPr>
                  <w:tcW w:w="536" w:type="pct"/>
                  <w:tcBorders>
                    <w:tl2br w:val="nil"/>
                    <w:tr2bl w:val="nil"/>
                  </w:tcBorders>
                  <w:vAlign w:val="center"/>
                </w:tcPr>
                <w:p w14:paraId="5ACAE74B">
                  <w:pPr>
                    <w:adjustRightInd w:val="0"/>
                    <w:snapToGrid w:val="0"/>
                    <w:jc w:val="center"/>
                    <w:rPr>
                      <w:rFonts w:hint="default" w:ascii="Times New Roman" w:hAnsi="Times New Roman" w:cs="Times New Roman"/>
                      <w:color w:val="auto"/>
                      <w:kern w:val="0"/>
                      <w:sz w:val="21"/>
                      <w:szCs w:val="21"/>
                    </w:rPr>
                  </w:pPr>
                  <w:r>
                    <w:rPr>
                      <w:rFonts w:hint="eastAsia" w:cs="Times New Roman"/>
                      <w:color w:val="auto"/>
                      <w:kern w:val="0"/>
                      <w:sz w:val="21"/>
                      <w:szCs w:val="21"/>
                      <w:lang w:val="en-US" w:eastAsia="zh-CN"/>
                    </w:rPr>
                    <w:t>3</w:t>
                  </w:r>
                </w:p>
              </w:tc>
              <w:tc>
                <w:tcPr>
                  <w:tcW w:w="359" w:type="pct"/>
                  <w:tcBorders>
                    <w:tl2br w:val="nil"/>
                    <w:tr2bl w:val="nil"/>
                  </w:tcBorders>
                  <w:vAlign w:val="center"/>
                </w:tcPr>
                <w:p w14:paraId="27AF1DCC">
                  <w:pPr>
                    <w:adjustRightInd w:val="0"/>
                    <w:snapToGrid w:val="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lang w:val="en-US" w:eastAsia="zh-CN"/>
                    </w:rPr>
                    <w:t>固</w:t>
                  </w:r>
                </w:p>
              </w:tc>
              <w:tc>
                <w:tcPr>
                  <w:tcW w:w="544" w:type="pct"/>
                  <w:tcBorders>
                    <w:tl2br w:val="nil"/>
                    <w:tr2bl w:val="nil"/>
                  </w:tcBorders>
                  <w:vAlign w:val="center"/>
                </w:tcPr>
                <w:p w14:paraId="5C7D28CD">
                  <w:pPr>
                    <w:adjustRightInd w:val="0"/>
                    <w:snapToGrid w:val="0"/>
                    <w:jc w:val="center"/>
                    <w:rPr>
                      <w:rFonts w:hint="default" w:ascii="Times New Roman" w:hAnsi="Times New Roman" w:cs="Times New Roman"/>
                      <w:color w:val="auto"/>
                      <w:kern w:val="0"/>
                      <w:sz w:val="21"/>
                      <w:szCs w:val="21"/>
                      <w:lang w:val="en-US"/>
                    </w:rPr>
                  </w:pPr>
                  <w:r>
                    <w:rPr>
                      <w:rFonts w:hint="eastAsia" w:cs="Times New Roman"/>
                      <w:color w:val="auto"/>
                      <w:kern w:val="0"/>
                      <w:sz w:val="21"/>
                      <w:szCs w:val="21"/>
                      <w:lang w:val="en-US" w:eastAsia="zh-CN"/>
                    </w:rPr>
                    <w:t>25kg/捆</w:t>
                  </w:r>
                </w:p>
              </w:tc>
              <w:tc>
                <w:tcPr>
                  <w:tcW w:w="479" w:type="pct"/>
                  <w:tcBorders>
                    <w:tl2br w:val="nil"/>
                    <w:tr2bl w:val="nil"/>
                  </w:tcBorders>
                  <w:vAlign w:val="center"/>
                </w:tcPr>
                <w:p w14:paraId="2B4E7585">
                  <w:pPr>
                    <w:adjustRightInd w:val="0"/>
                    <w:snapToGrid w:val="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lang w:val="en-US" w:eastAsia="zh-CN"/>
                    </w:rPr>
                    <w:t>1</w:t>
                  </w:r>
                </w:p>
              </w:tc>
            </w:tr>
            <w:tr w14:paraId="081BC13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0" w:hRule="atLeast"/>
                <w:jc w:val="center"/>
              </w:trPr>
              <w:tc>
                <w:tcPr>
                  <w:tcW w:w="840" w:type="pct"/>
                  <w:tcBorders>
                    <w:tl2br w:val="nil"/>
                    <w:tr2bl w:val="nil"/>
                  </w:tcBorders>
                  <w:vAlign w:val="center"/>
                </w:tcPr>
                <w:p w14:paraId="2FB5711B">
                  <w:pPr>
                    <w:adjustRightInd w:val="0"/>
                    <w:snapToGrid w:val="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lang w:val="en-US" w:eastAsia="zh-CN"/>
                    </w:rPr>
                    <w:t>环氧底漆</w:t>
                  </w:r>
                </w:p>
              </w:tc>
              <w:tc>
                <w:tcPr>
                  <w:tcW w:w="2240" w:type="pct"/>
                  <w:tcBorders>
                    <w:tl2br w:val="nil"/>
                    <w:tr2bl w:val="nil"/>
                  </w:tcBorders>
                  <w:vAlign w:val="center"/>
                </w:tcPr>
                <w:p w14:paraId="03B6B482">
                  <w:pPr>
                    <w:adjustRightInd w:val="0"/>
                    <w:snapToGrid w:val="0"/>
                    <w:jc w:val="center"/>
                    <w:rPr>
                      <w:rFonts w:hint="default" w:ascii="Times New Roman" w:hAnsi="Times New Roman" w:cs="Times New Roman"/>
                      <w:color w:val="auto"/>
                      <w:kern w:val="0"/>
                      <w:sz w:val="21"/>
                      <w:szCs w:val="21"/>
                      <w:lang w:val="en-US"/>
                    </w:rPr>
                  </w:pPr>
                  <w:r>
                    <w:rPr>
                      <w:rFonts w:hint="default" w:ascii="Times New Roman" w:hAnsi="Times New Roman" w:cs="Times New Roman"/>
                      <w:color w:val="auto"/>
                      <w:kern w:val="0"/>
                      <w:sz w:val="21"/>
                      <w:szCs w:val="21"/>
                      <w:lang w:val="en-US" w:eastAsia="zh-CN"/>
                    </w:rPr>
                    <w:t>10%≤双酚A-（环氧氯丙烷）＜25%，5%≤</w:t>
                  </w:r>
                  <w:r>
                    <w:rPr>
                      <w:rFonts w:hint="eastAsia" w:ascii="Times New Roman" w:hAnsi="Times New Roman" w:cs="Times New Roman"/>
                      <w:color w:val="auto"/>
                      <w:kern w:val="0"/>
                      <w:sz w:val="21"/>
                      <w:szCs w:val="21"/>
                      <w:lang w:val="en-US" w:eastAsia="zh-CN"/>
                    </w:rPr>
                    <w:t>二甲苯</w:t>
                  </w:r>
                  <w:r>
                    <w:rPr>
                      <w:rFonts w:hint="default" w:ascii="Times New Roman" w:hAnsi="Times New Roman" w:cs="Times New Roman"/>
                      <w:color w:val="auto"/>
                      <w:kern w:val="0"/>
                      <w:sz w:val="21"/>
                      <w:szCs w:val="21"/>
                      <w:lang w:val="en-US" w:eastAsia="zh-CN"/>
                    </w:rPr>
                    <w:t>≤10%、5%≤</w:t>
                  </w:r>
                  <w:r>
                    <w:rPr>
                      <w:rFonts w:hint="eastAsia" w:cs="Times New Roman"/>
                      <w:color w:val="auto"/>
                      <w:kern w:val="0"/>
                      <w:sz w:val="21"/>
                      <w:szCs w:val="21"/>
                      <w:lang w:val="en-US" w:eastAsia="zh-CN"/>
                    </w:rPr>
                    <w:t>中等分子量环氧树脂</w:t>
                  </w:r>
                  <w:r>
                    <w:rPr>
                      <w:rFonts w:hint="default" w:ascii="Times New Roman" w:hAnsi="Times New Roman" w:cs="Times New Roman"/>
                      <w:color w:val="auto"/>
                      <w:kern w:val="0"/>
                      <w:sz w:val="21"/>
                      <w:szCs w:val="21"/>
                      <w:lang w:val="en-US" w:eastAsia="zh-CN"/>
                    </w:rPr>
                    <w:t>≤10%、</w:t>
                  </w:r>
                  <w:r>
                    <w:rPr>
                      <w:rFonts w:hint="eastAsia" w:cs="Times New Roman"/>
                      <w:color w:val="auto"/>
                      <w:kern w:val="0"/>
                      <w:sz w:val="21"/>
                      <w:szCs w:val="21"/>
                      <w:lang w:val="en-US" w:eastAsia="zh-CN"/>
                    </w:rPr>
                    <w:t>3</w:t>
                  </w:r>
                  <w:r>
                    <w:rPr>
                      <w:rFonts w:hint="default" w:ascii="Times New Roman" w:hAnsi="Times New Roman" w:cs="Times New Roman"/>
                      <w:color w:val="auto"/>
                      <w:kern w:val="0"/>
                      <w:sz w:val="21"/>
                      <w:szCs w:val="21"/>
                      <w:lang w:val="en-US" w:eastAsia="zh-CN"/>
                    </w:rPr>
                    <w:t>%≤</w:t>
                  </w:r>
                  <w:r>
                    <w:rPr>
                      <w:rFonts w:hint="eastAsia" w:cs="Times New Roman"/>
                      <w:color w:val="auto"/>
                      <w:kern w:val="0"/>
                      <w:sz w:val="21"/>
                      <w:szCs w:val="21"/>
                      <w:lang w:val="en-US" w:eastAsia="zh-CN"/>
                    </w:rPr>
                    <w:t>双酚A-环氧氯丙烷/二聚酸树脂加成物</w:t>
                  </w:r>
                  <w:r>
                    <w:rPr>
                      <w:rFonts w:hint="default" w:ascii="Times New Roman" w:hAnsi="Times New Roman" w:cs="Times New Roman"/>
                      <w:color w:val="auto"/>
                      <w:kern w:val="0"/>
                      <w:sz w:val="21"/>
                      <w:szCs w:val="21"/>
                      <w:lang w:val="en-US" w:eastAsia="zh-CN"/>
                    </w:rPr>
                    <w:t>≤</w:t>
                  </w:r>
                  <w:r>
                    <w:rPr>
                      <w:rFonts w:hint="eastAsia" w:cs="Times New Roman"/>
                      <w:color w:val="auto"/>
                      <w:kern w:val="0"/>
                      <w:sz w:val="21"/>
                      <w:szCs w:val="21"/>
                      <w:lang w:val="en-US" w:eastAsia="zh-CN"/>
                    </w:rPr>
                    <w:t>5</w:t>
                  </w:r>
                  <w:r>
                    <w:rPr>
                      <w:rFonts w:hint="default" w:ascii="Times New Roman" w:hAnsi="Times New Roman" w:cs="Times New Roman"/>
                      <w:color w:val="auto"/>
                      <w:kern w:val="0"/>
                      <w:sz w:val="21"/>
                      <w:szCs w:val="21"/>
                      <w:lang w:val="en-US" w:eastAsia="zh-CN"/>
                    </w:rPr>
                    <w:t>%</w:t>
                  </w:r>
                  <w:r>
                    <w:rPr>
                      <w:rFonts w:hint="eastAsia" w:cs="Times New Roman"/>
                      <w:color w:val="auto"/>
                      <w:kern w:val="0"/>
                      <w:sz w:val="21"/>
                      <w:szCs w:val="21"/>
                      <w:lang w:val="en-US" w:eastAsia="zh-CN"/>
                    </w:rPr>
                    <w:t>，3</w:t>
                  </w:r>
                  <w:r>
                    <w:rPr>
                      <w:rFonts w:hint="default" w:ascii="Times New Roman" w:hAnsi="Times New Roman" w:cs="Times New Roman"/>
                      <w:color w:val="auto"/>
                      <w:kern w:val="0"/>
                      <w:sz w:val="21"/>
                      <w:szCs w:val="21"/>
                      <w:lang w:val="en-US" w:eastAsia="zh-CN"/>
                    </w:rPr>
                    <w:t>%≤</w:t>
                  </w:r>
                  <w:r>
                    <w:rPr>
                      <w:rFonts w:hint="eastAsia" w:cs="Times New Roman"/>
                      <w:color w:val="auto"/>
                      <w:kern w:val="0"/>
                      <w:sz w:val="21"/>
                      <w:szCs w:val="21"/>
                      <w:lang w:val="en-US" w:eastAsia="zh-CN"/>
                    </w:rPr>
                    <w:t>1-丁醇</w:t>
                  </w:r>
                  <w:r>
                    <w:rPr>
                      <w:rFonts w:hint="default" w:ascii="Times New Roman" w:hAnsi="Times New Roman" w:cs="Times New Roman"/>
                      <w:color w:val="auto"/>
                      <w:kern w:val="0"/>
                      <w:sz w:val="21"/>
                      <w:szCs w:val="21"/>
                      <w:lang w:val="en-US" w:eastAsia="zh-CN"/>
                    </w:rPr>
                    <w:t>≤</w:t>
                  </w:r>
                  <w:r>
                    <w:rPr>
                      <w:rFonts w:hint="eastAsia" w:cs="Times New Roman"/>
                      <w:color w:val="auto"/>
                      <w:kern w:val="0"/>
                      <w:sz w:val="21"/>
                      <w:szCs w:val="21"/>
                      <w:lang w:val="en-US" w:eastAsia="zh-CN"/>
                    </w:rPr>
                    <w:t>5</w:t>
                  </w:r>
                  <w:r>
                    <w:rPr>
                      <w:rFonts w:hint="default" w:ascii="Times New Roman" w:hAnsi="Times New Roman" w:cs="Times New Roman"/>
                      <w:color w:val="auto"/>
                      <w:kern w:val="0"/>
                      <w:sz w:val="21"/>
                      <w:szCs w:val="21"/>
                      <w:lang w:val="en-US" w:eastAsia="zh-CN"/>
                    </w:rPr>
                    <w:t>%</w:t>
                  </w:r>
                  <w:r>
                    <w:rPr>
                      <w:rFonts w:hint="eastAsia" w:cs="Times New Roman"/>
                      <w:color w:val="auto"/>
                      <w:kern w:val="0"/>
                      <w:sz w:val="21"/>
                      <w:szCs w:val="21"/>
                      <w:lang w:val="en-US" w:eastAsia="zh-CN"/>
                    </w:rPr>
                    <w:t>，3</w:t>
                  </w:r>
                  <w:r>
                    <w:rPr>
                      <w:rFonts w:hint="default" w:ascii="Times New Roman" w:hAnsi="Times New Roman" w:cs="Times New Roman"/>
                      <w:color w:val="auto"/>
                      <w:kern w:val="0"/>
                      <w:sz w:val="21"/>
                      <w:szCs w:val="21"/>
                      <w:lang w:val="en-US" w:eastAsia="zh-CN"/>
                    </w:rPr>
                    <w:t>%≤</w:t>
                  </w:r>
                  <w:r>
                    <w:rPr>
                      <w:rFonts w:hint="eastAsia" w:cs="Times New Roman"/>
                      <w:color w:val="auto"/>
                      <w:kern w:val="0"/>
                      <w:sz w:val="21"/>
                      <w:szCs w:val="21"/>
                      <w:lang w:val="en-US" w:eastAsia="zh-CN"/>
                    </w:rPr>
                    <w:t>腰果油与环氧氯丙烷的反应聚合物</w:t>
                  </w:r>
                  <w:r>
                    <w:rPr>
                      <w:rFonts w:hint="default" w:ascii="Times New Roman" w:hAnsi="Times New Roman" w:cs="Times New Roman"/>
                      <w:color w:val="auto"/>
                      <w:kern w:val="0"/>
                      <w:sz w:val="21"/>
                      <w:szCs w:val="21"/>
                      <w:lang w:val="en-US" w:eastAsia="zh-CN"/>
                    </w:rPr>
                    <w:t>≤</w:t>
                  </w:r>
                  <w:r>
                    <w:rPr>
                      <w:rFonts w:hint="eastAsia" w:cs="Times New Roman"/>
                      <w:color w:val="auto"/>
                      <w:kern w:val="0"/>
                      <w:sz w:val="21"/>
                      <w:szCs w:val="21"/>
                      <w:lang w:val="en-US" w:eastAsia="zh-CN"/>
                    </w:rPr>
                    <w:t>5</w:t>
                  </w:r>
                  <w:r>
                    <w:rPr>
                      <w:rFonts w:hint="default" w:ascii="Times New Roman" w:hAnsi="Times New Roman" w:cs="Times New Roman"/>
                      <w:color w:val="auto"/>
                      <w:kern w:val="0"/>
                      <w:sz w:val="21"/>
                      <w:szCs w:val="21"/>
                      <w:lang w:val="en-US" w:eastAsia="zh-CN"/>
                    </w:rPr>
                    <w:t>%</w:t>
                  </w:r>
                  <w:r>
                    <w:rPr>
                      <w:rFonts w:hint="eastAsia" w:cs="Times New Roman"/>
                      <w:color w:val="auto"/>
                      <w:kern w:val="0"/>
                      <w:sz w:val="21"/>
                      <w:szCs w:val="21"/>
                      <w:lang w:val="en-US" w:eastAsia="zh-CN"/>
                    </w:rPr>
                    <w:t>，1</w:t>
                  </w:r>
                  <w:r>
                    <w:rPr>
                      <w:rFonts w:hint="default" w:ascii="Times New Roman" w:hAnsi="Times New Roman" w:cs="Times New Roman"/>
                      <w:color w:val="auto"/>
                      <w:kern w:val="0"/>
                      <w:sz w:val="21"/>
                      <w:szCs w:val="21"/>
                      <w:lang w:val="en-US" w:eastAsia="zh-CN"/>
                    </w:rPr>
                    <w:t>%≤</w:t>
                  </w:r>
                  <w:r>
                    <w:rPr>
                      <w:rFonts w:hint="eastAsia" w:cs="Times New Roman"/>
                      <w:color w:val="auto"/>
                      <w:kern w:val="0"/>
                      <w:sz w:val="21"/>
                      <w:szCs w:val="21"/>
                      <w:lang w:val="en-US" w:eastAsia="zh-CN"/>
                    </w:rPr>
                    <w:t>乙苯</w:t>
                  </w:r>
                  <w:r>
                    <w:rPr>
                      <w:rFonts w:hint="default" w:ascii="Times New Roman" w:hAnsi="Times New Roman" w:cs="Times New Roman"/>
                      <w:color w:val="auto"/>
                      <w:kern w:val="0"/>
                      <w:sz w:val="21"/>
                      <w:szCs w:val="21"/>
                      <w:lang w:val="en-US" w:eastAsia="zh-CN"/>
                    </w:rPr>
                    <w:t>≤</w:t>
                  </w:r>
                  <w:r>
                    <w:rPr>
                      <w:rFonts w:hint="eastAsia" w:cs="Times New Roman"/>
                      <w:color w:val="auto"/>
                      <w:kern w:val="0"/>
                      <w:sz w:val="21"/>
                      <w:szCs w:val="21"/>
                      <w:lang w:val="en-US" w:eastAsia="zh-CN"/>
                    </w:rPr>
                    <w:t>3</w:t>
                  </w:r>
                  <w:r>
                    <w:rPr>
                      <w:rFonts w:hint="default" w:ascii="Times New Roman" w:hAnsi="Times New Roman" w:cs="Times New Roman"/>
                      <w:color w:val="auto"/>
                      <w:kern w:val="0"/>
                      <w:sz w:val="21"/>
                      <w:szCs w:val="21"/>
                      <w:lang w:val="en-US" w:eastAsia="zh-CN"/>
                    </w:rPr>
                    <w:t>%</w:t>
                  </w:r>
                  <w:r>
                    <w:rPr>
                      <w:rFonts w:hint="eastAsia" w:cs="Times New Roman"/>
                      <w:color w:val="auto"/>
                      <w:kern w:val="0"/>
                      <w:sz w:val="21"/>
                      <w:szCs w:val="21"/>
                      <w:lang w:val="en-US" w:eastAsia="zh-CN"/>
                    </w:rPr>
                    <w:t>，1</w:t>
                  </w:r>
                  <w:r>
                    <w:rPr>
                      <w:rFonts w:hint="default" w:ascii="Times New Roman" w:hAnsi="Times New Roman" w:cs="Times New Roman"/>
                      <w:color w:val="auto"/>
                      <w:kern w:val="0"/>
                      <w:sz w:val="21"/>
                      <w:szCs w:val="21"/>
                      <w:lang w:val="en-US" w:eastAsia="zh-CN"/>
                    </w:rPr>
                    <w:t>%≤</w:t>
                  </w:r>
                  <w:r>
                    <w:rPr>
                      <w:rFonts w:hint="eastAsia" w:cs="Times New Roman"/>
                      <w:color w:val="auto"/>
                      <w:kern w:val="0"/>
                      <w:sz w:val="21"/>
                      <w:szCs w:val="21"/>
                      <w:lang w:val="en-US" w:eastAsia="zh-CN"/>
                    </w:rPr>
                    <w:t>1-甲氧基-2-丙醇</w:t>
                  </w:r>
                  <w:r>
                    <w:rPr>
                      <w:rFonts w:hint="default" w:ascii="Times New Roman" w:hAnsi="Times New Roman" w:cs="Times New Roman"/>
                      <w:color w:val="auto"/>
                      <w:kern w:val="0"/>
                      <w:sz w:val="21"/>
                      <w:szCs w:val="21"/>
                      <w:lang w:val="en-US" w:eastAsia="zh-CN"/>
                    </w:rPr>
                    <w:t>≤</w:t>
                  </w:r>
                  <w:r>
                    <w:rPr>
                      <w:rFonts w:hint="eastAsia" w:cs="Times New Roman"/>
                      <w:color w:val="auto"/>
                      <w:kern w:val="0"/>
                      <w:sz w:val="21"/>
                      <w:szCs w:val="21"/>
                      <w:lang w:val="en-US" w:eastAsia="zh-CN"/>
                    </w:rPr>
                    <w:t>3</w:t>
                  </w:r>
                  <w:r>
                    <w:rPr>
                      <w:rFonts w:hint="default" w:ascii="Times New Roman" w:hAnsi="Times New Roman" w:cs="Times New Roman"/>
                      <w:color w:val="auto"/>
                      <w:kern w:val="0"/>
                      <w:sz w:val="21"/>
                      <w:szCs w:val="21"/>
                      <w:lang w:val="en-US" w:eastAsia="zh-CN"/>
                    </w:rPr>
                    <w:t>%</w:t>
                  </w:r>
                  <w:r>
                    <w:rPr>
                      <w:rFonts w:hint="eastAsia" w:cs="Times New Roman"/>
                      <w:color w:val="auto"/>
                      <w:kern w:val="0"/>
                      <w:sz w:val="21"/>
                      <w:szCs w:val="21"/>
                      <w:lang w:val="en-US" w:eastAsia="zh-CN"/>
                    </w:rPr>
                    <w:t>，甲基丙烯酸苯酚＜1，1,3-双（12-羟基八癸酰胺-氮-亚甲基）苯＜1</w:t>
                  </w:r>
                </w:p>
              </w:tc>
              <w:tc>
                <w:tcPr>
                  <w:tcW w:w="536" w:type="pct"/>
                  <w:tcBorders>
                    <w:tl2br w:val="nil"/>
                    <w:tr2bl w:val="nil"/>
                  </w:tcBorders>
                  <w:vAlign w:val="center"/>
                </w:tcPr>
                <w:p w14:paraId="6CC86DE4">
                  <w:pPr>
                    <w:adjustRightInd w:val="0"/>
                    <w:snapToGrid w:val="0"/>
                    <w:jc w:val="center"/>
                    <w:rPr>
                      <w:rFonts w:hint="default" w:ascii="Times New Roman" w:hAnsi="Times New Roman" w:cs="Times New Roman"/>
                      <w:color w:val="auto"/>
                      <w:kern w:val="0"/>
                      <w:sz w:val="21"/>
                      <w:szCs w:val="21"/>
                      <w:lang w:val="en-US"/>
                    </w:rPr>
                  </w:pPr>
                  <w:r>
                    <w:rPr>
                      <w:rFonts w:hint="eastAsia" w:cs="Times New Roman"/>
                      <w:color w:val="auto"/>
                      <w:kern w:val="0"/>
                      <w:sz w:val="21"/>
                      <w:szCs w:val="21"/>
                      <w:lang w:val="en-US" w:eastAsia="zh-CN"/>
                    </w:rPr>
                    <w:t>1.5</w:t>
                  </w:r>
                </w:p>
              </w:tc>
              <w:tc>
                <w:tcPr>
                  <w:tcW w:w="359" w:type="pct"/>
                  <w:tcBorders>
                    <w:tl2br w:val="nil"/>
                    <w:tr2bl w:val="nil"/>
                  </w:tcBorders>
                  <w:vAlign w:val="center"/>
                </w:tcPr>
                <w:p w14:paraId="75109CD1">
                  <w:pPr>
                    <w:adjustRightInd w:val="0"/>
                    <w:snapToGrid w:val="0"/>
                    <w:jc w:val="center"/>
                    <w:rPr>
                      <w:rFonts w:hint="default" w:ascii="Times New Roman" w:hAnsi="Times New Roman" w:cs="Times New Roman"/>
                      <w:color w:val="auto"/>
                      <w:kern w:val="0"/>
                      <w:sz w:val="21"/>
                      <w:szCs w:val="21"/>
                    </w:rPr>
                  </w:pPr>
                  <w:r>
                    <w:rPr>
                      <w:rFonts w:hint="eastAsia" w:cs="Times New Roman"/>
                      <w:color w:val="auto"/>
                      <w:kern w:val="0"/>
                      <w:sz w:val="21"/>
                      <w:szCs w:val="21"/>
                      <w:lang w:val="en-US" w:eastAsia="zh-CN"/>
                    </w:rPr>
                    <w:t>液</w:t>
                  </w:r>
                </w:p>
              </w:tc>
              <w:tc>
                <w:tcPr>
                  <w:tcW w:w="544" w:type="pct"/>
                  <w:tcBorders>
                    <w:tl2br w:val="nil"/>
                    <w:tr2bl w:val="nil"/>
                  </w:tcBorders>
                  <w:vAlign w:val="center"/>
                </w:tcPr>
                <w:p w14:paraId="0DAA3ED7">
                  <w:pPr>
                    <w:adjustRightInd w:val="0"/>
                    <w:snapToGrid w:val="0"/>
                    <w:jc w:val="center"/>
                    <w:rPr>
                      <w:rFonts w:hint="default" w:ascii="Times New Roman" w:hAnsi="Times New Roman" w:cs="Times New Roman"/>
                      <w:color w:val="auto"/>
                      <w:kern w:val="0"/>
                      <w:sz w:val="21"/>
                      <w:szCs w:val="21"/>
                      <w:lang w:val="en-US"/>
                    </w:rPr>
                  </w:pPr>
                  <w:r>
                    <w:rPr>
                      <w:rFonts w:hint="eastAsia" w:cs="Times New Roman"/>
                      <w:color w:val="auto"/>
                      <w:kern w:val="0"/>
                      <w:sz w:val="21"/>
                      <w:szCs w:val="21"/>
                      <w:lang w:val="en-US" w:eastAsia="zh-CN"/>
                    </w:rPr>
                    <w:t>25</w:t>
                  </w:r>
                  <w:r>
                    <w:rPr>
                      <w:rFonts w:hint="default" w:ascii="Times New Roman" w:hAnsi="Times New Roman" w:cs="Times New Roman"/>
                      <w:color w:val="auto"/>
                      <w:kern w:val="0"/>
                      <w:sz w:val="21"/>
                      <w:szCs w:val="21"/>
                      <w:lang w:val="en-US" w:eastAsia="zh-CN"/>
                    </w:rPr>
                    <w:t>kg</w:t>
                  </w:r>
                  <w:r>
                    <w:rPr>
                      <w:rFonts w:hint="eastAsia" w:cs="Times New Roman"/>
                      <w:color w:val="auto"/>
                      <w:kern w:val="0"/>
                      <w:sz w:val="21"/>
                      <w:szCs w:val="21"/>
                      <w:lang w:val="en-US" w:eastAsia="zh-CN"/>
                    </w:rPr>
                    <w:t>/桶</w:t>
                  </w:r>
                </w:p>
              </w:tc>
              <w:tc>
                <w:tcPr>
                  <w:tcW w:w="479" w:type="pct"/>
                  <w:tcBorders>
                    <w:tl2br w:val="nil"/>
                    <w:tr2bl w:val="nil"/>
                  </w:tcBorders>
                  <w:vAlign w:val="center"/>
                </w:tcPr>
                <w:p w14:paraId="37978218">
                  <w:pPr>
                    <w:adjustRightInd w:val="0"/>
                    <w:snapToGrid w:val="0"/>
                    <w:jc w:val="center"/>
                    <w:rPr>
                      <w:rFonts w:hint="default" w:ascii="Times New Roman" w:hAnsi="Times New Roman" w:cs="Times New Roman"/>
                      <w:color w:val="auto"/>
                      <w:kern w:val="0"/>
                      <w:sz w:val="21"/>
                      <w:szCs w:val="21"/>
                      <w:lang w:val="en-US"/>
                    </w:rPr>
                  </w:pPr>
                  <w:r>
                    <w:rPr>
                      <w:rFonts w:hint="eastAsia" w:cs="Times New Roman"/>
                      <w:color w:val="auto"/>
                      <w:kern w:val="0"/>
                      <w:sz w:val="21"/>
                      <w:szCs w:val="21"/>
                      <w:lang w:val="en-US" w:eastAsia="zh-CN"/>
                    </w:rPr>
                    <w:t>0.25</w:t>
                  </w:r>
                </w:p>
              </w:tc>
            </w:tr>
            <w:tr w14:paraId="71940B8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0" w:hRule="atLeast"/>
                <w:jc w:val="center"/>
              </w:trPr>
              <w:tc>
                <w:tcPr>
                  <w:tcW w:w="840" w:type="pct"/>
                  <w:tcBorders>
                    <w:tl2br w:val="nil"/>
                    <w:tr2bl w:val="nil"/>
                  </w:tcBorders>
                  <w:vAlign w:val="center"/>
                </w:tcPr>
                <w:p w14:paraId="5382A7A2">
                  <w:pPr>
                    <w:adjustRightInd w:val="0"/>
                    <w:snapToGrid w:val="0"/>
                    <w:jc w:val="center"/>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聚氨酯厚浆面漆</w:t>
                  </w:r>
                </w:p>
              </w:tc>
              <w:tc>
                <w:tcPr>
                  <w:tcW w:w="2240" w:type="pct"/>
                  <w:tcBorders>
                    <w:tl2br w:val="nil"/>
                    <w:tr2bl w:val="nil"/>
                  </w:tcBorders>
                  <w:vAlign w:val="center"/>
                </w:tcPr>
                <w:p w14:paraId="73B3E7C3">
                  <w:pPr>
                    <w:adjustRightInd w:val="0"/>
                    <w:snapToGrid w:val="0"/>
                    <w:jc w:val="center"/>
                    <w:rPr>
                      <w:rFonts w:hint="default" w:ascii="Times New Roman" w:hAnsi="Times New Roman" w:cs="Times New Roman"/>
                      <w:color w:val="auto"/>
                      <w:kern w:val="0"/>
                      <w:sz w:val="21"/>
                      <w:szCs w:val="21"/>
                      <w:lang w:val="en-US"/>
                    </w:rPr>
                  </w:pPr>
                  <w:r>
                    <w:rPr>
                      <w:rFonts w:hint="eastAsia" w:cs="Times New Roman"/>
                      <w:color w:val="auto"/>
                      <w:kern w:val="0"/>
                      <w:sz w:val="21"/>
                      <w:szCs w:val="21"/>
                      <w:lang w:val="en-US" w:eastAsia="zh-CN"/>
                    </w:rPr>
                    <w:t>10</w:t>
                  </w:r>
                  <w:r>
                    <w:rPr>
                      <w:rFonts w:hint="default" w:ascii="Times New Roman" w:hAnsi="Times New Roman" w:cs="Times New Roman"/>
                      <w:color w:val="auto"/>
                      <w:kern w:val="0"/>
                      <w:sz w:val="21"/>
                      <w:szCs w:val="21"/>
                      <w:lang w:val="en-US" w:eastAsia="zh-CN"/>
                    </w:rPr>
                    <w:t>%≤</w:t>
                  </w:r>
                  <w:r>
                    <w:rPr>
                      <w:rFonts w:hint="eastAsia" w:cs="Times New Roman"/>
                      <w:color w:val="auto"/>
                      <w:kern w:val="0"/>
                      <w:sz w:val="21"/>
                      <w:szCs w:val="21"/>
                      <w:lang w:val="en-US" w:eastAsia="zh-CN"/>
                    </w:rPr>
                    <w:t>石脑油</w:t>
                  </w:r>
                  <w:r>
                    <w:rPr>
                      <w:rFonts w:hint="default" w:ascii="Times New Roman" w:hAnsi="Times New Roman" w:cs="Times New Roman"/>
                      <w:color w:val="auto"/>
                      <w:kern w:val="0"/>
                      <w:sz w:val="21"/>
                      <w:szCs w:val="21"/>
                      <w:lang w:val="en-US" w:eastAsia="zh-CN"/>
                    </w:rPr>
                    <w:t>≤1</w:t>
                  </w:r>
                  <w:r>
                    <w:rPr>
                      <w:rFonts w:hint="eastAsia" w:cs="Times New Roman"/>
                      <w:color w:val="auto"/>
                      <w:kern w:val="0"/>
                      <w:sz w:val="21"/>
                      <w:szCs w:val="21"/>
                      <w:lang w:val="en-US" w:eastAsia="zh-CN"/>
                    </w:rPr>
                    <w:t>4</w:t>
                  </w:r>
                  <w:r>
                    <w:rPr>
                      <w:rFonts w:hint="default" w:ascii="Times New Roman" w:hAnsi="Times New Roman" w:cs="Times New Roman"/>
                      <w:color w:val="auto"/>
                      <w:kern w:val="0"/>
                      <w:sz w:val="21"/>
                      <w:szCs w:val="21"/>
                      <w:lang w:val="en-US" w:eastAsia="zh-CN"/>
                    </w:rPr>
                    <w:t>%</w:t>
                  </w:r>
                  <w:r>
                    <w:rPr>
                      <w:rFonts w:hint="eastAsia" w:cs="Times New Roman"/>
                      <w:color w:val="auto"/>
                      <w:kern w:val="0"/>
                      <w:sz w:val="21"/>
                      <w:szCs w:val="21"/>
                      <w:lang w:val="en-US" w:eastAsia="zh-CN"/>
                    </w:rPr>
                    <w:t>，1</w:t>
                  </w:r>
                  <w:r>
                    <w:rPr>
                      <w:rFonts w:hint="default" w:ascii="Times New Roman" w:hAnsi="Times New Roman" w:cs="Times New Roman"/>
                      <w:color w:val="auto"/>
                      <w:kern w:val="0"/>
                      <w:sz w:val="21"/>
                      <w:szCs w:val="21"/>
                      <w:lang w:val="en-US" w:eastAsia="zh-CN"/>
                    </w:rPr>
                    <w:t>%≤</w:t>
                  </w:r>
                  <w:r>
                    <w:rPr>
                      <w:rFonts w:hint="eastAsia" w:cs="Times New Roman"/>
                      <w:color w:val="auto"/>
                      <w:kern w:val="0"/>
                      <w:sz w:val="21"/>
                      <w:szCs w:val="21"/>
                      <w:lang w:val="en-US" w:eastAsia="zh-CN"/>
                    </w:rPr>
                    <w:t>1,2,4-三甲苯</w:t>
                  </w:r>
                  <w:r>
                    <w:rPr>
                      <w:rFonts w:hint="default" w:ascii="Times New Roman" w:hAnsi="Times New Roman" w:cs="Times New Roman"/>
                      <w:color w:val="auto"/>
                      <w:kern w:val="0"/>
                      <w:sz w:val="21"/>
                      <w:szCs w:val="21"/>
                      <w:lang w:val="en-US" w:eastAsia="zh-CN"/>
                    </w:rPr>
                    <w:t>≤</w:t>
                  </w:r>
                  <w:r>
                    <w:rPr>
                      <w:rFonts w:hint="eastAsia" w:cs="Times New Roman"/>
                      <w:color w:val="auto"/>
                      <w:kern w:val="0"/>
                      <w:sz w:val="21"/>
                      <w:szCs w:val="21"/>
                      <w:lang w:val="en-US" w:eastAsia="zh-CN"/>
                    </w:rPr>
                    <w:t>3.8</w:t>
                  </w:r>
                  <w:r>
                    <w:rPr>
                      <w:rFonts w:hint="default" w:ascii="Times New Roman" w:hAnsi="Times New Roman" w:cs="Times New Roman"/>
                      <w:color w:val="auto"/>
                      <w:kern w:val="0"/>
                      <w:sz w:val="21"/>
                      <w:szCs w:val="21"/>
                      <w:lang w:val="en-US" w:eastAsia="zh-CN"/>
                    </w:rPr>
                    <w:t>%</w:t>
                  </w:r>
                  <w:r>
                    <w:rPr>
                      <w:rFonts w:hint="eastAsia" w:cs="Times New Roman"/>
                      <w:color w:val="auto"/>
                      <w:kern w:val="0"/>
                      <w:sz w:val="21"/>
                      <w:szCs w:val="21"/>
                      <w:lang w:val="en-US" w:eastAsia="zh-CN"/>
                    </w:rPr>
                    <w:t>，1</w:t>
                  </w:r>
                  <w:r>
                    <w:rPr>
                      <w:rFonts w:hint="default" w:ascii="Times New Roman" w:hAnsi="Times New Roman" w:cs="Times New Roman"/>
                      <w:color w:val="auto"/>
                      <w:kern w:val="0"/>
                      <w:sz w:val="21"/>
                      <w:szCs w:val="21"/>
                      <w:lang w:val="en-US" w:eastAsia="zh-CN"/>
                    </w:rPr>
                    <w:t>%≤</w:t>
                  </w:r>
                  <w:r>
                    <w:rPr>
                      <w:rFonts w:hint="eastAsia" w:cs="Times New Roman"/>
                      <w:color w:val="auto"/>
                      <w:kern w:val="0"/>
                      <w:sz w:val="21"/>
                      <w:szCs w:val="21"/>
                      <w:lang w:val="en-US" w:eastAsia="zh-CN"/>
                    </w:rPr>
                    <w:t>二甲苯</w:t>
                  </w:r>
                  <w:r>
                    <w:rPr>
                      <w:rFonts w:hint="default" w:ascii="Times New Roman" w:hAnsi="Times New Roman" w:cs="Times New Roman"/>
                      <w:color w:val="auto"/>
                      <w:kern w:val="0"/>
                      <w:sz w:val="21"/>
                      <w:szCs w:val="21"/>
                      <w:lang w:val="en-US" w:eastAsia="zh-CN"/>
                    </w:rPr>
                    <w:t>≤</w:t>
                  </w:r>
                  <w:r>
                    <w:rPr>
                      <w:rFonts w:hint="eastAsia" w:cs="Times New Roman"/>
                      <w:color w:val="auto"/>
                      <w:kern w:val="0"/>
                      <w:sz w:val="21"/>
                      <w:szCs w:val="21"/>
                      <w:lang w:val="en-US" w:eastAsia="zh-CN"/>
                    </w:rPr>
                    <w:t>2.5</w:t>
                  </w:r>
                  <w:r>
                    <w:rPr>
                      <w:rFonts w:hint="default" w:ascii="Times New Roman" w:hAnsi="Times New Roman" w:cs="Times New Roman"/>
                      <w:color w:val="auto"/>
                      <w:kern w:val="0"/>
                      <w:sz w:val="21"/>
                      <w:szCs w:val="21"/>
                      <w:lang w:val="en-US" w:eastAsia="zh-CN"/>
                    </w:rPr>
                    <w:t>%</w:t>
                  </w:r>
                  <w:r>
                    <w:rPr>
                      <w:rFonts w:hint="eastAsia" w:cs="Times New Roman"/>
                      <w:color w:val="auto"/>
                      <w:kern w:val="0"/>
                      <w:sz w:val="21"/>
                      <w:szCs w:val="21"/>
                      <w:lang w:val="en-US" w:eastAsia="zh-CN"/>
                    </w:rPr>
                    <w:t>，乙苯</w:t>
                  </w:r>
                  <w:r>
                    <w:rPr>
                      <w:rFonts w:hint="default" w:ascii="Times New Roman" w:hAnsi="Times New Roman" w:cs="Times New Roman"/>
                      <w:color w:val="auto"/>
                      <w:kern w:val="0"/>
                      <w:sz w:val="21"/>
                      <w:szCs w:val="21"/>
                      <w:lang w:val="en-US" w:eastAsia="zh-CN"/>
                    </w:rPr>
                    <w:t>≤</w:t>
                  </w:r>
                  <w:r>
                    <w:rPr>
                      <w:rFonts w:hint="eastAsia" w:cs="Times New Roman"/>
                      <w:color w:val="auto"/>
                      <w:kern w:val="0"/>
                      <w:sz w:val="21"/>
                      <w:szCs w:val="21"/>
                      <w:lang w:val="en-US" w:eastAsia="zh-CN"/>
                    </w:rPr>
                    <w:t>1.6</w:t>
                  </w:r>
                  <w:r>
                    <w:rPr>
                      <w:rFonts w:hint="default" w:ascii="Times New Roman" w:hAnsi="Times New Roman" w:cs="Times New Roman"/>
                      <w:color w:val="auto"/>
                      <w:kern w:val="0"/>
                      <w:sz w:val="21"/>
                      <w:szCs w:val="21"/>
                      <w:lang w:val="en-US" w:eastAsia="zh-CN"/>
                    </w:rPr>
                    <w:t>%</w:t>
                  </w:r>
                  <w:r>
                    <w:rPr>
                      <w:rFonts w:hint="eastAsia" w:cs="Times New Roman"/>
                      <w:color w:val="auto"/>
                      <w:kern w:val="0"/>
                      <w:sz w:val="21"/>
                      <w:szCs w:val="21"/>
                      <w:lang w:val="en-US" w:eastAsia="zh-CN"/>
                    </w:rPr>
                    <w:t>，1,2,3-三甲苯</w:t>
                  </w:r>
                  <w:r>
                    <w:rPr>
                      <w:rFonts w:hint="default" w:ascii="Times New Roman" w:hAnsi="Times New Roman" w:cs="Times New Roman"/>
                      <w:color w:val="auto"/>
                      <w:kern w:val="0"/>
                      <w:sz w:val="21"/>
                      <w:szCs w:val="21"/>
                      <w:lang w:val="en-US" w:eastAsia="zh-CN"/>
                    </w:rPr>
                    <w:t>≤</w:t>
                  </w:r>
                  <w:r>
                    <w:rPr>
                      <w:rFonts w:hint="eastAsia" w:cs="Times New Roman"/>
                      <w:color w:val="auto"/>
                      <w:kern w:val="0"/>
                      <w:sz w:val="21"/>
                      <w:szCs w:val="21"/>
                      <w:lang w:val="en-US" w:eastAsia="zh-CN"/>
                    </w:rPr>
                    <w:t>1.3</w:t>
                  </w:r>
                  <w:r>
                    <w:rPr>
                      <w:rFonts w:hint="default" w:ascii="Times New Roman" w:hAnsi="Times New Roman" w:cs="Times New Roman"/>
                      <w:color w:val="auto"/>
                      <w:kern w:val="0"/>
                      <w:sz w:val="21"/>
                      <w:szCs w:val="21"/>
                      <w:lang w:val="en-US" w:eastAsia="zh-CN"/>
                    </w:rPr>
                    <w:t>%</w:t>
                  </w:r>
                  <w:r>
                    <w:rPr>
                      <w:rFonts w:hint="eastAsia" w:cs="Times New Roman"/>
                      <w:color w:val="auto"/>
                      <w:kern w:val="0"/>
                      <w:sz w:val="21"/>
                      <w:szCs w:val="21"/>
                      <w:lang w:val="en-US" w:eastAsia="zh-CN"/>
                    </w:rPr>
                    <w:t>，磷酸锌</w:t>
                  </w:r>
                  <w:r>
                    <w:rPr>
                      <w:rFonts w:hint="default" w:ascii="Times New Roman" w:hAnsi="Times New Roman" w:cs="Times New Roman"/>
                      <w:color w:val="auto"/>
                      <w:kern w:val="0"/>
                      <w:sz w:val="21"/>
                      <w:szCs w:val="21"/>
                      <w:lang w:val="en-US" w:eastAsia="zh-CN"/>
                    </w:rPr>
                    <w:t>≤</w:t>
                  </w:r>
                  <w:r>
                    <w:rPr>
                      <w:rFonts w:hint="eastAsia" w:cs="Times New Roman"/>
                      <w:color w:val="auto"/>
                      <w:kern w:val="0"/>
                      <w:sz w:val="21"/>
                      <w:szCs w:val="21"/>
                      <w:lang w:val="en-US" w:eastAsia="zh-CN"/>
                    </w:rPr>
                    <w:t>1.2</w:t>
                  </w:r>
                  <w:r>
                    <w:rPr>
                      <w:rFonts w:hint="default" w:ascii="Times New Roman" w:hAnsi="Times New Roman" w:cs="Times New Roman"/>
                      <w:color w:val="auto"/>
                      <w:kern w:val="0"/>
                      <w:sz w:val="21"/>
                      <w:szCs w:val="21"/>
                      <w:lang w:val="en-US" w:eastAsia="zh-CN"/>
                    </w:rPr>
                    <w:t>%</w:t>
                  </w:r>
                  <w:r>
                    <w:rPr>
                      <w:rFonts w:hint="eastAsia" w:cs="Times New Roman"/>
                      <w:color w:val="auto"/>
                      <w:kern w:val="0"/>
                      <w:sz w:val="21"/>
                      <w:szCs w:val="21"/>
                      <w:lang w:val="en-US" w:eastAsia="zh-CN"/>
                    </w:rPr>
                    <w:t>，乙酸正丁酯</w:t>
                  </w:r>
                  <w:r>
                    <w:rPr>
                      <w:rFonts w:hint="default" w:ascii="Times New Roman" w:hAnsi="Times New Roman" w:cs="Times New Roman"/>
                      <w:color w:val="auto"/>
                      <w:kern w:val="0"/>
                      <w:sz w:val="21"/>
                      <w:szCs w:val="21"/>
                      <w:lang w:val="en-US" w:eastAsia="zh-CN"/>
                    </w:rPr>
                    <w:t>≤</w:t>
                  </w:r>
                  <w:r>
                    <w:rPr>
                      <w:rFonts w:hint="eastAsia" w:cs="Times New Roman"/>
                      <w:color w:val="auto"/>
                      <w:kern w:val="0"/>
                      <w:sz w:val="21"/>
                      <w:szCs w:val="21"/>
                      <w:lang w:val="en-US" w:eastAsia="zh-CN"/>
                    </w:rPr>
                    <w:t>1.4</w:t>
                  </w:r>
                  <w:r>
                    <w:rPr>
                      <w:rFonts w:hint="default" w:ascii="Times New Roman" w:hAnsi="Times New Roman" w:cs="Times New Roman"/>
                      <w:color w:val="auto"/>
                      <w:kern w:val="0"/>
                      <w:sz w:val="21"/>
                      <w:szCs w:val="21"/>
                      <w:lang w:val="en-US" w:eastAsia="zh-CN"/>
                    </w:rPr>
                    <w:t>%</w:t>
                  </w:r>
                  <w:r>
                    <w:rPr>
                      <w:rFonts w:hint="eastAsia" w:cs="Times New Roman"/>
                      <w:color w:val="auto"/>
                      <w:kern w:val="0"/>
                      <w:sz w:val="21"/>
                      <w:szCs w:val="21"/>
                      <w:lang w:val="en-US" w:eastAsia="zh-CN"/>
                    </w:rPr>
                    <w:t>，双（1,2,2,6,6-五甲基-4-哌啶基）葵二酸酯</w:t>
                  </w:r>
                  <w:r>
                    <w:rPr>
                      <w:rFonts w:hint="default" w:ascii="Times New Roman" w:hAnsi="Times New Roman" w:cs="Times New Roman"/>
                      <w:color w:val="auto"/>
                      <w:kern w:val="0"/>
                      <w:sz w:val="21"/>
                      <w:szCs w:val="21"/>
                      <w:lang w:val="en-US" w:eastAsia="zh-CN"/>
                    </w:rPr>
                    <w:t>≤</w:t>
                  </w:r>
                  <w:r>
                    <w:rPr>
                      <w:rFonts w:hint="eastAsia" w:cs="Times New Roman"/>
                      <w:color w:val="auto"/>
                      <w:kern w:val="0"/>
                      <w:sz w:val="21"/>
                      <w:szCs w:val="21"/>
                      <w:lang w:val="en-US" w:eastAsia="zh-CN"/>
                    </w:rPr>
                    <w:t>0.33</w:t>
                  </w:r>
                  <w:r>
                    <w:rPr>
                      <w:rFonts w:hint="default" w:ascii="Times New Roman" w:hAnsi="Times New Roman" w:cs="Times New Roman"/>
                      <w:color w:val="auto"/>
                      <w:kern w:val="0"/>
                      <w:sz w:val="21"/>
                      <w:szCs w:val="21"/>
                      <w:lang w:val="en-US" w:eastAsia="zh-CN"/>
                    </w:rPr>
                    <w:t>%</w:t>
                  </w:r>
                </w:p>
              </w:tc>
              <w:tc>
                <w:tcPr>
                  <w:tcW w:w="536" w:type="pct"/>
                  <w:tcBorders>
                    <w:tl2br w:val="nil"/>
                    <w:tr2bl w:val="nil"/>
                  </w:tcBorders>
                  <w:vAlign w:val="center"/>
                </w:tcPr>
                <w:p w14:paraId="33EEA8C8">
                  <w:pPr>
                    <w:adjustRightInd w:val="0"/>
                    <w:snapToGrid w:val="0"/>
                    <w:jc w:val="center"/>
                    <w:rPr>
                      <w:rFonts w:hint="default" w:ascii="Times New Roman" w:hAnsi="Times New Roman" w:eastAsia="宋体" w:cs="Times New Roman"/>
                      <w:snapToGrid w:val="0"/>
                      <w:color w:val="auto"/>
                      <w:kern w:val="0"/>
                      <w:sz w:val="21"/>
                      <w:szCs w:val="21"/>
                      <w:lang w:val="en-US" w:eastAsia="zh-CN" w:bidi="ar-SA"/>
                    </w:rPr>
                  </w:pPr>
                  <w:r>
                    <w:rPr>
                      <w:rFonts w:hint="eastAsia" w:cs="Times New Roman"/>
                      <w:color w:val="auto"/>
                      <w:kern w:val="0"/>
                      <w:sz w:val="21"/>
                      <w:szCs w:val="21"/>
                      <w:lang w:val="en-US" w:eastAsia="zh-CN"/>
                    </w:rPr>
                    <w:t>1.5</w:t>
                  </w:r>
                </w:p>
              </w:tc>
              <w:tc>
                <w:tcPr>
                  <w:tcW w:w="359" w:type="pct"/>
                  <w:tcBorders>
                    <w:tl2br w:val="nil"/>
                    <w:tr2bl w:val="nil"/>
                  </w:tcBorders>
                  <w:vAlign w:val="center"/>
                </w:tcPr>
                <w:p w14:paraId="57236497">
                  <w:pPr>
                    <w:adjustRightInd w:val="0"/>
                    <w:snapToGrid w:val="0"/>
                    <w:jc w:val="center"/>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液</w:t>
                  </w:r>
                </w:p>
              </w:tc>
              <w:tc>
                <w:tcPr>
                  <w:tcW w:w="544" w:type="pct"/>
                  <w:tcBorders>
                    <w:tl2br w:val="nil"/>
                    <w:tr2bl w:val="nil"/>
                  </w:tcBorders>
                  <w:vAlign w:val="center"/>
                </w:tcPr>
                <w:p w14:paraId="2BC498DC">
                  <w:pPr>
                    <w:adjustRightInd w:val="0"/>
                    <w:snapToGrid w:val="0"/>
                    <w:jc w:val="center"/>
                    <w:rPr>
                      <w:rFonts w:hint="default" w:ascii="Times New Roman" w:hAnsi="Times New Roman" w:cs="Times New Roman"/>
                      <w:color w:val="auto"/>
                      <w:kern w:val="0"/>
                      <w:sz w:val="21"/>
                      <w:szCs w:val="21"/>
                    </w:rPr>
                  </w:pPr>
                  <w:r>
                    <w:rPr>
                      <w:rFonts w:hint="eastAsia" w:cs="Times New Roman"/>
                      <w:color w:val="auto"/>
                      <w:kern w:val="0"/>
                      <w:sz w:val="21"/>
                      <w:szCs w:val="21"/>
                      <w:lang w:val="en-US" w:eastAsia="zh-CN"/>
                    </w:rPr>
                    <w:t>25</w:t>
                  </w:r>
                  <w:r>
                    <w:rPr>
                      <w:rFonts w:hint="default" w:ascii="Times New Roman" w:hAnsi="Times New Roman" w:cs="Times New Roman"/>
                      <w:color w:val="auto"/>
                      <w:kern w:val="0"/>
                      <w:sz w:val="21"/>
                      <w:szCs w:val="21"/>
                      <w:lang w:val="en-US" w:eastAsia="zh-CN"/>
                    </w:rPr>
                    <w:t>kg</w:t>
                  </w:r>
                  <w:r>
                    <w:rPr>
                      <w:rFonts w:hint="eastAsia" w:cs="Times New Roman"/>
                      <w:color w:val="auto"/>
                      <w:kern w:val="0"/>
                      <w:sz w:val="21"/>
                      <w:szCs w:val="21"/>
                      <w:lang w:val="en-US" w:eastAsia="zh-CN"/>
                    </w:rPr>
                    <w:t>/桶</w:t>
                  </w:r>
                </w:p>
              </w:tc>
              <w:tc>
                <w:tcPr>
                  <w:tcW w:w="479" w:type="pct"/>
                  <w:tcBorders>
                    <w:tl2br w:val="nil"/>
                    <w:tr2bl w:val="nil"/>
                  </w:tcBorders>
                  <w:vAlign w:val="center"/>
                </w:tcPr>
                <w:p w14:paraId="0B2E6AD4">
                  <w:pPr>
                    <w:adjustRightInd w:val="0"/>
                    <w:snapToGrid w:val="0"/>
                    <w:jc w:val="center"/>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0.25</w:t>
                  </w:r>
                </w:p>
              </w:tc>
            </w:tr>
            <w:tr w14:paraId="640D8E6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0" w:hRule="atLeast"/>
                <w:jc w:val="center"/>
              </w:trPr>
              <w:tc>
                <w:tcPr>
                  <w:tcW w:w="840" w:type="pct"/>
                  <w:tcBorders>
                    <w:tl2br w:val="nil"/>
                    <w:tr2bl w:val="nil"/>
                  </w:tcBorders>
                  <w:vAlign w:val="center"/>
                </w:tcPr>
                <w:p w14:paraId="43B8BEAA">
                  <w:pPr>
                    <w:adjustRightInd w:val="0"/>
                    <w:snapToGrid w:val="0"/>
                    <w:jc w:val="center"/>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固化剂</w:t>
                  </w:r>
                </w:p>
              </w:tc>
              <w:tc>
                <w:tcPr>
                  <w:tcW w:w="2240" w:type="pct"/>
                  <w:tcBorders>
                    <w:tl2br w:val="nil"/>
                    <w:tr2bl w:val="nil"/>
                  </w:tcBorders>
                  <w:vAlign w:val="center"/>
                </w:tcPr>
                <w:p w14:paraId="7D666C11">
                  <w:pPr>
                    <w:adjustRightInd w:val="0"/>
                    <w:snapToGrid w:val="0"/>
                    <w:jc w:val="center"/>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5%≤2,4,6-三（二甲基氨基甲基）≤10%，5%≤二甲苯≤10%，3%≤1-丁醇≤5%，</w:t>
                  </w:r>
                  <w:r>
                    <w:rPr>
                      <w:rFonts w:hint="eastAsia" w:cs="Times New Roman"/>
                      <w:color w:val="auto"/>
                      <w:kern w:val="0"/>
                      <w:sz w:val="21"/>
                      <w:szCs w:val="21"/>
                      <w:lang w:val="en-US" w:eastAsia="zh-CN"/>
                    </w:rPr>
                    <w:t>1</w:t>
                  </w:r>
                  <w:r>
                    <w:rPr>
                      <w:rFonts w:hint="default" w:ascii="Times New Roman" w:hAnsi="Times New Roman" w:cs="Times New Roman"/>
                      <w:color w:val="auto"/>
                      <w:kern w:val="0"/>
                      <w:sz w:val="21"/>
                      <w:szCs w:val="21"/>
                      <w:lang w:val="en-US" w:eastAsia="zh-CN"/>
                    </w:rPr>
                    <w:t>%≤</w:t>
                  </w:r>
                  <w:r>
                    <w:rPr>
                      <w:rFonts w:hint="eastAsia" w:cs="Times New Roman"/>
                      <w:color w:val="auto"/>
                      <w:kern w:val="0"/>
                      <w:sz w:val="21"/>
                      <w:szCs w:val="21"/>
                      <w:lang w:val="en-US" w:eastAsia="zh-CN"/>
                    </w:rPr>
                    <w:t>苯甲醇</w:t>
                  </w:r>
                  <w:r>
                    <w:rPr>
                      <w:rFonts w:hint="default" w:ascii="Times New Roman" w:hAnsi="Times New Roman" w:cs="Times New Roman"/>
                      <w:color w:val="auto"/>
                      <w:kern w:val="0"/>
                      <w:sz w:val="21"/>
                      <w:szCs w:val="21"/>
                      <w:lang w:val="en-US" w:eastAsia="zh-CN"/>
                    </w:rPr>
                    <w:t>≤</w:t>
                  </w:r>
                  <w:r>
                    <w:rPr>
                      <w:rFonts w:hint="eastAsia" w:cs="Times New Roman"/>
                      <w:color w:val="auto"/>
                      <w:kern w:val="0"/>
                      <w:sz w:val="21"/>
                      <w:szCs w:val="21"/>
                      <w:lang w:val="en-US" w:eastAsia="zh-CN"/>
                    </w:rPr>
                    <w:t>3</w:t>
                  </w:r>
                  <w:r>
                    <w:rPr>
                      <w:rFonts w:hint="default" w:ascii="Times New Roman" w:hAnsi="Times New Roman" w:cs="Times New Roman"/>
                      <w:color w:val="auto"/>
                      <w:kern w:val="0"/>
                      <w:sz w:val="21"/>
                      <w:szCs w:val="21"/>
                      <w:lang w:val="en-US" w:eastAsia="zh-CN"/>
                    </w:rPr>
                    <w:t>%，</w:t>
                  </w:r>
                  <w:r>
                    <w:rPr>
                      <w:rFonts w:hint="eastAsia" w:cs="Times New Roman"/>
                      <w:color w:val="auto"/>
                      <w:kern w:val="0"/>
                      <w:sz w:val="21"/>
                      <w:szCs w:val="21"/>
                      <w:lang w:val="en-US" w:eastAsia="zh-CN"/>
                    </w:rPr>
                    <w:t>1</w:t>
                  </w:r>
                  <w:r>
                    <w:rPr>
                      <w:rFonts w:hint="default" w:ascii="Times New Roman" w:hAnsi="Times New Roman" w:cs="Times New Roman"/>
                      <w:color w:val="auto"/>
                      <w:kern w:val="0"/>
                      <w:sz w:val="21"/>
                      <w:szCs w:val="21"/>
                      <w:lang w:val="en-US" w:eastAsia="zh-CN"/>
                    </w:rPr>
                    <w:t>%≤</w:t>
                  </w:r>
                  <w:r>
                    <w:rPr>
                      <w:rFonts w:hint="eastAsia" w:cs="Times New Roman"/>
                      <w:color w:val="auto"/>
                      <w:kern w:val="0"/>
                      <w:sz w:val="21"/>
                      <w:szCs w:val="21"/>
                      <w:lang w:val="en-US" w:eastAsia="zh-CN"/>
                    </w:rPr>
                    <w:t>乙苯</w:t>
                  </w:r>
                  <w:r>
                    <w:rPr>
                      <w:rFonts w:hint="default" w:ascii="Times New Roman" w:hAnsi="Times New Roman" w:cs="Times New Roman"/>
                      <w:color w:val="auto"/>
                      <w:kern w:val="0"/>
                      <w:sz w:val="21"/>
                      <w:szCs w:val="21"/>
                      <w:lang w:val="en-US" w:eastAsia="zh-CN"/>
                    </w:rPr>
                    <w:t>≤</w:t>
                  </w:r>
                  <w:r>
                    <w:rPr>
                      <w:rFonts w:hint="eastAsia" w:cs="Times New Roman"/>
                      <w:color w:val="auto"/>
                      <w:kern w:val="0"/>
                      <w:sz w:val="21"/>
                      <w:szCs w:val="21"/>
                      <w:lang w:val="en-US" w:eastAsia="zh-CN"/>
                    </w:rPr>
                    <w:t>3</w:t>
                  </w:r>
                  <w:r>
                    <w:rPr>
                      <w:rFonts w:hint="default" w:ascii="Times New Roman" w:hAnsi="Times New Roman" w:cs="Times New Roman"/>
                      <w:color w:val="auto"/>
                      <w:kern w:val="0"/>
                      <w:sz w:val="21"/>
                      <w:szCs w:val="21"/>
                      <w:lang w:val="en-US" w:eastAsia="zh-CN"/>
                    </w:rPr>
                    <w:t>%，</w:t>
                  </w:r>
                  <w:r>
                    <w:rPr>
                      <w:rFonts w:hint="eastAsia" w:cs="Times New Roman"/>
                      <w:color w:val="auto"/>
                      <w:kern w:val="0"/>
                      <w:sz w:val="21"/>
                      <w:szCs w:val="21"/>
                      <w:lang w:val="en-US" w:eastAsia="zh-CN"/>
                    </w:rPr>
                    <w:t>1</w:t>
                  </w:r>
                  <w:r>
                    <w:rPr>
                      <w:rFonts w:hint="default" w:ascii="Times New Roman" w:hAnsi="Times New Roman" w:cs="Times New Roman"/>
                      <w:color w:val="auto"/>
                      <w:kern w:val="0"/>
                      <w:sz w:val="21"/>
                      <w:szCs w:val="21"/>
                      <w:lang w:val="en-US" w:eastAsia="zh-CN"/>
                    </w:rPr>
                    <w:t>%≤</w:t>
                  </w:r>
                  <w:r>
                    <w:rPr>
                      <w:rFonts w:hint="eastAsia" w:cs="Times New Roman"/>
                      <w:color w:val="auto"/>
                      <w:kern w:val="0"/>
                      <w:sz w:val="21"/>
                      <w:szCs w:val="21"/>
                      <w:lang w:val="en-US" w:eastAsia="zh-CN"/>
                    </w:rPr>
                    <w:t>双[（甲基氨基）甲基]苯酚</w:t>
                  </w:r>
                  <w:r>
                    <w:rPr>
                      <w:rFonts w:hint="default" w:ascii="Times New Roman" w:hAnsi="Times New Roman" w:cs="Times New Roman"/>
                      <w:color w:val="auto"/>
                      <w:kern w:val="0"/>
                      <w:sz w:val="21"/>
                      <w:szCs w:val="21"/>
                      <w:lang w:val="en-US" w:eastAsia="zh-CN"/>
                    </w:rPr>
                    <w:t>≤</w:t>
                  </w:r>
                  <w:r>
                    <w:rPr>
                      <w:rFonts w:hint="eastAsia" w:cs="Times New Roman"/>
                      <w:color w:val="auto"/>
                      <w:kern w:val="0"/>
                      <w:sz w:val="21"/>
                      <w:szCs w:val="21"/>
                      <w:lang w:val="en-US" w:eastAsia="zh-CN"/>
                    </w:rPr>
                    <w:t>3</w:t>
                  </w:r>
                  <w:r>
                    <w:rPr>
                      <w:rFonts w:hint="default" w:ascii="Times New Roman" w:hAnsi="Times New Roman" w:cs="Times New Roman"/>
                      <w:color w:val="auto"/>
                      <w:kern w:val="0"/>
                      <w:sz w:val="21"/>
                      <w:szCs w:val="21"/>
                      <w:lang w:val="en-US" w:eastAsia="zh-CN"/>
                    </w:rPr>
                    <w:t>%，</w:t>
                  </w:r>
                  <w:r>
                    <w:rPr>
                      <w:rFonts w:hint="eastAsia" w:cs="Times New Roman"/>
                      <w:color w:val="auto"/>
                      <w:kern w:val="0"/>
                      <w:sz w:val="21"/>
                      <w:szCs w:val="21"/>
                      <w:lang w:val="en-US" w:eastAsia="zh-CN"/>
                    </w:rPr>
                    <w:t>1,2-二氨基乙烷＜1，2-羟基安息香酸＜1</w:t>
                  </w:r>
                </w:p>
              </w:tc>
              <w:tc>
                <w:tcPr>
                  <w:tcW w:w="536" w:type="pct"/>
                  <w:tcBorders>
                    <w:tl2br w:val="nil"/>
                    <w:tr2bl w:val="nil"/>
                  </w:tcBorders>
                  <w:vAlign w:val="center"/>
                </w:tcPr>
                <w:p w14:paraId="595FC172">
                  <w:pPr>
                    <w:adjustRightInd w:val="0"/>
                    <w:snapToGrid w:val="0"/>
                    <w:jc w:val="center"/>
                    <w:rPr>
                      <w:rFonts w:hint="default" w:ascii="Times New Roman" w:hAnsi="Times New Roman" w:cs="Times New Roman"/>
                      <w:color w:val="auto"/>
                      <w:kern w:val="0"/>
                      <w:sz w:val="21"/>
                      <w:szCs w:val="21"/>
                      <w:lang w:val="en-US" w:eastAsia="zh-CN"/>
                    </w:rPr>
                  </w:pPr>
                  <w:r>
                    <w:rPr>
                      <w:rFonts w:hint="eastAsia" w:cs="Times New Roman"/>
                      <w:color w:val="auto"/>
                      <w:kern w:val="0"/>
                      <w:sz w:val="21"/>
                      <w:szCs w:val="21"/>
                      <w:lang w:val="en-US" w:eastAsia="zh-CN"/>
                    </w:rPr>
                    <w:t>0.42</w:t>
                  </w:r>
                </w:p>
              </w:tc>
              <w:tc>
                <w:tcPr>
                  <w:tcW w:w="359" w:type="pct"/>
                  <w:tcBorders>
                    <w:tl2br w:val="nil"/>
                    <w:tr2bl w:val="nil"/>
                  </w:tcBorders>
                  <w:vAlign w:val="center"/>
                </w:tcPr>
                <w:p w14:paraId="57BFF081">
                  <w:pPr>
                    <w:adjustRightInd w:val="0"/>
                    <w:snapToGrid w:val="0"/>
                    <w:jc w:val="center"/>
                    <w:rPr>
                      <w:rFonts w:hint="default" w:ascii="Times New Roman" w:hAnsi="Times New Roman" w:cs="Times New Roman"/>
                      <w:color w:val="auto"/>
                      <w:kern w:val="0"/>
                      <w:sz w:val="21"/>
                      <w:szCs w:val="21"/>
                      <w:lang w:val="en-US" w:eastAsia="zh-CN"/>
                    </w:rPr>
                  </w:pPr>
                  <w:r>
                    <w:rPr>
                      <w:rFonts w:hint="eastAsia" w:cs="Times New Roman"/>
                      <w:color w:val="auto"/>
                      <w:kern w:val="0"/>
                      <w:sz w:val="21"/>
                      <w:szCs w:val="21"/>
                      <w:lang w:val="en-US" w:eastAsia="zh-CN"/>
                    </w:rPr>
                    <w:t>液</w:t>
                  </w:r>
                </w:p>
              </w:tc>
              <w:tc>
                <w:tcPr>
                  <w:tcW w:w="544" w:type="pct"/>
                  <w:tcBorders>
                    <w:tl2br w:val="nil"/>
                    <w:tr2bl w:val="nil"/>
                  </w:tcBorders>
                  <w:vAlign w:val="center"/>
                </w:tcPr>
                <w:p w14:paraId="101526E0">
                  <w:pPr>
                    <w:adjustRightInd w:val="0"/>
                    <w:snapToGrid w:val="0"/>
                    <w:jc w:val="center"/>
                    <w:rPr>
                      <w:rFonts w:hint="default" w:ascii="Times New Roman" w:hAnsi="Times New Roman" w:cs="Times New Roman"/>
                      <w:color w:val="auto"/>
                      <w:kern w:val="0"/>
                      <w:sz w:val="21"/>
                      <w:szCs w:val="21"/>
                      <w:lang w:val="en-US" w:eastAsia="zh-CN"/>
                    </w:rPr>
                  </w:pPr>
                  <w:r>
                    <w:rPr>
                      <w:rFonts w:hint="eastAsia" w:cs="Times New Roman"/>
                      <w:color w:val="auto"/>
                      <w:kern w:val="0"/>
                      <w:sz w:val="21"/>
                      <w:szCs w:val="21"/>
                      <w:lang w:val="en-US" w:eastAsia="zh-CN"/>
                    </w:rPr>
                    <w:t>25kg/桶</w:t>
                  </w:r>
                </w:p>
              </w:tc>
              <w:tc>
                <w:tcPr>
                  <w:tcW w:w="479" w:type="pct"/>
                  <w:tcBorders>
                    <w:tl2br w:val="nil"/>
                    <w:tr2bl w:val="nil"/>
                  </w:tcBorders>
                  <w:vAlign w:val="center"/>
                </w:tcPr>
                <w:p w14:paraId="42107E22">
                  <w:pPr>
                    <w:adjustRightInd w:val="0"/>
                    <w:snapToGrid w:val="0"/>
                    <w:jc w:val="center"/>
                    <w:rPr>
                      <w:rFonts w:hint="default" w:ascii="Times New Roman" w:hAnsi="Times New Roman" w:cs="Times New Roman"/>
                      <w:color w:val="auto"/>
                      <w:kern w:val="0"/>
                      <w:sz w:val="21"/>
                      <w:szCs w:val="21"/>
                      <w:lang w:val="en-US" w:eastAsia="zh-CN"/>
                    </w:rPr>
                  </w:pPr>
                  <w:r>
                    <w:rPr>
                      <w:rFonts w:hint="eastAsia" w:cs="Times New Roman"/>
                      <w:color w:val="auto"/>
                      <w:kern w:val="0"/>
                      <w:sz w:val="21"/>
                      <w:szCs w:val="21"/>
                      <w:lang w:val="en-US" w:eastAsia="zh-CN"/>
                    </w:rPr>
                    <w:t>0.2</w:t>
                  </w:r>
                </w:p>
              </w:tc>
            </w:tr>
            <w:tr w14:paraId="588A877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0" w:hRule="atLeast"/>
                <w:jc w:val="center"/>
              </w:trPr>
              <w:tc>
                <w:tcPr>
                  <w:tcW w:w="840" w:type="pct"/>
                  <w:tcBorders>
                    <w:tl2br w:val="nil"/>
                    <w:tr2bl w:val="nil"/>
                  </w:tcBorders>
                  <w:vAlign w:val="center"/>
                </w:tcPr>
                <w:p w14:paraId="62B52DB0">
                  <w:pPr>
                    <w:adjustRightInd w:val="0"/>
                    <w:snapToGrid w:val="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稀释剂</w:t>
                  </w:r>
                </w:p>
              </w:tc>
              <w:tc>
                <w:tcPr>
                  <w:tcW w:w="2240" w:type="pct"/>
                  <w:tcBorders>
                    <w:tl2br w:val="nil"/>
                    <w:tr2bl w:val="nil"/>
                  </w:tcBorders>
                  <w:vAlign w:val="center"/>
                </w:tcPr>
                <w:p w14:paraId="5FF7896F">
                  <w:pPr>
                    <w:adjustRightInd w:val="0"/>
                    <w:snapToGrid w:val="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50%≤二甲苯≤75%，10%≤1-丁醇≤25%，10%≤乙苯≤25%，3%≤石脑油≤5%，3%≤1,2,4-三甲苯≤5%，3%≤1,2,3-三甲苯≤2.9%</w:t>
                  </w:r>
                </w:p>
              </w:tc>
              <w:tc>
                <w:tcPr>
                  <w:tcW w:w="536" w:type="pct"/>
                  <w:tcBorders>
                    <w:tl2br w:val="nil"/>
                    <w:tr2bl w:val="nil"/>
                  </w:tcBorders>
                  <w:vAlign w:val="center"/>
                </w:tcPr>
                <w:p w14:paraId="542EBAA8">
                  <w:pPr>
                    <w:adjustRightInd w:val="0"/>
                    <w:snapToGrid w:val="0"/>
                    <w:jc w:val="center"/>
                    <w:rPr>
                      <w:rFonts w:hint="default" w:ascii="Times New Roman" w:hAnsi="Times New Roman" w:eastAsia="宋体" w:cs="Times New Roman"/>
                      <w:snapToGrid w:val="0"/>
                      <w:color w:val="auto"/>
                      <w:kern w:val="0"/>
                      <w:sz w:val="21"/>
                      <w:szCs w:val="21"/>
                      <w:lang w:val="en-US" w:eastAsia="zh-CN" w:bidi="ar-SA"/>
                    </w:rPr>
                  </w:pPr>
                  <w:r>
                    <w:rPr>
                      <w:rFonts w:hint="eastAsia" w:cs="Times New Roman"/>
                      <w:snapToGrid w:val="0"/>
                      <w:color w:val="auto"/>
                      <w:kern w:val="0"/>
                      <w:sz w:val="21"/>
                      <w:szCs w:val="21"/>
                      <w:lang w:val="en-US" w:eastAsia="zh-CN" w:bidi="ar-SA"/>
                    </w:rPr>
                    <w:t>0.4</w:t>
                  </w:r>
                </w:p>
              </w:tc>
              <w:tc>
                <w:tcPr>
                  <w:tcW w:w="359" w:type="pct"/>
                  <w:tcBorders>
                    <w:tl2br w:val="nil"/>
                    <w:tr2bl w:val="nil"/>
                  </w:tcBorders>
                  <w:vAlign w:val="center"/>
                </w:tcPr>
                <w:p w14:paraId="707ADAD9">
                  <w:pPr>
                    <w:adjustRightInd w:val="0"/>
                    <w:snapToGrid w:val="0"/>
                    <w:jc w:val="center"/>
                    <w:rPr>
                      <w:rFonts w:hint="eastAsia"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液</w:t>
                  </w:r>
                </w:p>
              </w:tc>
              <w:tc>
                <w:tcPr>
                  <w:tcW w:w="544" w:type="pct"/>
                  <w:tcBorders>
                    <w:tl2br w:val="nil"/>
                    <w:tr2bl w:val="nil"/>
                  </w:tcBorders>
                  <w:vAlign w:val="center"/>
                </w:tcPr>
                <w:p w14:paraId="43762546">
                  <w:pPr>
                    <w:adjustRightInd w:val="0"/>
                    <w:snapToGrid w:val="0"/>
                    <w:jc w:val="center"/>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25kg/桶</w:t>
                  </w:r>
                </w:p>
              </w:tc>
              <w:tc>
                <w:tcPr>
                  <w:tcW w:w="479" w:type="pct"/>
                  <w:tcBorders>
                    <w:tl2br w:val="nil"/>
                    <w:tr2bl w:val="nil"/>
                  </w:tcBorders>
                  <w:vAlign w:val="center"/>
                </w:tcPr>
                <w:p w14:paraId="32F080C7">
                  <w:pPr>
                    <w:adjustRightInd w:val="0"/>
                    <w:snapToGrid w:val="0"/>
                    <w:jc w:val="center"/>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0.05</w:t>
                  </w:r>
                </w:p>
              </w:tc>
            </w:tr>
            <w:tr w14:paraId="0D25331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0" w:hRule="atLeast"/>
                <w:jc w:val="center"/>
              </w:trPr>
              <w:tc>
                <w:tcPr>
                  <w:tcW w:w="840" w:type="pct"/>
                  <w:tcBorders>
                    <w:tl2br w:val="nil"/>
                    <w:tr2bl w:val="nil"/>
                  </w:tcBorders>
                  <w:vAlign w:val="center"/>
                </w:tcPr>
                <w:p w14:paraId="485595B1">
                  <w:pPr>
                    <w:adjustRightInd w:val="0"/>
                    <w:snapToGrid w:val="0"/>
                    <w:jc w:val="center"/>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水性环氧底漆</w:t>
                  </w:r>
                </w:p>
              </w:tc>
              <w:tc>
                <w:tcPr>
                  <w:tcW w:w="2240" w:type="pct"/>
                  <w:tcBorders>
                    <w:tl2br w:val="nil"/>
                    <w:tr2bl w:val="nil"/>
                  </w:tcBorders>
                  <w:vAlign w:val="center"/>
                </w:tcPr>
                <w:p w14:paraId="2B2973CD">
                  <w:pPr>
                    <w:adjustRightInd w:val="0"/>
                    <w:snapToGrid w:val="0"/>
                    <w:jc w:val="center"/>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5</w:t>
                  </w:r>
                  <w:r>
                    <w:rPr>
                      <w:rFonts w:hint="default" w:ascii="Times New Roman" w:hAnsi="Times New Roman" w:cs="Times New Roman"/>
                      <w:color w:val="auto"/>
                      <w:kern w:val="0"/>
                      <w:sz w:val="21"/>
                      <w:szCs w:val="21"/>
                      <w:lang w:val="en-US" w:eastAsia="zh-CN"/>
                    </w:rPr>
                    <w:t>%≤</w:t>
                  </w:r>
                  <w:r>
                    <w:rPr>
                      <w:rFonts w:hint="eastAsia" w:cs="Times New Roman"/>
                      <w:color w:val="auto"/>
                      <w:kern w:val="0"/>
                      <w:sz w:val="21"/>
                      <w:szCs w:val="21"/>
                      <w:lang w:val="en-US" w:eastAsia="zh-CN"/>
                    </w:rPr>
                    <w:t>脂肪族多胺</w:t>
                  </w:r>
                  <w:r>
                    <w:rPr>
                      <w:rFonts w:hint="default" w:ascii="Times New Roman" w:hAnsi="Times New Roman" w:cs="Times New Roman"/>
                      <w:color w:val="auto"/>
                      <w:kern w:val="0"/>
                      <w:sz w:val="21"/>
                      <w:szCs w:val="21"/>
                      <w:lang w:val="en-US" w:eastAsia="zh-CN"/>
                    </w:rPr>
                    <w:t>≤1</w:t>
                  </w:r>
                  <w:r>
                    <w:rPr>
                      <w:rFonts w:hint="eastAsia" w:cs="Times New Roman"/>
                      <w:color w:val="auto"/>
                      <w:kern w:val="0"/>
                      <w:sz w:val="21"/>
                      <w:szCs w:val="21"/>
                      <w:lang w:val="en-US" w:eastAsia="zh-CN"/>
                    </w:rPr>
                    <w:t>0</w:t>
                  </w:r>
                  <w:r>
                    <w:rPr>
                      <w:rFonts w:hint="default" w:ascii="Times New Roman" w:hAnsi="Times New Roman" w:cs="Times New Roman"/>
                      <w:color w:val="auto"/>
                      <w:kern w:val="0"/>
                      <w:sz w:val="21"/>
                      <w:szCs w:val="21"/>
                      <w:lang w:val="en-US" w:eastAsia="zh-CN"/>
                    </w:rPr>
                    <w:t>%</w:t>
                  </w:r>
                  <w:r>
                    <w:rPr>
                      <w:rFonts w:hint="eastAsia" w:cs="Times New Roman"/>
                      <w:color w:val="auto"/>
                      <w:kern w:val="0"/>
                      <w:sz w:val="21"/>
                      <w:szCs w:val="21"/>
                      <w:lang w:val="en-US" w:eastAsia="zh-CN"/>
                    </w:rPr>
                    <w:t>，1</w:t>
                  </w:r>
                  <w:r>
                    <w:rPr>
                      <w:rFonts w:hint="default" w:ascii="Times New Roman" w:hAnsi="Times New Roman" w:cs="Times New Roman"/>
                      <w:color w:val="auto"/>
                      <w:kern w:val="0"/>
                      <w:sz w:val="21"/>
                      <w:szCs w:val="21"/>
                      <w:lang w:val="en-US" w:eastAsia="zh-CN"/>
                    </w:rPr>
                    <w:t>%≤</w:t>
                  </w:r>
                  <w:r>
                    <w:rPr>
                      <w:rFonts w:hint="eastAsia" w:cs="Times New Roman"/>
                      <w:color w:val="auto"/>
                      <w:kern w:val="0"/>
                      <w:sz w:val="21"/>
                      <w:szCs w:val="21"/>
                      <w:lang w:val="en-US" w:eastAsia="zh-CN"/>
                    </w:rPr>
                    <w:t>2-丁氧基乙醇</w:t>
                  </w:r>
                  <w:r>
                    <w:rPr>
                      <w:rFonts w:hint="default" w:ascii="Times New Roman" w:hAnsi="Times New Roman" w:cs="Times New Roman"/>
                      <w:color w:val="auto"/>
                      <w:kern w:val="0"/>
                      <w:sz w:val="21"/>
                      <w:szCs w:val="21"/>
                      <w:lang w:val="en-US" w:eastAsia="zh-CN"/>
                    </w:rPr>
                    <w:t>≤</w:t>
                  </w:r>
                  <w:r>
                    <w:rPr>
                      <w:rFonts w:hint="eastAsia" w:cs="Times New Roman"/>
                      <w:color w:val="auto"/>
                      <w:kern w:val="0"/>
                      <w:sz w:val="21"/>
                      <w:szCs w:val="21"/>
                      <w:lang w:val="en-US" w:eastAsia="zh-CN"/>
                    </w:rPr>
                    <w:t>3</w:t>
                  </w:r>
                  <w:r>
                    <w:rPr>
                      <w:rFonts w:hint="default" w:ascii="Times New Roman" w:hAnsi="Times New Roman" w:cs="Times New Roman"/>
                      <w:color w:val="auto"/>
                      <w:kern w:val="0"/>
                      <w:sz w:val="21"/>
                      <w:szCs w:val="21"/>
                      <w:lang w:val="en-US" w:eastAsia="zh-CN"/>
                    </w:rPr>
                    <w:t>%</w:t>
                  </w:r>
                  <w:r>
                    <w:rPr>
                      <w:rFonts w:hint="eastAsia" w:cs="Times New Roman"/>
                      <w:color w:val="auto"/>
                      <w:kern w:val="0"/>
                      <w:sz w:val="21"/>
                      <w:szCs w:val="21"/>
                      <w:lang w:val="en-US" w:eastAsia="zh-CN"/>
                    </w:rPr>
                    <w:t>，3-氨基甲基-3,5,5-三甲基环己胺＜1</w:t>
                  </w:r>
                </w:p>
              </w:tc>
              <w:tc>
                <w:tcPr>
                  <w:tcW w:w="536" w:type="pct"/>
                  <w:tcBorders>
                    <w:tl2br w:val="nil"/>
                    <w:tr2bl w:val="nil"/>
                  </w:tcBorders>
                  <w:vAlign w:val="center"/>
                </w:tcPr>
                <w:p w14:paraId="050359DD">
                  <w:pPr>
                    <w:adjustRightInd w:val="0"/>
                    <w:snapToGrid w:val="0"/>
                    <w:jc w:val="center"/>
                    <w:rPr>
                      <w:rFonts w:hint="default" w:ascii="Times New Roman" w:hAnsi="Times New Roman" w:eastAsia="宋体" w:cs="Times New Roman"/>
                      <w:snapToGrid w:val="0"/>
                      <w:color w:val="auto"/>
                      <w:kern w:val="0"/>
                      <w:sz w:val="21"/>
                      <w:szCs w:val="21"/>
                      <w:lang w:val="en-US" w:eastAsia="zh-CN" w:bidi="ar-SA"/>
                    </w:rPr>
                  </w:pPr>
                  <w:r>
                    <w:rPr>
                      <w:rFonts w:hint="eastAsia" w:cs="Times New Roman"/>
                      <w:color w:val="auto"/>
                      <w:kern w:val="0"/>
                      <w:sz w:val="21"/>
                      <w:szCs w:val="21"/>
                      <w:lang w:val="en-US" w:eastAsia="zh-CN"/>
                    </w:rPr>
                    <w:t>3.5</w:t>
                  </w:r>
                </w:p>
              </w:tc>
              <w:tc>
                <w:tcPr>
                  <w:tcW w:w="359" w:type="pct"/>
                  <w:tcBorders>
                    <w:tl2br w:val="nil"/>
                    <w:tr2bl w:val="nil"/>
                  </w:tcBorders>
                  <w:vAlign w:val="center"/>
                </w:tcPr>
                <w:p w14:paraId="47062BAB">
                  <w:pPr>
                    <w:adjustRightInd w:val="0"/>
                    <w:snapToGrid w:val="0"/>
                    <w:jc w:val="center"/>
                    <w:rPr>
                      <w:rFonts w:hint="default" w:ascii="Times New Roman" w:hAnsi="Times New Roman" w:cs="Times New Roman"/>
                      <w:color w:val="auto"/>
                      <w:kern w:val="0"/>
                      <w:sz w:val="21"/>
                      <w:szCs w:val="21"/>
                    </w:rPr>
                  </w:pPr>
                  <w:r>
                    <w:rPr>
                      <w:rFonts w:hint="eastAsia" w:cs="Times New Roman"/>
                      <w:color w:val="auto"/>
                      <w:kern w:val="0"/>
                      <w:sz w:val="21"/>
                      <w:szCs w:val="21"/>
                      <w:lang w:val="en-US" w:eastAsia="zh-CN"/>
                    </w:rPr>
                    <w:t>液</w:t>
                  </w:r>
                </w:p>
              </w:tc>
              <w:tc>
                <w:tcPr>
                  <w:tcW w:w="544" w:type="pct"/>
                  <w:tcBorders>
                    <w:tl2br w:val="nil"/>
                    <w:tr2bl w:val="nil"/>
                  </w:tcBorders>
                  <w:vAlign w:val="center"/>
                </w:tcPr>
                <w:p w14:paraId="0BEA3DF8">
                  <w:pPr>
                    <w:adjustRightInd w:val="0"/>
                    <w:snapToGrid w:val="0"/>
                    <w:jc w:val="center"/>
                    <w:rPr>
                      <w:rFonts w:hint="default" w:ascii="Times New Roman" w:hAnsi="Times New Roman" w:cs="Times New Roman"/>
                      <w:color w:val="auto"/>
                      <w:kern w:val="0"/>
                      <w:sz w:val="21"/>
                      <w:szCs w:val="21"/>
                    </w:rPr>
                  </w:pPr>
                  <w:r>
                    <w:rPr>
                      <w:rFonts w:hint="eastAsia" w:cs="Times New Roman"/>
                      <w:color w:val="auto"/>
                      <w:kern w:val="0"/>
                      <w:sz w:val="21"/>
                      <w:szCs w:val="21"/>
                      <w:lang w:val="en-US" w:eastAsia="zh-CN"/>
                    </w:rPr>
                    <w:t>25</w:t>
                  </w:r>
                  <w:r>
                    <w:rPr>
                      <w:rFonts w:hint="default" w:ascii="Times New Roman" w:hAnsi="Times New Roman" w:cs="Times New Roman"/>
                      <w:color w:val="auto"/>
                      <w:kern w:val="0"/>
                      <w:sz w:val="21"/>
                      <w:szCs w:val="21"/>
                      <w:lang w:val="en-US" w:eastAsia="zh-CN"/>
                    </w:rPr>
                    <w:t>kg</w:t>
                  </w:r>
                  <w:r>
                    <w:rPr>
                      <w:rFonts w:hint="eastAsia" w:cs="Times New Roman"/>
                      <w:color w:val="auto"/>
                      <w:kern w:val="0"/>
                      <w:sz w:val="21"/>
                      <w:szCs w:val="21"/>
                      <w:lang w:val="en-US" w:eastAsia="zh-CN"/>
                    </w:rPr>
                    <w:t>/桶</w:t>
                  </w:r>
                </w:p>
              </w:tc>
              <w:tc>
                <w:tcPr>
                  <w:tcW w:w="479" w:type="pct"/>
                  <w:tcBorders>
                    <w:tl2br w:val="nil"/>
                    <w:tr2bl w:val="nil"/>
                  </w:tcBorders>
                  <w:vAlign w:val="center"/>
                </w:tcPr>
                <w:p w14:paraId="5381494D">
                  <w:pPr>
                    <w:adjustRightInd w:val="0"/>
                    <w:snapToGrid w:val="0"/>
                    <w:jc w:val="center"/>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1</w:t>
                  </w:r>
                </w:p>
              </w:tc>
            </w:tr>
            <w:tr w14:paraId="1413A6C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0" w:hRule="atLeast"/>
                <w:jc w:val="center"/>
              </w:trPr>
              <w:tc>
                <w:tcPr>
                  <w:tcW w:w="840" w:type="pct"/>
                  <w:tcBorders>
                    <w:tl2br w:val="nil"/>
                    <w:tr2bl w:val="nil"/>
                  </w:tcBorders>
                  <w:vAlign w:val="center"/>
                </w:tcPr>
                <w:p w14:paraId="52B18CE3">
                  <w:pPr>
                    <w:adjustRightInd w:val="0"/>
                    <w:snapToGrid w:val="0"/>
                    <w:jc w:val="center"/>
                    <w:rPr>
                      <w:rFonts w:hint="default" w:ascii="Times New Roman" w:hAnsi="Times New Roman" w:cs="Times New Roman"/>
                      <w:color w:val="auto"/>
                      <w:kern w:val="0"/>
                      <w:sz w:val="21"/>
                      <w:szCs w:val="21"/>
                    </w:rPr>
                  </w:pPr>
                  <w:r>
                    <w:rPr>
                      <w:rFonts w:hint="eastAsia" w:cs="Times New Roman"/>
                      <w:color w:val="auto"/>
                      <w:kern w:val="0"/>
                      <w:sz w:val="21"/>
                      <w:szCs w:val="21"/>
                      <w:lang w:val="en-US" w:eastAsia="zh-CN"/>
                    </w:rPr>
                    <w:t>水性聚氨酯面漆</w:t>
                  </w:r>
                </w:p>
              </w:tc>
              <w:tc>
                <w:tcPr>
                  <w:tcW w:w="2240" w:type="pct"/>
                  <w:tcBorders>
                    <w:tl2br w:val="nil"/>
                    <w:tr2bl w:val="nil"/>
                  </w:tcBorders>
                  <w:vAlign w:val="center"/>
                </w:tcPr>
                <w:p w14:paraId="3F720061">
                  <w:pPr>
                    <w:adjustRightInd w:val="0"/>
                    <w:snapToGrid w:val="0"/>
                    <w:jc w:val="center"/>
                    <w:rPr>
                      <w:rFonts w:hint="default" w:ascii="Times New Roman" w:hAnsi="Times New Roman" w:cs="Times New Roman"/>
                      <w:color w:val="auto"/>
                      <w:kern w:val="0"/>
                      <w:sz w:val="21"/>
                      <w:szCs w:val="21"/>
                      <w:lang w:val="en-US"/>
                    </w:rPr>
                  </w:pPr>
                  <w:r>
                    <w:rPr>
                      <w:rFonts w:hint="eastAsia" w:cs="Times New Roman"/>
                      <w:color w:val="auto"/>
                      <w:kern w:val="0"/>
                      <w:sz w:val="21"/>
                      <w:szCs w:val="21"/>
                      <w:lang w:val="en-US" w:eastAsia="zh-CN"/>
                    </w:rPr>
                    <w:t>1</w:t>
                  </w:r>
                  <w:r>
                    <w:rPr>
                      <w:rFonts w:hint="default" w:ascii="Times New Roman" w:hAnsi="Times New Roman" w:cs="Times New Roman"/>
                      <w:color w:val="auto"/>
                      <w:kern w:val="0"/>
                      <w:sz w:val="21"/>
                      <w:szCs w:val="21"/>
                      <w:lang w:val="en-US" w:eastAsia="zh-CN"/>
                    </w:rPr>
                    <w:t>%≤</w:t>
                  </w:r>
                  <w:r>
                    <w:rPr>
                      <w:rFonts w:hint="eastAsia" w:cs="Times New Roman"/>
                      <w:color w:val="auto"/>
                      <w:kern w:val="0"/>
                      <w:sz w:val="21"/>
                      <w:szCs w:val="21"/>
                      <w:lang w:val="en-US" w:eastAsia="zh-CN"/>
                    </w:rPr>
                    <w:t>2-丁氧基乙醇</w:t>
                  </w:r>
                  <w:r>
                    <w:rPr>
                      <w:rFonts w:hint="default" w:ascii="Times New Roman" w:hAnsi="Times New Roman" w:cs="Times New Roman"/>
                      <w:color w:val="auto"/>
                      <w:kern w:val="0"/>
                      <w:sz w:val="21"/>
                      <w:szCs w:val="21"/>
                      <w:lang w:val="en-US" w:eastAsia="zh-CN"/>
                    </w:rPr>
                    <w:t>≤</w:t>
                  </w:r>
                  <w:r>
                    <w:rPr>
                      <w:rFonts w:hint="eastAsia" w:cs="Times New Roman"/>
                      <w:color w:val="auto"/>
                      <w:kern w:val="0"/>
                      <w:sz w:val="21"/>
                      <w:szCs w:val="21"/>
                      <w:lang w:val="en-US" w:eastAsia="zh-CN"/>
                    </w:rPr>
                    <w:t>2.5</w:t>
                  </w:r>
                  <w:r>
                    <w:rPr>
                      <w:rFonts w:hint="default" w:ascii="Times New Roman" w:hAnsi="Times New Roman" w:cs="Times New Roman"/>
                      <w:color w:val="auto"/>
                      <w:kern w:val="0"/>
                      <w:sz w:val="21"/>
                      <w:szCs w:val="21"/>
                      <w:lang w:val="en-US" w:eastAsia="zh-CN"/>
                    </w:rPr>
                    <w:t>%</w:t>
                  </w:r>
                  <w:r>
                    <w:rPr>
                      <w:rFonts w:hint="eastAsia" w:cs="Times New Roman"/>
                      <w:color w:val="auto"/>
                      <w:kern w:val="0"/>
                      <w:sz w:val="21"/>
                      <w:szCs w:val="21"/>
                      <w:lang w:val="en-US" w:eastAsia="zh-CN"/>
                    </w:rPr>
                    <w:t>，1</w:t>
                  </w:r>
                  <w:r>
                    <w:rPr>
                      <w:rFonts w:hint="default" w:ascii="Times New Roman" w:hAnsi="Times New Roman" w:cs="Times New Roman"/>
                      <w:color w:val="auto"/>
                      <w:kern w:val="0"/>
                      <w:sz w:val="21"/>
                      <w:szCs w:val="21"/>
                      <w:lang w:val="en-US" w:eastAsia="zh-CN"/>
                    </w:rPr>
                    <w:t>%≤</w:t>
                  </w:r>
                  <w:r>
                    <w:rPr>
                      <w:rFonts w:hint="eastAsia" w:cs="Times New Roman"/>
                      <w:color w:val="auto"/>
                      <w:kern w:val="0"/>
                      <w:sz w:val="21"/>
                      <w:szCs w:val="21"/>
                      <w:lang w:val="en-US" w:eastAsia="zh-CN"/>
                    </w:rPr>
                    <w:t>石脑油＜2.5</w:t>
                  </w:r>
                  <w:r>
                    <w:rPr>
                      <w:rFonts w:hint="default" w:ascii="Times New Roman" w:hAnsi="Times New Roman" w:cs="Times New Roman"/>
                      <w:color w:val="auto"/>
                      <w:kern w:val="0"/>
                      <w:sz w:val="21"/>
                      <w:szCs w:val="21"/>
                      <w:lang w:val="en-US" w:eastAsia="zh-CN"/>
                    </w:rPr>
                    <w:t>%</w:t>
                  </w:r>
                  <w:r>
                    <w:rPr>
                      <w:rFonts w:hint="eastAsia" w:cs="Times New Roman"/>
                      <w:color w:val="auto"/>
                      <w:kern w:val="0"/>
                      <w:sz w:val="21"/>
                      <w:szCs w:val="21"/>
                      <w:lang w:val="en-US" w:eastAsia="zh-CN"/>
                    </w:rPr>
                    <w:t>，三羟甲基丙烷</w:t>
                  </w:r>
                  <w:r>
                    <w:rPr>
                      <w:rFonts w:hint="default" w:ascii="Times New Roman" w:hAnsi="Times New Roman" w:cs="Times New Roman"/>
                      <w:color w:val="auto"/>
                      <w:kern w:val="0"/>
                      <w:sz w:val="21"/>
                      <w:szCs w:val="21"/>
                      <w:lang w:val="en-US" w:eastAsia="zh-CN"/>
                    </w:rPr>
                    <w:t>≤</w:t>
                  </w:r>
                  <w:r>
                    <w:rPr>
                      <w:rFonts w:hint="eastAsia" w:cs="Times New Roman"/>
                      <w:color w:val="auto"/>
                      <w:kern w:val="0"/>
                      <w:sz w:val="21"/>
                      <w:szCs w:val="21"/>
                      <w:lang w:val="en-US" w:eastAsia="zh-CN"/>
                    </w:rPr>
                    <w:t>0.3</w:t>
                  </w:r>
                  <w:r>
                    <w:rPr>
                      <w:rFonts w:hint="default" w:ascii="Times New Roman" w:hAnsi="Times New Roman" w:cs="Times New Roman"/>
                      <w:color w:val="auto"/>
                      <w:kern w:val="0"/>
                      <w:sz w:val="21"/>
                      <w:szCs w:val="21"/>
                      <w:lang w:val="en-US" w:eastAsia="zh-CN"/>
                    </w:rPr>
                    <w:t>%</w:t>
                  </w:r>
                </w:p>
              </w:tc>
              <w:tc>
                <w:tcPr>
                  <w:tcW w:w="536" w:type="pct"/>
                  <w:tcBorders>
                    <w:tl2br w:val="nil"/>
                    <w:tr2bl w:val="nil"/>
                  </w:tcBorders>
                  <w:vAlign w:val="center"/>
                </w:tcPr>
                <w:p w14:paraId="7FC41B53">
                  <w:pPr>
                    <w:adjustRightInd w:val="0"/>
                    <w:snapToGrid w:val="0"/>
                    <w:jc w:val="center"/>
                    <w:rPr>
                      <w:rFonts w:hint="default" w:ascii="Times New Roman" w:hAnsi="Times New Roman" w:cs="Times New Roman"/>
                      <w:color w:val="auto"/>
                      <w:kern w:val="0"/>
                      <w:sz w:val="21"/>
                      <w:szCs w:val="21"/>
                    </w:rPr>
                  </w:pPr>
                  <w:r>
                    <w:rPr>
                      <w:rFonts w:hint="eastAsia" w:cs="Times New Roman"/>
                      <w:color w:val="auto"/>
                      <w:kern w:val="0"/>
                      <w:sz w:val="21"/>
                      <w:szCs w:val="21"/>
                      <w:lang w:val="en-US" w:eastAsia="zh-CN"/>
                    </w:rPr>
                    <w:t>3.5</w:t>
                  </w:r>
                </w:p>
              </w:tc>
              <w:tc>
                <w:tcPr>
                  <w:tcW w:w="359" w:type="pct"/>
                  <w:tcBorders>
                    <w:tl2br w:val="nil"/>
                    <w:tr2bl w:val="nil"/>
                  </w:tcBorders>
                  <w:vAlign w:val="center"/>
                </w:tcPr>
                <w:p w14:paraId="4D4F717F">
                  <w:pPr>
                    <w:adjustRightInd w:val="0"/>
                    <w:snapToGrid w:val="0"/>
                    <w:jc w:val="center"/>
                    <w:rPr>
                      <w:rFonts w:hint="default" w:ascii="Times New Roman" w:hAnsi="Times New Roman" w:cs="Times New Roman"/>
                      <w:color w:val="auto"/>
                      <w:kern w:val="0"/>
                      <w:sz w:val="21"/>
                      <w:szCs w:val="21"/>
                    </w:rPr>
                  </w:pPr>
                  <w:r>
                    <w:rPr>
                      <w:rFonts w:hint="eastAsia" w:cs="Times New Roman"/>
                      <w:color w:val="auto"/>
                      <w:kern w:val="0"/>
                      <w:sz w:val="21"/>
                      <w:szCs w:val="21"/>
                      <w:lang w:val="en-US" w:eastAsia="zh-CN"/>
                    </w:rPr>
                    <w:t>液</w:t>
                  </w:r>
                </w:p>
              </w:tc>
              <w:tc>
                <w:tcPr>
                  <w:tcW w:w="544" w:type="pct"/>
                  <w:tcBorders>
                    <w:tl2br w:val="nil"/>
                    <w:tr2bl w:val="nil"/>
                  </w:tcBorders>
                  <w:vAlign w:val="center"/>
                </w:tcPr>
                <w:p w14:paraId="3AA25E01">
                  <w:pPr>
                    <w:adjustRightInd w:val="0"/>
                    <w:snapToGrid w:val="0"/>
                    <w:jc w:val="center"/>
                    <w:rPr>
                      <w:rFonts w:hint="default" w:ascii="Times New Roman" w:hAnsi="Times New Roman" w:cs="Times New Roman"/>
                      <w:color w:val="auto"/>
                      <w:kern w:val="0"/>
                      <w:sz w:val="21"/>
                      <w:szCs w:val="21"/>
                    </w:rPr>
                  </w:pPr>
                  <w:r>
                    <w:rPr>
                      <w:rFonts w:hint="eastAsia" w:cs="Times New Roman"/>
                      <w:color w:val="auto"/>
                      <w:kern w:val="0"/>
                      <w:sz w:val="21"/>
                      <w:szCs w:val="21"/>
                      <w:lang w:val="en-US" w:eastAsia="zh-CN"/>
                    </w:rPr>
                    <w:t>25</w:t>
                  </w:r>
                  <w:r>
                    <w:rPr>
                      <w:rFonts w:hint="default" w:ascii="Times New Roman" w:hAnsi="Times New Roman" w:cs="Times New Roman"/>
                      <w:color w:val="auto"/>
                      <w:kern w:val="0"/>
                      <w:sz w:val="21"/>
                      <w:szCs w:val="21"/>
                      <w:lang w:val="en-US" w:eastAsia="zh-CN"/>
                    </w:rPr>
                    <w:t>kg</w:t>
                  </w:r>
                  <w:r>
                    <w:rPr>
                      <w:rFonts w:hint="eastAsia" w:cs="Times New Roman"/>
                      <w:color w:val="auto"/>
                      <w:kern w:val="0"/>
                      <w:sz w:val="21"/>
                      <w:szCs w:val="21"/>
                      <w:lang w:val="en-US" w:eastAsia="zh-CN"/>
                    </w:rPr>
                    <w:t>/桶</w:t>
                  </w:r>
                </w:p>
              </w:tc>
              <w:tc>
                <w:tcPr>
                  <w:tcW w:w="479" w:type="pct"/>
                  <w:tcBorders>
                    <w:tl2br w:val="nil"/>
                    <w:tr2bl w:val="nil"/>
                  </w:tcBorders>
                  <w:vAlign w:val="center"/>
                </w:tcPr>
                <w:p w14:paraId="73B8FF18">
                  <w:pPr>
                    <w:adjustRightInd w:val="0"/>
                    <w:snapToGrid w:val="0"/>
                    <w:jc w:val="center"/>
                    <w:rPr>
                      <w:rFonts w:hint="default" w:ascii="Times New Roman" w:hAnsi="Times New Roman" w:cs="Times New Roman"/>
                      <w:color w:val="auto"/>
                      <w:kern w:val="0"/>
                      <w:sz w:val="21"/>
                      <w:szCs w:val="21"/>
                    </w:rPr>
                  </w:pPr>
                  <w:r>
                    <w:rPr>
                      <w:rFonts w:hint="eastAsia" w:cs="Times New Roman"/>
                      <w:color w:val="auto"/>
                      <w:kern w:val="0"/>
                      <w:sz w:val="21"/>
                      <w:szCs w:val="21"/>
                      <w:lang w:val="en-US" w:eastAsia="zh-CN"/>
                    </w:rPr>
                    <w:t>1</w:t>
                  </w:r>
                </w:p>
              </w:tc>
            </w:tr>
            <w:tr w14:paraId="7A34BF47">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0" w:hRule="atLeast"/>
                <w:jc w:val="center"/>
              </w:trPr>
              <w:tc>
                <w:tcPr>
                  <w:tcW w:w="840" w:type="pct"/>
                  <w:tcBorders>
                    <w:tl2br w:val="nil"/>
                    <w:tr2bl w:val="nil"/>
                  </w:tcBorders>
                  <w:vAlign w:val="center"/>
                </w:tcPr>
                <w:p w14:paraId="7694882B">
                  <w:pPr>
                    <w:adjustRightInd w:val="0"/>
                    <w:snapToGrid w:val="0"/>
                    <w:jc w:val="center"/>
                    <w:rPr>
                      <w:rFonts w:hint="default" w:ascii="Times New Roman" w:hAnsi="Times New Roman" w:cs="Times New Roman"/>
                      <w:color w:val="auto"/>
                      <w:kern w:val="0"/>
                      <w:sz w:val="21"/>
                      <w:szCs w:val="21"/>
                      <w:lang w:val="en-US" w:eastAsia="zh-CN"/>
                    </w:rPr>
                  </w:pPr>
                  <w:r>
                    <w:rPr>
                      <w:rFonts w:hint="eastAsia" w:cs="Times New Roman"/>
                      <w:color w:val="auto"/>
                      <w:kern w:val="0"/>
                      <w:sz w:val="21"/>
                      <w:szCs w:val="21"/>
                      <w:lang w:val="en-US" w:eastAsia="zh-CN"/>
                    </w:rPr>
                    <w:t>防锈油</w:t>
                  </w:r>
                </w:p>
              </w:tc>
              <w:tc>
                <w:tcPr>
                  <w:tcW w:w="2240" w:type="pct"/>
                  <w:tcBorders>
                    <w:tl2br w:val="nil"/>
                    <w:tr2bl w:val="nil"/>
                  </w:tcBorders>
                  <w:vAlign w:val="center"/>
                </w:tcPr>
                <w:p w14:paraId="5200F154">
                  <w:pPr>
                    <w:adjustRightInd w:val="0"/>
                    <w:snapToGrid w:val="0"/>
                    <w:jc w:val="center"/>
                    <w:rPr>
                      <w:rFonts w:hint="default" w:ascii="Times New Roman" w:hAnsi="Times New Roman" w:cs="Times New Roman"/>
                      <w:color w:val="auto"/>
                      <w:kern w:val="0"/>
                      <w:sz w:val="21"/>
                      <w:szCs w:val="21"/>
                      <w:lang w:val="en-US" w:eastAsia="zh-CN"/>
                    </w:rPr>
                  </w:pPr>
                  <w:r>
                    <w:rPr>
                      <w:rFonts w:hint="eastAsia" w:cs="Times New Roman"/>
                      <w:color w:val="auto"/>
                      <w:kern w:val="0"/>
                      <w:sz w:val="21"/>
                      <w:szCs w:val="21"/>
                      <w:lang w:val="en-US" w:eastAsia="zh-CN"/>
                    </w:rPr>
                    <w:t>基础油70-95%，油溶性蚀缓剂5-20%，辅助添加剂0.5-10%</w:t>
                  </w:r>
                </w:p>
              </w:tc>
              <w:tc>
                <w:tcPr>
                  <w:tcW w:w="536" w:type="pct"/>
                  <w:tcBorders>
                    <w:tl2br w:val="nil"/>
                    <w:tr2bl w:val="nil"/>
                  </w:tcBorders>
                  <w:vAlign w:val="center"/>
                </w:tcPr>
                <w:p w14:paraId="41A62927">
                  <w:pPr>
                    <w:adjustRightInd w:val="0"/>
                    <w:snapToGrid w:val="0"/>
                    <w:jc w:val="center"/>
                    <w:rPr>
                      <w:rFonts w:hint="default" w:ascii="Times New Roman" w:hAnsi="Times New Roman" w:cs="Times New Roman"/>
                      <w:color w:val="auto"/>
                      <w:kern w:val="0"/>
                      <w:sz w:val="21"/>
                      <w:szCs w:val="21"/>
                      <w:lang w:val="en-US" w:eastAsia="zh-CN"/>
                    </w:rPr>
                  </w:pPr>
                  <w:r>
                    <w:rPr>
                      <w:rFonts w:hint="eastAsia" w:cs="Times New Roman"/>
                      <w:color w:val="auto"/>
                      <w:kern w:val="0"/>
                      <w:sz w:val="21"/>
                      <w:szCs w:val="21"/>
                      <w:lang w:val="en-US" w:eastAsia="zh-CN"/>
                    </w:rPr>
                    <w:t>1.8</w:t>
                  </w:r>
                </w:p>
              </w:tc>
              <w:tc>
                <w:tcPr>
                  <w:tcW w:w="359" w:type="pct"/>
                  <w:tcBorders>
                    <w:tl2br w:val="nil"/>
                    <w:tr2bl w:val="nil"/>
                  </w:tcBorders>
                  <w:vAlign w:val="center"/>
                </w:tcPr>
                <w:p w14:paraId="53C627BE">
                  <w:pPr>
                    <w:adjustRightInd w:val="0"/>
                    <w:snapToGrid w:val="0"/>
                    <w:jc w:val="center"/>
                    <w:rPr>
                      <w:rFonts w:hint="default" w:ascii="Times New Roman" w:hAnsi="Times New Roman" w:cs="Times New Roman"/>
                      <w:color w:val="auto"/>
                      <w:kern w:val="0"/>
                      <w:sz w:val="21"/>
                      <w:szCs w:val="21"/>
                      <w:lang w:val="en-US" w:eastAsia="zh-CN"/>
                    </w:rPr>
                  </w:pPr>
                  <w:r>
                    <w:rPr>
                      <w:rFonts w:hint="eastAsia" w:cs="Times New Roman"/>
                      <w:color w:val="auto"/>
                      <w:kern w:val="0"/>
                      <w:sz w:val="21"/>
                      <w:szCs w:val="21"/>
                      <w:lang w:val="en-US" w:eastAsia="zh-CN"/>
                    </w:rPr>
                    <w:t>液</w:t>
                  </w:r>
                </w:p>
              </w:tc>
              <w:tc>
                <w:tcPr>
                  <w:tcW w:w="544" w:type="pct"/>
                  <w:tcBorders>
                    <w:tl2br w:val="nil"/>
                    <w:tr2bl w:val="nil"/>
                  </w:tcBorders>
                  <w:vAlign w:val="center"/>
                </w:tcPr>
                <w:p w14:paraId="75B7E495">
                  <w:pPr>
                    <w:adjustRightInd w:val="0"/>
                    <w:snapToGrid w:val="0"/>
                    <w:jc w:val="center"/>
                    <w:rPr>
                      <w:rFonts w:hint="default" w:ascii="Times New Roman" w:hAnsi="Times New Roman" w:cs="Times New Roman"/>
                      <w:color w:val="auto"/>
                      <w:kern w:val="0"/>
                      <w:sz w:val="21"/>
                      <w:szCs w:val="21"/>
                      <w:lang w:val="en-US" w:eastAsia="zh-CN"/>
                    </w:rPr>
                  </w:pPr>
                  <w:r>
                    <w:rPr>
                      <w:rFonts w:hint="eastAsia" w:cs="Times New Roman"/>
                      <w:color w:val="auto"/>
                      <w:kern w:val="0"/>
                      <w:sz w:val="21"/>
                      <w:szCs w:val="21"/>
                      <w:lang w:val="en-US" w:eastAsia="zh-CN"/>
                    </w:rPr>
                    <w:t>15kg/桶</w:t>
                  </w:r>
                </w:p>
              </w:tc>
              <w:tc>
                <w:tcPr>
                  <w:tcW w:w="479" w:type="pct"/>
                  <w:tcBorders>
                    <w:tl2br w:val="nil"/>
                    <w:tr2bl w:val="nil"/>
                  </w:tcBorders>
                  <w:vAlign w:val="center"/>
                </w:tcPr>
                <w:p w14:paraId="423F7215">
                  <w:pPr>
                    <w:adjustRightInd w:val="0"/>
                    <w:snapToGrid w:val="0"/>
                    <w:jc w:val="center"/>
                    <w:rPr>
                      <w:rFonts w:hint="default" w:ascii="Times New Roman" w:hAnsi="Times New Roman" w:cs="Times New Roman"/>
                      <w:color w:val="auto"/>
                      <w:kern w:val="0"/>
                      <w:sz w:val="21"/>
                      <w:szCs w:val="21"/>
                      <w:lang w:val="en-US" w:eastAsia="zh-CN"/>
                    </w:rPr>
                  </w:pPr>
                  <w:r>
                    <w:rPr>
                      <w:rFonts w:hint="eastAsia" w:cs="Times New Roman"/>
                      <w:color w:val="auto"/>
                      <w:kern w:val="0"/>
                      <w:sz w:val="21"/>
                      <w:szCs w:val="21"/>
                      <w:lang w:val="en-US" w:eastAsia="zh-CN"/>
                    </w:rPr>
                    <w:t>0.6</w:t>
                  </w:r>
                </w:p>
              </w:tc>
            </w:tr>
            <w:tr w14:paraId="5ED78E9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0" w:hRule="atLeast"/>
                <w:jc w:val="center"/>
              </w:trPr>
              <w:tc>
                <w:tcPr>
                  <w:tcW w:w="840" w:type="pct"/>
                  <w:tcBorders>
                    <w:tl2br w:val="nil"/>
                    <w:tr2bl w:val="nil"/>
                  </w:tcBorders>
                  <w:vAlign w:val="center"/>
                </w:tcPr>
                <w:p w14:paraId="4A54CD8D">
                  <w:pPr>
                    <w:adjustRightInd w:val="0"/>
                    <w:snapToGrid w:val="0"/>
                    <w:jc w:val="center"/>
                    <w:rPr>
                      <w:rFonts w:hint="default" w:ascii="Times New Roman" w:hAnsi="Times New Roman" w:cs="Times New Roman"/>
                      <w:color w:val="auto"/>
                      <w:kern w:val="0"/>
                      <w:sz w:val="21"/>
                      <w:szCs w:val="21"/>
                      <w:lang w:val="en-US" w:eastAsia="zh-CN"/>
                    </w:rPr>
                  </w:pPr>
                  <w:r>
                    <w:rPr>
                      <w:rFonts w:hint="eastAsia" w:cs="Times New Roman"/>
                      <w:color w:val="auto"/>
                      <w:kern w:val="0"/>
                      <w:sz w:val="21"/>
                      <w:szCs w:val="21"/>
                      <w:lang w:val="en-US" w:eastAsia="zh-CN"/>
                    </w:rPr>
                    <w:t>切削液</w:t>
                  </w:r>
                </w:p>
              </w:tc>
              <w:tc>
                <w:tcPr>
                  <w:tcW w:w="2240" w:type="pct"/>
                  <w:tcBorders>
                    <w:tl2br w:val="nil"/>
                    <w:tr2bl w:val="nil"/>
                  </w:tcBorders>
                  <w:vAlign w:val="center"/>
                </w:tcPr>
                <w:p w14:paraId="09172713">
                  <w:pPr>
                    <w:adjustRightInd w:val="0"/>
                    <w:snapToGrid w:val="0"/>
                    <w:jc w:val="center"/>
                    <w:rPr>
                      <w:rFonts w:hint="default" w:ascii="Times New Roman" w:hAnsi="Times New Roman" w:cs="Times New Roman"/>
                      <w:color w:val="auto"/>
                      <w:kern w:val="0"/>
                      <w:sz w:val="21"/>
                      <w:szCs w:val="21"/>
                      <w:lang w:val="en-US" w:eastAsia="zh-CN"/>
                    </w:rPr>
                  </w:pPr>
                  <w:r>
                    <w:rPr>
                      <w:color w:val="auto"/>
                      <w:kern w:val="0"/>
                      <w:highlight w:val="none"/>
                    </w:rPr>
                    <w:t>矿物油35%，脂肪酸30%，极压剂20%，表面活性剂5%，防锈剂10%</w:t>
                  </w:r>
                </w:p>
              </w:tc>
              <w:tc>
                <w:tcPr>
                  <w:tcW w:w="536" w:type="pct"/>
                  <w:tcBorders>
                    <w:tl2br w:val="nil"/>
                    <w:tr2bl w:val="nil"/>
                  </w:tcBorders>
                  <w:vAlign w:val="center"/>
                </w:tcPr>
                <w:p w14:paraId="57617E10">
                  <w:pPr>
                    <w:adjustRightInd w:val="0"/>
                    <w:snapToGrid w:val="0"/>
                    <w:jc w:val="center"/>
                    <w:rPr>
                      <w:rFonts w:hint="default" w:ascii="Times New Roman" w:hAnsi="Times New Roman" w:cs="Times New Roman"/>
                      <w:color w:val="auto"/>
                      <w:kern w:val="0"/>
                      <w:sz w:val="21"/>
                      <w:szCs w:val="21"/>
                      <w:lang w:val="en-US" w:eastAsia="zh-CN"/>
                    </w:rPr>
                  </w:pPr>
                  <w:r>
                    <w:rPr>
                      <w:rFonts w:hint="eastAsia" w:cs="Times New Roman"/>
                      <w:color w:val="auto"/>
                      <w:kern w:val="0"/>
                      <w:sz w:val="21"/>
                      <w:szCs w:val="21"/>
                      <w:lang w:val="en-US" w:eastAsia="zh-CN"/>
                    </w:rPr>
                    <w:t>0.4</w:t>
                  </w:r>
                </w:p>
              </w:tc>
              <w:tc>
                <w:tcPr>
                  <w:tcW w:w="359" w:type="pct"/>
                  <w:tcBorders>
                    <w:tl2br w:val="nil"/>
                    <w:tr2bl w:val="nil"/>
                  </w:tcBorders>
                  <w:vAlign w:val="center"/>
                </w:tcPr>
                <w:p w14:paraId="3205B029">
                  <w:pPr>
                    <w:adjustRightInd w:val="0"/>
                    <w:snapToGrid w:val="0"/>
                    <w:jc w:val="center"/>
                    <w:rPr>
                      <w:rFonts w:hint="default" w:ascii="Times New Roman" w:hAnsi="Times New Roman" w:cs="Times New Roman"/>
                      <w:color w:val="auto"/>
                      <w:kern w:val="0"/>
                      <w:sz w:val="21"/>
                      <w:szCs w:val="21"/>
                      <w:lang w:val="en-US" w:eastAsia="zh-CN"/>
                    </w:rPr>
                  </w:pPr>
                  <w:r>
                    <w:rPr>
                      <w:rFonts w:hint="eastAsia" w:cs="Times New Roman"/>
                      <w:color w:val="auto"/>
                      <w:kern w:val="0"/>
                      <w:sz w:val="21"/>
                      <w:szCs w:val="21"/>
                      <w:lang w:val="en-US" w:eastAsia="zh-CN"/>
                    </w:rPr>
                    <w:t>液</w:t>
                  </w:r>
                </w:p>
              </w:tc>
              <w:tc>
                <w:tcPr>
                  <w:tcW w:w="544" w:type="pct"/>
                  <w:tcBorders>
                    <w:tl2br w:val="nil"/>
                    <w:tr2bl w:val="nil"/>
                  </w:tcBorders>
                  <w:vAlign w:val="center"/>
                </w:tcPr>
                <w:p w14:paraId="3A565959">
                  <w:pPr>
                    <w:adjustRightInd w:val="0"/>
                    <w:snapToGrid w:val="0"/>
                    <w:jc w:val="center"/>
                    <w:rPr>
                      <w:rFonts w:hint="default" w:ascii="Times New Roman" w:hAnsi="Times New Roman" w:cs="Times New Roman"/>
                      <w:color w:val="auto"/>
                      <w:kern w:val="0"/>
                      <w:sz w:val="21"/>
                      <w:szCs w:val="21"/>
                      <w:lang w:val="en-US" w:eastAsia="zh-CN"/>
                    </w:rPr>
                  </w:pPr>
                  <w:r>
                    <w:rPr>
                      <w:rFonts w:hint="eastAsia" w:cs="Times New Roman"/>
                      <w:color w:val="auto"/>
                      <w:kern w:val="0"/>
                      <w:sz w:val="21"/>
                      <w:szCs w:val="21"/>
                      <w:lang w:val="en-US" w:eastAsia="zh-CN"/>
                    </w:rPr>
                    <w:t>25kg/桶</w:t>
                  </w:r>
                </w:p>
              </w:tc>
              <w:tc>
                <w:tcPr>
                  <w:tcW w:w="479" w:type="pct"/>
                  <w:tcBorders>
                    <w:tl2br w:val="nil"/>
                    <w:tr2bl w:val="nil"/>
                  </w:tcBorders>
                  <w:vAlign w:val="center"/>
                </w:tcPr>
                <w:p w14:paraId="521AE557">
                  <w:pPr>
                    <w:adjustRightInd w:val="0"/>
                    <w:snapToGrid w:val="0"/>
                    <w:jc w:val="center"/>
                    <w:rPr>
                      <w:rFonts w:hint="default" w:ascii="Times New Roman" w:hAnsi="Times New Roman" w:cs="Times New Roman"/>
                      <w:color w:val="auto"/>
                      <w:kern w:val="0"/>
                      <w:sz w:val="21"/>
                      <w:szCs w:val="21"/>
                      <w:lang w:val="en-US" w:eastAsia="zh-CN"/>
                    </w:rPr>
                  </w:pPr>
                  <w:r>
                    <w:rPr>
                      <w:rFonts w:hint="eastAsia" w:cs="Times New Roman"/>
                      <w:color w:val="auto"/>
                      <w:kern w:val="0"/>
                      <w:sz w:val="21"/>
                      <w:szCs w:val="21"/>
                      <w:lang w:val="en-US" w:eastAsia="zh-CN"/>
                    </w:rPr>
                    <w:t>0.15</w:t>
                  </w:r>
                </w:p>
              </w:tc>
            </w:tr>
          </w:tbl>
          <w:p w14:paraId="74E1F44C">
            <w:pPr>
              <w:adjustRightInd w:val="0"/>
              <w:snapToGrid w:val="0"/>
              <w:jc w:val="center"/>
              <w:rPr>
                <w:rFonts w:cs="宋体"/>
                <w:b/>
                <w:color w:val="auto"/>
              </w:rPr>
            </w:pPr>
            <w:r>
              <w:rPr>
                <w:rFonts w:hint="eastAsia" w:cs="宋体"/>
                <w:b/>
                <w:color w:val="auto"/>
              </w:rPr>
              <w:t>表2-</w:t>
            </w:r>
            <w:r>
              <w:rPr>
                <w:rFonts w:hint="eastAsia" w:cs="宋体"/>
                <w:b/>
                <w:color w:val="auto"/>
                <w:lang w:val="en-US" w:eastAsia="zh-CN"/>
              </w:rPr>
              <w:t>5</w:t>
            </w:r>
            <w:r>
              <w:rPr>
                <w:rFonts w:hint="eastAsia" w:cs="宋体"/>
                <w:b/>
                <w:color w:val="auto"/>
              </w:rPr>
              <w:t xml:space="preserve">   原辅材料理化性质一览表</w:t>
            </w:r>
          </w:p>
          <w:tbl>
            <w:tblPr>
              <w:tblStyle w:val="59"/>
              <w:tblW w:w="4998"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28" w:type="dxa"/>
                <w:bottom w:w="0" w:type="dxa"/>
                <w:right w:w="28" w:type="dxa"/>
              </w:tblCellMar>
            </w:tblPr>
            <w:tblGrid>
              <w:gridCol w:w="1163"/>
              <w:gridCol w:w="4678"/>
              <w:gridCol w:w="1089"/>
              <w:gridCol w:w="1616"/>
            </w:tblGrid>
            <w:tr w14:paraId="5FDC633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28" w:type="dxa"/>
                  <w:bottom w:w="0" w:type="dxa"/>
                  <w:right w:w="28" w:type="dxa"/>
                </w:tblCellMar>
              </w:tblPrEx>
              <w:trPr>
                <w:trHeight w:val="517" w:hRule="atLeast"/>
                <w:jc w:val="center"/>
              </w:trPr>
              <w:tc>
                <w:tcPr>
                  <w:tcW w:w="680" w:type="pct"/>
                  <w:tcBorders>
                    <w:tl2br w:val="nil"/>
                    <w:tr2bl w:val="nil"/>
                  </w:tcBorders>
                  <w:vAlign w:val="center"/>
                </w:tcPr>
                <w:p w14:paraId="23159E07">
                  <w:pPr>
                    <w:pStyle w:val="707"/>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
                      <w:bCs/>
                      <w:color w:val="auto"/>
                      <w:spacing w:val="0"/>
                      <w:kern w:val="0"/>
                      <w:sz w:val="21"/>
                      <w:szCs w:val="21"/>
                    </w:rPr>
                  </w:pPr>
                  <w:r>
                    <w:rPr>
                      <w:rFonts w:hint="default" w:ascii="Times New Roman" w:hAnsi="Times New Roman" w:cs="Times New Roman"/>
                      <w:b/>
                      <w:bCs/>
                      <w:color w:val="auto"/>
                      <w:spacing w:val="0"/>
                      <w:kern w:val="0"/>
                      <w:sz w:val="21"/>
                      <w:szCs w:val="21"/>
                    </w:rPr>
                    <w:t>名称</w:t>
                  </w:r>
                </w:p>
              </w:tc>
              <w:tc>
                <w:tcPr>
                  <w:tcW w:w="2736" w:type="pct"/>
                  <w:tcBorders>
                    <w:tl2br w:val="nil"/>
                    <w:tr2bl w:val="nil"/>
                  </w:tcBorders>
                  <w:vAlign w:val="center"/>
                </w:tcPr>
                <w:p w14:paraId="17CA2125">
                  <w:pPr>
                    <w:pStyle w:val="707"/>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
                      <w:bCs/>
                      <w:color w:val="auto"/>
                      <w:spacing w:val="0"/>
                      <w:kern w:val="0"/>
                      <w:sz w:val="21"/>
                      <w:szCs w:val="21"/>
                    </w:rPr>
                  </w:pPr>
                  <w:r>
                    <w:rPr>
                      <w:rFonts w:hint="default" w:ascii="Times New Roman" w:hAnsi="Times New Roman" w:cs="Times New Roman"/>
                      <w:b/>
                      <w:bCs/>
                      <w:color w:val="auto"/>
                      <w:spacing w:val="0"/>
                      <w:kern w:val="0"/>
                      <w:sz w:val="21"/>
                      <w:szCs w:val="21"/>
                    </w:rPr>
                    <w:t>理化特性</w:t>
                  </w:r>
                </w:p>
              </w:tc>
              <w:tc>
                <w:tcPr>
                  <w:tcW w:w="637" w:type="pct"/>
                  <w:tcBorders>
                    <w:tl2br w:val="nil"/>
                    <w:tr2bl w:val="nil"/>
                  </w:tcBorders>
                  <w:vAlign w:val="center"/>
                </w:tcPr>
                <w:p w14:paraId="3BA5220E">
                  <w:pPr>
                    <w:pStyle w:val="707"/>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
                      <w:bCs/>
                      <w:color w:val="auto"/>
                      <w:spacing w:val="0"/>
                      <w:kern w:val="0"/>
                      <w:sz w:val="21"/>
                      <w:szCs w:val="21"/>
                    </w:rPr>
                  </w:pPr>
                  <w:r>
                    <w:rPr>
                      <w:rFonts w:hint="default" w:ascii="Times New Roman" w:hAnsi="Times New Roman" w:cs="Times New Roman"/>
                      <w:b/>
                      <w:bCs/>
                      <w:color w:val="auto"/>
                      <w:spacing w:val="0"/>
                      <w:kern w:val="0"/>
                      <w:sz w:val="21"/>
                      <w:szCs w:val="21"/>
                    </w:rPr>
                    <w:t>燃烧爆炸性</w:t>
                  </w:r>
                </w:p>
              </w:tc>
              <w:tc>
                <w:tcPr>
                  <w:tcW w:w="945" w:type="pct"/>
                  <w:tcBorders>
                    <w:tl2br w:val="nil"/>
                    <w:tr2bl w:val="nil"/>
                  </w:tcBorders>
                  <w:vAlign w:val="center"/>
                </w:tcPr>
                <w:p w14:paraId="3C4F44BB">
                  <w:pPr>
                    <w:pStyle w:val="707"/>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
                      <w:bCs/>
                      <w:color w:val="auto"/>
                      <w:spacing w:val="0"/>
                      <w:kern w:val="0"/>
                      <w:sz w:val="21"/>
                      <w:szCs w:val="21"/>
                    </w:rPr>
                  </w:pPr>
                  <w:r>
                    <w:rPr>
                      <w:rFonts w:hint="default" w:ascii="Times New Roman" w:hAnsi="Times New Roman" w:cs="Times New Roman"/>
                      <w:b/>
                      <w:bCs/>
                      <w:color w:val="auto"/>
                      <w:spacing w:val="0"/>
                      <w:kern w:val="0"/>
                      <w:sz w:val="21"/>
                      <w:szCs w:val="21"/>
                    </w:rPr>
                    <w:t>毒性毒理</w:t>
                  </w:r>
                </w:p>
              </w:tc>
            </w:tr>
            <w:tr w14:paraId="5BC2957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28" w:type="dxa"/>
                  <w:bottom w:w="0" w:type="dxa"/>
                  <w:right w:w="28" w:type="dxa"/>
                </w:tblCellMar>
              </w:tblPrEx>
              <w:trPr>
                <w:trHeight w:val="340" w:hRule="atLeast"/>
                <w:jc w:val="center"/>
              </w:trPr>
              <w:tc>
                <w:tcPr>
                  <w:tcW w:w="680" w:type="pct"/>
                  <w:tcBorders>
                    <w:tl2br w:val="nil"/>
                    <w:tr2bl w:val="nil"/>
                  </w:tcBorders>
                  <w:vAlign w:val="center"/>
                </w:tcPr>
                <w:p w14:paraId="42C7E6A2">
                  <w:pPr>
                    <w:pStyle w:val="707"/>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pacing w:val="0"/>
                      <w:kern w:val="0"/>
                      <w:sz w:val="21"/>
                      <w:szCs w:val="21"/>
                      <w:lang w:eastAsia="zh-CN"/>
                    </w:rPr>
                  </w:pPr>
                  <w:r>
                    <w:rPr>
                      <w:rFonts w:hint="default" w:ascii="Times New Roman" w:hAnsi="Times New Roman" w:cs="Times New Roman"/>
                      <w:color w:val="auto"/>
                      <w:kern w:val="0"/>
                      <w:sz w:val="21"/>
                      <w:szCs w:val="21"/>
                      <w:lang w:val="en-US" w:eastAsia="zh-CN"/>
                    </w:rPr>
                    <w:t>双酚A-（环氧氯丙烷）</w:t>
                  </w:r>
                </w:p>
              </w:tc>
              <w:tc>
                <w:tcPr>
                  <w:tcW w:w="2736" w:type="pct"/>
                  <w:tcBorders>
                    <w:tl2br w:val="nil"/>
                    <w:tr2bl w:val="nil"/>
                  </w:tcBorders>
                  <w:vAlign w:val="center"/>
                </w:tcPr>
                <w:p w14:paraId="63546602">
                  <w:pPr>
                    <w:pStyle w:val="707"/>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eastAsia="宋体" w:cs="Times New Roman"/>
                      <w:color w:val="auto"/>
                      <w:spacing w:val="0"/>
                      <w:kern w:val="0"/>
                      <w:sz w:val="21"/>
                      <w:szCs w:val="21"/>
                      <w:lang w:val="en-US" w:eastAsia="zh-CN"/>
                    </w:rPr>
                  </w:pPr>
                  <w:r>
                    <w:rPr>
                      <w:rFonts w:hint="default" w:ascii="Times New Roman" w:hAnsi="Times New Roman" w:cs="Times New Roman"/>
                      <w:color w:val="auto"/>
                      <w:spacing w:val="0"/>
                      <w:kern w:val="0"/>
                      <w:sz w:val="21"/>
                      <w:szCs w:val="21"/>
                      <w:lang w:val="en-US" w:eastAsia="zh-CN"/>
                    </w:rPr>
                    <w:t>透明的粘稠液体；熔点120-130℃；密度1.169 g/mL at 25°C；闪点113℃</w:t>
                  </w:r>
                </w:p>
              </w:tc>
              <w:tc>
                <w:tcPr>
                  <w:tcW w:w="637" w:type="pct"/>
                  <w:tcBorders>
                    <w:tl2br w:val="nil"/>
                    <w:tr2bl w:val="nil"/>
                  </w:tcBorders>
                  <w:vAlign w:val="center"/>
                </w:tcPr>
                <w:p w14:paraId="13E27BB7">
                  <w:pPr>
                    <w:pStyle w:val="707"/>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pacing w:val="0"/>
                      <w:kern w:val="0"/>
                      <w:sz w:val="21"/>
                      <w:szCs w:val="21"/>
                      <w:lang w:val="en-US" w:eastAsia="zh-CN"/>
                    </w:rPr>
                  </w:pPr>
                  <w:r>
                    <w:rPr>
                      <w:rFonts w:hint="default" w:ascii="Times New Roman" w:hAnsi="Times New Roman" w:cs="Times New Roman"/>
                      <w:color w:val="auto"/>
                      <w:spacing w:val="0"/>
                      <w:kern w:val="0"/>
                      <w:sz w:val="21"/>
                      <w:szCs w:val="21"/>
                      <w:lang w:val="en-US" w:eastAsia="zh-CN"/>
                    </w:rPr>
                    <w:t>无资料</w:t>
                  </w:r>
                </w:p>
              </w:tc>
              <w:tc>
                <w:tcPr>
                  <w:tcW w:w="945" w:type="pct"/>
                  <w:tcBorders>
                    <w:tl2br w:val="nil"/>
                    <w:tr2bl w:val="nil"/>
                  </w:tcBorders>
                  <w:vAlign w:val="center"/>
                </w:tcPr>
                <w:p w14:paraId="70D87F4A">
                  <w:pPr>
                    <w:pStyle w:val="707"/>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pacing w:val="0"/>
                      <w:kern w:val="0"/>
                      <w:sz w:val="21"/>
                      <w:szCs w:val="21"/>
                      <w:lang w:val="en-US" w:eastAsia="zh-CN"/>
                    </w:rPr>
                  </w:pPr>
                  <w:r>
                    <w:rPr>
                      <w:rFonts w:hint="default" w:ascii="Times New Roman" w:hAnsi="Times New Roman" w:cs="Times New Roman"/>
                      <w:color w:val="auto"/>
                      <w:spacing w:val="0"/>
                      <w:kern w:val="0"/>
                      <w:sz w:val="21"/>
                      <w:szCs w:val="21"/>
                      <w:lang w:val="en-US" w:eastAsia="zh-CN"/>
                    </w:rPr>
                    <w:t>无资料</w:t>
                  </w:r>
                </w:p>
              </w:tc>
            </w:tr>
            <w:tr w14:paraId="178C6F9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28" w:type="dxa"/>
                  <w:bottom w:w="0" w:type="dxa"/>
                  <w:right w:w="28" w:type="dxa"/>
                </w:tblCellMar>
              </w:tblPrEx>
              <w:trPr>
                <w:trHeight w:val="340" w:hRule="atLeast"/>
                <w:jc w:val="center"/>
              </w:trPr>
              <w:tc>
                <w:tcPr>
                  <w:tcW w:w="680" w:type="pct"/>
                  <w:tcBorders>
                    <w:tl2br w:val="nil"/>
                    <w:tr2bl w:val="nil"/>
                  </w:tcBorders>
                  <w:vAlign w:val="center"/>
                </w:tcPr>
                <w:p w14:paraId="4DDFAB4B">
                  <w:pPr>
                    <w:pStyle w:val="707"/>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pacing w:val="0"/>
                      <w:kern w:val="0"/>
                      <w:sz w:val="21"/>
                      <w:szCs w:val="21"/>
                      <w:lang w:val="en-US" w:eastAsia="zh-CN"/>
                    </w:rPr>
                  </w:pPr>
                  <w:r>
                    <w:rPr>
                      <w:rFonts w:hint="default" w:ascii="Times New Roman" w:hAnsi="Times New Roman" w:cs="Times New Roman"/>
                      <w:color w:val="auto"/>
                      <w:spacing w:val="0"/>
                      <w:kern w:val="0"/>
                      <w:sz w:val="21"/>
                      <w:szCs w:val="21"/>
                      <w:lang w:val="en-US" w:eastAsia="zh-CN"/>
                    </w:rPr>
                    <w:t>二甲苯</w:t>
                  </w:r>
                </w:p>
              </w:tc>
              <w:tc>
                <w:tcPr>
                  <w:tcW w:w="2736" w:type="pct"/>
                  <w:tcBorders>
                    <w:tl2br w:val="nil"/>
                    <w:tr2bl w:val="nil"/>
                  </w:tcBorders>
                  <w:vAlign w:val="center"/>
                </w:tcPr>
                <w:p w14:paraId="6EDC4D8F">
                  <w:pPr>
                    <w:pStyle w:val="707"/>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eastAsia="宋体" w:cs="Times New Roman"/>
                      <w:color w:val="auto"/>
                      <w:spacing w:val="0"/>
                      <w:kern w:val="0"/>
                      <w:sz w:val="21"/>
                      <w:szCs w:val="21"/>
                      <w:lang w:val="en-US" w:eastAsia="zh-CN"/>
                    </w:rPr>
                  </w:pPr>
                  <w:r>
                    <w:rPr>
                      <w:rFonts w:hint="default" w:ascii="Times New Roman" w:hAnsi="Times New Roman" w:cs="Times New Roman"/>
                      <w:color w:val="auto"/>
                      <w:spacing w:val="0"/>
                      <w:kern w:val="0"/>
                      <w:sz w:val="21"/>
                      <w:szCs w:val="21"/>
                      <w:lang w:val="en-US" w:eastAsia="zh-CN"/>
                    </w:rPr>
                    <w:t>无色透明有芳香味的液体；熔点-34℃；沸点137-140℃（lit.）；密度0.86g/mL at 25℃；闪点77℉（lit.）</w:t>
                  </w:r>
                </w:p>
              </w:tc>
              <w:tc>
                <w:tcPr>
                  <w:tcW w:w="637" w:type="pct"/>
                  <w:tcBorders>
                    <w:tl2br w:val="nil"/>
                    <w:tr2bl w:val="nil"/>
                  </w:tcBorders>
                  <w:vAlign w:val="center"/>
                </w:tcPr>
                <w:p w14:paraId="09188E69">
                  <w:pPr>
                    <w:pStyle w:val="707"/>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pacing w:val="0"/>
                      <w:kern w:val="0"/>
                      <w:sz w:val="21"/>
                      <w:szCs w:val="21"/>
                      <w:lang w:val="en-US" w:eastAsia="zh-CN"/>
                    </w:rPr>
                  </w:pPr>
                  <w:r>
                    <w:rPr>
                      <w:rFonts w:hint="default" w:ascii="Times New Roman" w:hAnsi="Times New Roman" w:cs="Times New Roman"/>
                      <w:color w:val="auto"/>
                      <w:spacing w:val="0"/>
                      <w:kern w:val="0"/>
                      <w:sz w:val="21"/>
                      <w:szCs w:val="21"/>
                      <w:lang w:val="en-US" w:eastAsia="zh-CN"/>
                    </w:rPr>
                    <w:t>易燃可爆</w:t>
                  </w:r>
                </w:p>
              </w:tc>
              <w:tc>
                <w:tcPr>
                  <w:tcW w:w="945" w:type="pct"/>
                  <w:tcBorders>
                    <w:tl2br w:val="nil"/>
                    <w:tr2bl w:val="nil"/>
                  </w:tcBorders>
                  <w:vAlign w:val="center"/>
                </w:tcPr>
                <w:p w14:paraId="79CEB951">
                  <w:pPr>
                    <w:pStyle w:val="707"/>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pacing w:val="0"/>
                      <w:kern w:val="0"/>
                      <w:sz w:val="21"/>
                      <w:szCs w:val="21"/>
                      <w:lang w:val="en-US" w:eastAsia="zh-CN"/>
                    </w:rPr>
                  </w:pPr>
                  <w:r>
                    <w:rPr>
                      <w:rFonts w:hint="default" w:ascii="Times New Roman" w:hAnsi="Times New Roman" w:cs="Times New Roman"/>
                      <w:color w:val="auto"/>
                      <w:spacing w:val="0"/>
                      <w:kern w:val="0"/>
                      <w:sz w:val="21"/>
                      <w:szCs w:val="21"/>
                      <w:lang w:val="en-US" w:eastAsia="zh-CN"/>
                    </w:rPr>
                    <w:t>LD</w:t>
                  </w:r>
                  <w:r>
                    <w:rPr>
                      <w:rFonts w:hint="default" w:ascii="Times New Roman" w:hAnsi="Times New Roman" w:cs="Times New Roman"/>
                      <w:color w:val="auto"/>
                      <w:spacing w:val="0"/>
                      <w:kern w:val="0"/>
                      <w:sz w:val="21"/>
                      <w:szCs w:val="21"/>
                      <w:vertAlign w:val="subscript"/>
                      <w:lang w:val="en-US" w:eastAsia="zh-CN"/>
                    </w:rPr>
                    <w:t>50</w:t>
                  </w:r>
                  <w:r>
                    <w:rPr>
                      <w:rFonts w:hint="default" w:ascii="Times New Roman" w:hAnsi="Times New Roman" w:cs="Times New Roman"/>
                      <w:color w:val="auto"/>
                      <w:spacing w:val="0"/>
                      <w:kern w:val="0"/>
                      <w:sz w:val="21"/>
                      <w:szCs w:val="21"/>
                      <w:lang w:val="en-US" w:eastAsia="zh-CN"/>
                    </w:rPr>
                    <w:t>：4300mg/kg（大鼠口服）</w:t>
                  </w:r>
                </w:p>
              </w:tc>
            </w:tr>
            <w:tr w14:paraId="115221C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28" w:type="dxa"/>
                  <w:bottom w:w="0" w:type="dxa"/>
                  <w:right w:w="28" w:type="dxa"/>
                </w:tblCellMar>
              </w:tblPrEx>
              <w:trPr>
                <w:trHeight w:val="340" w:hRule="atLeast"/>
                <w:jc w:val="center"/>
              </w:trPr>
              <w:tc>
                <w:tcPr>
                  <w:tcW w:w="680" w:type="pct"/>
                  <w:tcBorders>
                    <w:tl2br w:val="nil"/>
                    <w:tr2bl w:val="nil"/>
                  </w:tcBorders>
                  <w:vAlign w:val="center"/>
                </w:tcPr>
                <w:p w14:paraId="11D8A363">
                  <w:pPr>
                    <w:pStyle w:val="707"/>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pacing w:val="0"/>
                      <w:kern w:val="0"/>
                      <w:sz w:val="21"/>
                      <w:szCs w:val="21"/>
                      <w:lang w:val="en-US" w:eastAsia="zh-CN"/>
                    </w:rPr>
                  </w:pPr>
                  <w:r>
                    <w:rPr>
                      <w:rFonts w:hint="default" w:ascii="Times New Roman" w:hAnsi="Times New Roman" w:cs="Times New Roman"/>
                      <w:color w:val="auto"/>
                      <w:spacing w:val="0"/>
                      <w:kern w:val="0"/>
                      <w:sz w:val="21"/>
                      <w:szCs w:val="21"/>
                      <w:lang w:val="en-US" w:eastAsia="zh-CN"/>
                    </w:rPr>
                    <w:t>1-丁醇</w:t>
                  </w:r>
                </w:p>
              </w:tc>
              <w:tc>
                <w:tcPr>
                  <w:tcW w:w="2736" w:type="pct"/>
                  <w:tcBorders>
                    <w:tl2br w:val="nil"/>
                    <w:tr2bl w:val="nil"/>
                  </w:tcBorders>
                  <w:vAlign w:val="center"/>
                </w:tcPr>
                <w:p w14:paraId="10F05D51">
                  <w:pPr>
                    <w:pStyle w:val="707"/>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cs="Times New Roman"/>
                      <w:color w:val="auto"/>
                      <w:spacing w:val="0"/>
                      <w:kern w:val="0"/>
                      <w:sz w:val="21"/>
                      <w:szCs w:val="21"/>
                      <w:lang w:val="en-US" w:eastAsia="zh-CN"/>
                    </w:rPr>
                  </w:pPr>
                  <w:r>
                    <w:rPr>
                      <w:rFonts w:hint="default" w:ascii="Times New Roman" w:hAnsi="Times New Roman" w:cs="Times New Roman"/>
                      <w:color w:val="auto"/>
                      <w:spacing w:val="0"/>
                      <w:kern w:val="0"/>
                      <w:sz w:val="21"/>
                      <w:szCs w:val="21"/>
                      <w:lang w:val="en-US" w:eastAsia="zh-CN"/>
                    </w:rPr>
                    <w:t>无色透明液体，有酒味，微溶于水，溶于乙醇、醚、多数有机溶剂；熔点-89℃；沸点117.6℃；密度0.81g/mL at 25℃（lit.）；闪点95℉</w:t>
                  </w:r>
                </w:p>
              </w:tc>
              <w:tc>
                <w:tcPr>
                  <w:tcW w:w="637" w:type="pct"/>
                  <w:tcBorders>
                    <w:tl2br w:val="nil"/>
                    <w:tr2bl w:val="nil"/>
                  </w:tcBorders>
                  <w:vAlign w:val="center"/>
                </w:tcPr>
                <w:p w14:paraId="6BFE3A0C">
                  <w:pPr>
                    <w:pStyle w:val="707"/>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pacing w:val="0"/>
                      <w:kern w:val="0"/>
                      <w:sz w:val="21"/>
                      <w:szCs w:val="21"/>
                      <w:lang w:val="en-US" w:eastAsia="zh-CN"/>
                    </w:rPr>
                  </w:pPr>
                  <w:r>
                    <w:rPr>
                      <w:rFonts w:hint="default" w:ascii="Times New Roman" w:hAnsi="Times New Roman" w:cs="Times New Roman"/>
                      <w:color w:val="auto"/>
                      <w:spacing w:val="0"/>
                      <w:kern w:val="0"/>
                      <w:sz w:val="21"/>
                      <w:szCs w:val="21"/>
                      <w:lang w:val="en-US" w:eastAsia="zh-CN"/>
                    </w:rPr>
                    <w:t>易燃可爆</w:t>
                  </w:r>
                </w:p>
              </w:tc>
              <w:tc>
                <w:tcPr>
                  <w:tcW w:w="945" w:type="pct"/>
                  <w:tcBorders>
                    <w:tl2br w:val="nil"/>
                    <w:tr2bl w:val="nil"/>
                  </w:tcBorders>
                  <w:vAlign w:val="center"/>
                </w:tcPr>
                <w:p w14:paraId="3A1959A1">
                  <w:pPr>
                    <w:pStyle w:val="707"/>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pacing w:val="0"/>
                      <w:kern w:val="0"/>
                      <w:sz w:val="21"/>
                      <w:szCs w:val="21"/>
                      <w:lang w:val="en-US" w:eastAsia="zh-CN"/>
                    </w:rPr>
                  </w:pPr>
                  <w:r>
                    <w:rPr>
                      <w:rFonts w:hint="default" w:ascii="Times New Roman" w:hAnsi="Times New Roman" w:cs="Times New Roman"/>
                      <w:color w:val="auto"/>
                      <w:spacing w:val="0"/>
                      <w:kern w:val="0"/>
                      <w:sz w:val="21"/>
                      <w:szCs w:val="21"/>
                      <w:lang w:val="en-US" w:eastAsia="zh-CN"/>
                    </w:rPr>
                    <w:t>LD</w:t>
                  </w:r>
                  <w:r>
                    <w:rPr>
                      <w:rFonts w:hint="default" w:ascii="Times New Roman" w:hAnsi="Times New Roman" w:cs="Times New Roman"/>
                      <w:color w:val="auto"/>
                      <w:spacing w:val="0"/>
                      <w:kern w:val="0"/>
                      <w:sz w:val="21"/>
                      <w:szCs w:val="21"/>
                      <w:vertAlign w:val="subscript"/>
                      <w:lang w:val="en-US" w:eastAsia="zh-CN"/>
                    </w:rPr>
                    <w:t>50</w:t>
                  </w:r>
                  <w:r>
                    <w:rPr>
                      <w:rFonts w:hint="default" w:ascii="Times New Roman" w:hAnsi="Times New Roman" w:cs="Times New Roman"/>
                      <w:color w:val="auto"/>
                      <w:spacing w:val="0"/>
                      <w:kern w:val="0"/>
                      <w:sz w:val="21"/>
                      <w:szCs w:val="21"/>
                      <w:lang w:val="en-US" w:eastAsia="zh-CN"/>
                    </w:rPr>
                    <w:t>：790mg/kg（大鼠口服）</w:t>
                  </w:r>
                </w:p>
              </w:tc>
            </w:tr>
            <w:tr w14:paraId="0F23BE4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28" w:type="dxa"/>
                  <w:bottom w:w="0" w:type="dxa"/>
                  <w:right w:w="28" w:type="dxa"/>
                </w:tblCellMar>
              </w:tblPrEx>
              <w:trPr>
                <w:trHeight w:val="340" w:hRule="atLeast"/>
                <w:jc w:val="center"/>
              </w:trPr>
              <w:tc>
                <w:tcPr>
                  <w:tcW w:w="680" w:type="pct"/>
                  <w:tcBorders>
                    <w:tl2br w:val="nil"/>
                    <w:tr2bl w:val="nil"/>
                  </w:tcBorders>
                  <w:vAlign w:val="center"/>
                </w:tcPr>
                <w:p w14:paraId="3CC18C5A">
                  <w:pPr>
                    <w:pStyle w:val="707"/>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pacing w:val="0"/>
                      <w:kern w:val="0"/>
                      <w:sz w:val="21"/>
                      <w:szCs w:val="21"/>
                      <w:highlight w:val="none"/>
                      <w:lang w:val="en-US" w:eastAsia="zh-CN"/>
                    </w:rPr>
                  </w:pPr>
                  <w:r>
                    <w:rPr>
                      <w:rFonts w:hint="default" w:ascii="Times New Roman" w:hAnsi="Times New Roman" w:cs="Times New Roman"/>
                      <w:color w:val="auto"/>
                      <w:spacing w:val="0"/>
                      <w:kern w:val="0"/>
                      <w:sz w:val="21"/>
                      <w:szCs w:val="21"/>
                      <w:highlight w:val="none"/>
                      <w:lang w:val="en-US" w:eastAsia="zh-CN"/>
                    </w:rPr>
                    <w:t>乙苯</w:t>
                  </w:r>
                </w:p>
              </w:tc>
              <w:tc>
                <w:tcPr>
                  <w:tcW w:w="2736" w:type="pct"/>
                  <w:tcBorders>
                    <w:tl2br w:val="nil"/>
                    <w:tr2bl w:val="nil"/>
                  </w:tcBorders>
                  <w:vAlign w:val="center"/>
                </w:tcPr>
                <w:p w14:paraId="20055207">
                  <w:pPr>
                    <w:pStyle w:val="707"/>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eastAsia="宋体" w:cs="Times New Roman"/>
                      <w:color w:val="auto"/>
                      <w:spacing w:val="0"/>
                      <w:kern w:val="0"/>
                      <w:sz w:val="21"/>
                      <w:szCs w:val="21"/>
                      <w:highlight w:val="none"/>
                      <w:lang w:val="en-US" w:eastAsia="zh-CN"/>
                    </w:rPr>
                  </w:pPr>
                  <w:r>
                    <w:rPr>
                      <w:rFonts w:hint="default" w:ascii="Times New Roman" w:hAnsi="Times New Roman" w:cs="Times New Roman"/>
                      <w:color w:val="auto"/>
                      <w:spacing w:val="0"/>
                      <w:kern w:val="0"/>
                      <w:sz w:val="21"/>
                      <w:szCs w:val="21"/>
                      <w:highlight w:val="none"/>
                      <w:lang w:val="en-US" w:eastAsia="zh-CN"/>
                    </w:rPr>
                    <w:t>无色液体，有芳香气味，不溶于水，可混溶于乙醇、醚等多数有机溶剂；熔点-95℃（lit.）；沸点34.6℃（lit.）；密度0.867g/mL at 25℃（lit.）；闪点72℉</w:t>
                  </w:r>
                </w:p>
              </w:tc>
              <w:tc>
                <w:tcPr>
                  <w:tcW w:w="637" w:type="pct"/>
                  <w:tcBorders>
                    <w:tl2br w:val="nil"/>
                    <w:tr2bl w:val="nil"/>
                  </w:tcBorders>
                  <w:vAlign w:val="center"/>
                </w:tcPr>
                <w:p w14:paraId="097AA284">
                  <w:pPr>
                    <w:pStyle w:val="707"/>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pacing w:val="0"/>
                      <w:kern w:val="0"/>
                      <w:sz w:val="21"/>
                      <w:szCs w:val="21"/>
                      <w:highlight w:val="none"/>
                      <w:lang w:val="en-US" w:eastAsia="zh-CN"/>
                    </w:rPr>
                  </w:pPr>
                  <w:r>
                    <w:rPr>
                      <w:rFonts w:hint="default" w:ascii="Times New Roman" w:hAnsi="Times New Roman" w:cs="Times New Roman"/>
                      <w:color w:val="auto"/>
                      <w:spacing w:val="0"/>
                      <w:kern w:val="0"/>
                      <w:sz w:val="21"/>
                      <w:szCs w:val="21"/>
                      <w:highlight w:val="none"/>
                      <w:lang w:val="en-US" w:eastAsia="zh-CN"/>
                    </w:rPr>
                    <w:t>易燃可爆</w:t>
                  </w:r>
                </w:p>
              </w:tc>
              <w:tc>
                <w:tcPr>
                  <w:tcW w:w="945" w:type="pct"/>
                  <w:tcBorders>
                    <w:tl2br w:val="nil"/>
                    <w:tr2bl w:val="nil"/>
                  </w:tcBorders>
                  <w:vAlign w:val="center"/>
                </w:tcPr>
                <w:p w14:paraId="394DAF78">
                  <w:pPr>
                    <w:pStyle w:val="707"/>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pacing w:val="0"/>
                      <w:kern w:val="0"/>
                      <w:sz w:val="21"/>
                      <w:szCs w:val="21"/>
                      <w:highlight w:val="none"/>
                      <w:lang w:val="en-US" w:eastAsia="zh-CN"/>
                    </w:rPr>
                  </w:pPr>
                  <w:r>
                    <w:rPr>
                      <w:rFonts w:hint="default" w:ascii="Times New Roman" w:hAnsi="Times New Roman" w:cs="Times New Roman"/>
                      <w:color w:val="auto"/>
                      <w:spacing w:val="0"/>
                      <w:kern w:val="0"/>
                      <w:sz w:val="21"/>
                      <w:szCs w:val="21"/>
                      <w:lang w:val="en-US" w:eastAsia="zh-CN"/>
                    </w:rPr>
                    <w:t>LD</w:t>
                  </w:r>
                  <w:r>
                    <w:rPr>
                      <w:rFonts w:hint="default" w:ascii="Times New Roman" w:hAnsi="Times New Roman" w:cs="Times New Roman"/>
                      <w:color w:val="auto"/>
                      <w:spacing w:val="0"/>
                      <w:kern w:val="0"/>
                      <w:sz w:val="21"/>
                      <w:szCs w:val="21"/>
                      <w:vertAlign w:val="subscript"/>
                      <w:lang w:val="en-US" w:eastAsia="zh-CN"/>
                    </w:rPr>
                    <w:t>50</w:t>
                  </w:r>
                  <w:r>
                    <w:rPr>
                      <w:rFonts w:hint="default" w:ascii="Times New Roman" w:hAnsi="Times New Roman" w:cs="Times New Roman"/>
                      <w:color w:val="auto"/>
                      <w:spacing w:val="0"/>
                      <w:kern w:val="0"/>
                      <w:sz w:val="21"/>
                      <w:szCs w:val="21"/>
                      <w:lang w:val="en-US" w:eastAsia="zh-CN"/>
                    </w:rPr>
                    <w:t>：3500mg/kg（大鼠口服）</w:t>
                  </w:r>
                </w:p>
              </w:tc>
            </w:tr>
            <w:tr w14:paraId="689AA9C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28" w:type="dxa"/>
                  <w:bottom w:w="0" w:type="dxa"/>
                  <w:right w:w="28" w:type="dxa"/>
                </w:tblCellMar>
              </w:tblPrEx>
              <w:trPr>
                <w:trHeight w:val="340" w:hRule="atLeast"/>
                <w:jc w:val="center"/>
              </w:trPr>
              <w:tc>
                <w:tcPr>
                  <w:tcW w:w="680" w:type="pct"/>
                  <w:tcBorders>
                    <w:tl2br w:val="nil"/>
                    <w:tr2bl w:val="nil"/>
                  </w:tcBorders>
                  <w:vAlign w:val="center"/>
                </w:tcPr>
                <w:p w14:paraId="6F6AFC49">
                  <w:pPr>
                    <w:pStyle w:val="707"/>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pacing w:val="0"/>
                      <w:kern w:val="0"/>
                      <w:sz w:val="21"/>
                      <w:szCs w:val="21"/>
                      <w:highlight w:val="none"/>
                      <w:lang w:val="en-US" w:eastAsia="zh-CN"/>
                    </w:rPr>
                  </w:pPr>
                  <w:r>
                    <w:rPr>
                      <w:rFonts w:hint="default" w:ascii="Times New Roman" w:hAnsi="Times New Roman" w:cs="Times New Roman"/>
                      <w:color w:val="auto"/>
                      <w:kern w:val="0"/>
                      <w:sz w:val="21"/>
                      <w:szCs w:val="21"/>
                      <w:lang w:val="en-US" w:eastAsia="zh-CN"/>
                    </w:rPr>
                    <w:t>1-甲氧基-2-丙醇</w:t>
                  </w:r>
                </w:p>
              </w:tc>
              <w:tc>
                <w:tcPr>
                  <w:tcW w:w="2736" w:type="pct"/>
                  <w:tcBorders>
                    <w:tl2br w:val="nil"/>
                    <w:tr2bl w:val="nil"/>
                  </w:tcBorders>
                  <w:vAlign w:val="center"/>
                </w:tcPr>
                <w:p w14:paraId="7A6B3FD5">
                  <w:pPr>
                    <w:pStyle w:val="707"/>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eastAsia="宋体" w:cs="Times New Roman"/>
                      <w:color w:val="auto"/>
                      <w:spacing w:val="0"/>
                      <w:kern w:val="0"/>
                      <w:sz w:val="21"/>
                      <w:szCs w:val="21"/>
                      <w:highlight w:val="none"/>
                      <w:lang w:val="en-US" w:eastAsia="zh-CN"/>
                    </w:rPr>
                  </w:pPr>
                  <w:r>
                    <w:rPr>
                      <w:rFonts w:hint="default" w:ascii="Times New Roman" w:hAnsi="Times New Roman" w:cs="Times New Roman"/>
                      <w:color w:val="auto"/>
                      <w:spacing w:val="0"/>
                      <w:kern w:val="0"/>
                      <w:sz w:val="21"/>
                      <w:szCs w:val="21"/>
                      <w:highlight w:val="none"/>
                      <w:lang w:val="en-US" w:eastAsia="zh-CN"/>
                    </w:rPr>
                    <w:t>无色透明液体；熔点-97℃；沸点118℃；密度0.922g/mL（20/4℃）；闪点39℃</w:t>
                  </w:r>
                </w:p>
              </w:tc>
              <w:tc>
                <w:tcPr>
                  <w:tcW w:w="637" w:type="pct"/>
                  <w:tcBorders>
                    <w:tl2br w:val="nil"/>
                    <w:tr2bl w:val="nil"/>
                  </w:tcBorders>
                  <w:vAlign w:val="center"/>
                </w:tcPr>
                <w:p w14:paraId="0DE2745B">
                  <w:pPr>
                    <w:pStyle w:val="707"/>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pacing w:val="0"/>
                      <w:kern w:val="0"/>
                      <w:sz w:val="21"/>
                      <w:szCs w:val="21"/>
                      <w:highlight w:val="none"/>
                      <w:lang w:val="en-US" w:eastAsia="zh-CN"/>
                    </w:rPr>
                  </w:pPr>
                  <w:r>
                    <w:rPr>
                      <w:rFonts w:hint="default" w:ascii="Times New Roman" w:hAnsi="Times New Roman" w:cs="Times New Roman"/>
                      <w:color w:val="auto"/>
                      <w:spacing w:val="0"/>
                      <w:kern w:val="0"/>
                      <w:sz w:val="21"/>
                      <w:szCs w:val="21"/>
                      <w:highlight w:val="none"/>
                      <w:lang w:val="en-US" w:eastAsia="zh-CN"/>
                    </w:rPr>
                    <w:t>易燃</w:t>
                  </w:r>
                </w:p>
              </w:tc>
              <w:tc>
                <w:tcPr>
                  <w:tcW w:w="945" w:type="pct"/>
                  <w:tcBorders>
                    <w:tl2br w:val="nil"/>
                    <w:tr2bl w:val="nil"/>
                  </w:tcBorders>
                  <w:vAlign w:val="center"/>
                </w:tcPr>
                <w:p w14:paraId="63E6319C">
                  <w:pPr>
                    <w:pStyle w:val="707"/>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pacing w:val="0"/>
                      <w:kern w:val="0"/>
                      <w:sz w:val="21"/>
                      <w:szCs w:val="21"/>
                      <w:highlight w:val="none"/>
                    </w:rPr>
                  </w:pPr>
                  <w:r>
                    <w:rPr>
                      <w:rFonts w:hint="default" w:ascii="Times New Roman" w:hAnsi="Times New Roman" w:cs="Times New Roman"/>
                      <w:color w:val="auto"/>
                      <w:spacing w:val="0"/>
                      <w:kern w:val="0"/>
                      <w:sz w:val="21"/>
                      <w:szCs w:val="21"/>
                      <w:lang w:val="en-US" w:eastAsia="zh-CN"/>
                    </w:rPr>
                    <w:t>LD</w:t>
                  </w:r>
                  <w:r>
                    <w:rPr>
                      <w:rFonts w:hint="default" w:ascii="Times New Roman" w:hAnsi="Times New Roman" w:cs="Times New Roman"/>
                      <w:color w:val="auto"/>
                      <w:spacing w:val="0"/>
                      <w:kern w:val="0"/>
                      <w:sz w:val="21"/>
                      <w:szCs w:val="21"/>
                      <w:vertAlign w:val="subscript"/>
                      <w:lang w:val="en-US" w:eastAsia="zh-CN"/>
                    </w:rPr>
                    <w:t>50</w:t>
                  </w:r>
                  <w:r>
                    <w:rPr>
                      <w:rFonts w:hint="default" w:ascii="Times New Roman" w:hAnsi="Times New Roman" w:cs="Times New Roman"/>
                      <w:color w:val="auto"/>
                      <w:spacing w:val="0"/>
                      <w:kern w:val="0"/>
                      <w:sz w:val="21"/>
                      <w:szCs w:val="21"/>
                      <w:lang w:val="en-US" w:eastAsia="zh-CN"/>
                    </w:rPr>
                    <w:t>：6.6g/kg（大鼠口服）</w:t>
                  </w:r>
                </w:p>
              </w:tc>
            </w:tr>
            <w:tr w14:paraId="14DCE4D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28" w:type="dxa"/>
                  <w:bottom w:w="0" w:type="dxa"/>
                  <w:right w:w="28" w:type="dxa"/>
                </w:tblCellMar>
              </w:tblPrEx>
              <w:trPr>
                <w:trHeight w:val="340" w:hRule="atLeast"/>
                <w:jc w:val="center"/>
              </w:trPr>
              <w:tc>
                <w:tcPr>
                  <w:tcW w:w="680" w:type="pct"/>
                  <w:tcBorders>
                    <w:tl2br w:val="nil"/>
                    <w:tr2bl w:val="nil"/>
                  </w:tcBorders>
                  <w:vAlign w:val="center"/>
                </w:tcPr>
                <w:p w14:paraId="18C34C78">
                  <w:pPr>
                    <w:pStyle w:val="707"/>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石脑油</w:t>
                  </w:r>
                </w:p>
              </w:tc>
              <w:tc>
                <w:tcPr>
                  <w:tcW w:w="2736" w:type="pct"/>
                  <w:tcBorders>
                    <w:tl2br w:val="nil"/>
                    <w:tr2bl w:val="nil"/>
                  </w:tcBorders>
                  <w:vAlign w:val="center"/>
                </w:tcPr>
                <w:p w14:paraId="19546C71">
                  <w:pPr>
                    <w:pStyle w:val="707"/>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cs="Times New Roman"/>
                      <w:color w:val="auto"/>
                      <w:spacing w:val="0"/>
                      <w:kern w:val="0"/>
                      <w:sz w:val="21"/>
                      <w:szCs w:val="21"/>
                      <w:highlight w:val="none"/>
                      <w:lang w:val="en-US" w:eastAsia="zh-CN"/>
                    </w:rPr>
                  </w:pPr>
                  <w:r>
                    <w:rPr>
                      <w:rFonts w:hint="default" w:ascii="Times New Roman" w:hAnsi="Times New Roman" w:cs="Times New Roman"/>
                      <w:color w:val="auto"/>
                      <w:spacing w:val="0"/>
                      <w:kern w:val="0"/>
                      <w:sz w:val="21"/>
                      <w:szCs w:val="21"/>
                      <w:highlight w:val="none"/>
                      <w:lang w:val="en-US" w:eastAsia="zh-CN"/>
                    </w:rPr>
                    <w:t>常温、常压下为无色透明或微黄色液体，有特殊气味，不溶于水；沸点90-100℃；密度0.77g/mL at 20℃；闪点-57℉</w:t>
                  </w:r>
                </w:p>
              </w:tc>
              <w:tc>
                <w:tcPr>
                  <w:tcW w:w="637" w:type="pct"/>
                  <w:tcBorders>
                    <w:tl2br w:val="nil"/>
                    <w:tr2bl w:val="nil"/>
                  </w:tcBorders>
                  <w:shd w:val="clear" w:color="auto" w:fill="auto"/>
                  <w:vAlign w:val="center"/>
                </w:tcPr>
                <w:p w14:paraId="6A692DCD">
                  <w:pPr>
                    <w:pStyle w:val="707"/>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cs="Times New Roman"/>
                      <w:color w:val="auto"/>
                      <w:spacing w:val="0"/>
                      <w:kern w:val="0"/>
                      <w:sz w:val="21"/>
                      <w:szCs w:val="21"/>
                      <w:lang w:val="en-US" w:eastAsia="zh-CN"/>
                    </w:rPr>
                    <w:t>无资料</w:t>
                  </w:r>
                </w:p>
              </w:tc>
              <w:tc>
                <w:tcPr>
                  <w:tcW w:w="945" w:type="pct"/>
                  <w:tcBorders>
                    <w:tl2br w:val="nil"/>
                    <w:tr2bl w:val="nil"/>
                  </w:tcBorders>
                  <w:shd w:val="clear" w:color="auto" w:fill="auto"/>
                  <w:vAlign w:val="center"/>
                </w:tcPr>
                <w:p w14:paraId="0A3B37F2">
                  <w:pPr>
                    <w:pStyle w:val="707"/>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cs="Times New Roman"/>
                      <w:color w:val="auto"/>
                      <w:spacing w:val="0"/>
                      <w:kern w:val="0"/>
                      <w:sz w:val="21"/>
                      <w:szCs w:val="21"/>
                      <w:lang w:val="en-US" w:eastAsia="zh-CN"/>
                    </w:rPr>
                    <w:t>无资料</w:t>
                  </w:r>
                </w:p>
              </w:tc>
            </w:tr>
            <w:tr w14:paraId="780C23C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28" w:type="dxa"/>
                  <w:bottom w:w="0" w:type="dxa"/>
                  <w:right w:w="28" w:type="dxa"/>
                </w:tblCellMar>
              </w:tblPrEx>
              <w:trPr>
                <w:trHeight w:val="340" w:hRule="atLeast"/>
                <w:jc w:val="center"/>
              </w:trPr>
              <w:tc>
                <w:tcPr>
                  <w:tcW w:w="680" w:type="pct"/>
                  <w:tcBorders>
                    <w:tl2br w:val="nil"/>
                    <w:tr2bl w:val="nil"/>
                  </w:tcBorders>
                  <w:vAlign w:val="center"/>
                </w:tcPr>
                <w:p w14:paraId="1BF0A2D0">
                  <w:pPr>
                    <w:pStyle w:val="707"/>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三甲苯</w:t>
                  </w:r>
                </w:p>
              </w:tc>
              <w:tc>
                <w:tcPr>
                  <w:tcW w:w="2736" w:type="pct"/>
                  <w:tcBorders>
                    <w:tl2br w:val="nil"/>
                    <w:tr2bl w:val="nil"/>
                  </w:tcBorders>
                  <w:vAlign w:val="center"/>
                </w:tcPr>
                <w:p w14:paraId="5D80F81C">
                  <w:pPr>
                    <w:pStyle w:val="707"/>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cs="Times New Roman"/>
                      <w:color w:val="auto"/>
                      <w:spacing w:val="0"/>
                      <w:kern w:val="0"/>
                      <w:sz w:val="21"/>
                      <w:szCs w:val="21"/>
                      <w:highlight w:val="none"/>
                      <w:lang w:val="en-US" w:eastAsia="zh-CN"/>
                    </w:rPr>
                  </w:pPr>
                  <w:r>
                    <w:rPr>
                      <w:rFonts w:hint="default" w:ascii="Times New Roman" w:hAnsi="Times New Roman" w:cs="Times New Roman"/>
                      <w:color w:val="auto"/>
                      <w:spacing w:val="0"/>
                      <w:kern w:val="0"/>
                      <w:sz w:val="21"/>
                      <w:szCs w:val="21"/>
                      <w:highlight w:val="none"/>
                      <w:lang w:val="en-US" w:eastAsia="zh-CN"/>
                    </w:rPr>
                    <w:t>沸点176.8℃ at 760mmHg；密度0.869g/cm</w:t>
                  </w:r>
                  <w:r>
                    <w:rPr>
                      <w:rFonts w:hint="default" w:ascii="Times New Roman" w:hAnsi="Times New Roman" w:cs="Times New Roman"/>
                      <w:color w:val="auto"/>
                      <w:spacing w:val="0"/>
                      <w:kern w:val="0"/>
                      <w:sz w:val="21"/>
                      <w:szCs w:val="21"/>
                      <w:highlight w:val="none"/>
                      <w:vertAlign w:val="superscript"/>
                      <w:lang w:val="en-US" w:eastAsia="zh-CN"/>
                    </w:rPr>
                    <w:t>3</w:t>
                  </w:r>
                  <w:r>
                    <w:rPr>
                      <w:rFonts w:hint="default" w:ascii="Times New Roman" w:hAnsi="Times New Roman" w:cs="Times New Roman"/>
                      <w:color w:val="auto"/>
                      <w:spacing w:val="0"/>
                      <w:kern w:val="0"/>
                      <w:sz w:val="21"/>
                      <w:szCs w:val="21"/>
                      <w:highlight w:val="none"/>
                      <w:lang w:val="en-US" w:eastAsia="zh-CN"/>
                    </w:rPr>
                    <w:t>；闪点53.1℃</w:t>
                  </w:r>
                </w:p>
              </w:tc>
              <w:tc>
                <w:tcPr>
                  <w:tcW w:w="637" w:type="pct"/>
                  <w:tcBorders>
                    <w:tl2br w:val="nil"/>
                    <w:tr2bl w:val="nil"/>
                  </w:tcBorders>
                  <w:shd w:val="clear" w:color="auto" w:fill="auto"/>
                  <w:vAlign w:val="center"/>
                </w:tcPr>
                <w:p w14:paraId="4366CC12">
                  <w:pPr>
                    <w:pStyle w:val="707"/>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cs="Times New Roman"/>
                      <w:color w:val="auto"/>
                      <w:spacing w:val="0"/>
                      <w:kern w:val="0"/>
                      <w:sz w:val="21"/>
                      <w:szCs w:val="21"/>
                      <w:lang w:val="en-US" w:eastAsia="zh-CN"/>
                    </w:rPr>
                    <w:t>无资料</w:t>
                  </w:r>
                </w:p>
              </w:tc>
              <w:tc>
                <w:tcPr>
                  <w:tcW w:w="945" w:type="pct"/>
                  <w:tcBorders>
                    <w:tl2br w:val="nil"/>
                    <w:tr2bl w:val="nil"/>
                  </w:tcBorders>
                  <w:shd w:val="clear" w:color="auto" w:fill="auto"/>
                  <w:vAlign w:val="center"/>
                </w:tcPr>
                <w:p w14:paraId="790BC068">
                  <w:pPr>
                    <w:pStyle w:val="707"/>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cs="Times New Roman"/>
                      <w:color w:val="auto"/>
                      <w:spacing w:val="0"/>
                      <w:kern w:val="0"/>
                      <w:sz w:val="21"/>
                      <w:szCs w:val="21"/>
                      <w:lang w:val="en-US" w:eastAsia="zh-CN"/>
                    </w:rPr>
                    <w:t>无资料</w:t>
                  </w:r>
                </w:p>
              </w:tc>
            </w:tr>
            <w:tr w14:paraId="68B2474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28" w:type="dxa"/>
                  <w:bottom w:w="0" w:type="dxa"/>
                  <w:right w:w="28" w:type="dxa"/>
                </w:tblCellMar>
              </w:tblPrEx>
              <w:trPr>
                <w:trHeight w:val="340" w:hRule="atLeast"/>
                <w:jc w:val="center"/>
              </w:trPr>
              <w:tc>
                <w:tcPr>
                  <w:tcW w:w="680" w:type="pct"/>
                  <w:tcBorders>
                    <w:tl2br w:val="nil"/>
                    <w:tr2bl w:val="nil"/>
                  </w:tcBorders>
                  <w:vAlign w:val="center"/>
                </w:tcPr>
                <w:p w14:paraId="6F21DE36">
                  <w:pPr>
                    <w:pStyle w:val="707"/>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磷酸锌</w:t>
                  </w:r>
                </w:p>
              </w:tc>
              <w:tc>
                <w:tcPr>
                  <w:tcW w:w="2736" w:type="pct"/>
                  <w:tcBorders>
                    <w:tl2br w:val="nil"/>
                    <w:tr2bl w:val="nil"/>
                  </w:tcBorders>
                  <w:vAlign w:val="center"/>
                </w:tcPr>
                <w:p w14:paraId="182DC1AE">
                  <w:pPr>
                    <w:pStyle w:val="707"/>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cs="Times New Roman"/>
                      <w:color w:val="auto"/>
                      <w:spacing w:val="0"/>
                      <w:kern w:val="0"/>
                      <w:sz w:val="21"/>
                      <w:szCs w:val="21"/>
                      <w:highlight w:val="none"/>
                      <w:lang w:val="en-US" w:eastAsia="zh-CN"/>
                    </w:rPr>
                  </w:pPr>
                  <w:r>
                    <w:rPr>
                      <w:rFonts w:hint="default" w:ascii="Times New Roman" w:hAnsi="Times New Roman" w:cs="Times New Roman"/>
                      <w:color w:val="auto"/>
                      <w:spacing w:val="0"/>
                      <w:kern w:val="0"/>
                      <w:sz w:val="21"/>
                      <w:szCs w:val="21"/>
                      <w:highlight w:val="none"/>
                      <w:lang w:val="en-US" w:eastAsia="zh-CN"/>
                    </w:rPr>
                    <w:t>无色斜方晶系结晶或白色微晶粉末，溶于无机酸、氨水、铵盐溶液，不溶于乙醇，水中几乎不溶；熔点900℃（lit.）；密度4.0g/mL（lit.）；</w:t>
                  </w:r>
                </w:p>
              </w:tc>
              <w:tc>
                <w:tcPr>
                  <w:tcW w:w="637" w:type="pct"/>
                  <w:tcBorders>
                    <w:tl2br w:val="nil"/>
                    <w:tr2bl w:val="nil"/>
                  </w:tcBorders>
                  <w:shd w:val="clear" w:color="auto" w:fill="auto"/>
                  <w:vAlign w:val="center"/>
                </w:tcPr>
                <w:p w14:paraId="6EE17222">
                  <w:pPr>
                    <w:pStyle w:val="707"/>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cs="Times New Roman"/>
                      <w:color w:val="auto"/>
                      <w:spacing w:val="0"/>
                      <w:kern w:val="0"/>
                      <w:sz w:val="21"/>
                      <w:szCs w:val="21"/>
                      <w:lang w:val="en-US" w:eastAsia="zh-CN"/>
                    </w:rPr>
                    <w:t>无资料</w:t>
                  </w:r>
                </w:p>
              </w:tc>
              <w:tc>
                <w:tcPr>
                  <w:tcW w:w="945" w:type="pct"/>
                  <w:tcBorders>
                    <w:tl2br w:val="nil"/>
                    <w:tr2bl w:val="nil"/>
                  </w:tcBorders>
                  <w:shd w:val="clear" w:color="auto" w:fill="auto"/>
                  <w:vAlign w:val="center"/>
                </w:tcPr>
                <w:p w14:paraId="4FEE7B4A">
                  <w:pPr>
                    <w:pStyle w:val="707"/>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pacing w:val="0"/>
                      <w:kern w:val="0"/>
                      <w:sz w:val="21"/>
                      <w:szCs w:val="21"/>
                      <w:lang w:val="en-US" w:eastAsia="zh-CN" w:bidi="ar-SA"/>
                    </w:rPr>
                  </w:pPr>
                  <w:r>
                    <w:rPr>
                      <w:rFonts w:hint="default" w:ascii="Times New Roman" w:hAnsi="Times New Roman" w:cs="Times New Roman"/>
                      <w:color w:val="auto"/>
                      <w:spacing w:val="0"/>
                      <w:kern w:val="0"/>
                      <w:sz w:val="21"/>
                      <w:szCs w:val="21"/>
                      <w:lang w:val="en-US" w:eastAsia="zh-CN"/>
                    </w:rPr>
                    <w:t>无资料</w:t>
                  </w:r>
                </w:p>
              </w:tc>
            </w:tr>
            <w:tr w14:paraId="2159406F">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28" w:type="dxa"/>
                  <w:bottom w:w="0" w:type="dxa"/>
                  <w:right w:w="28" w:type="dxa"/>
                </w:tblCellMar>
              </w:tblPrEx>
              <w:trPr>
                <w:trHeight w:val="340" w:hRule="atLeast"/>
                <w:jc w:val="center"/>
              </w:trPr>
              <w:tc>
                <w:tcPr>
                  <w:tcW w:w="680" w:type="pct"/>
                  <w:tcBorders>
                    <w:tl2br w:val="nil"/>
                    <w:tr2bl w:val="nil"/>
                  </w:tcBorders>
                  <w:vAlign w:val="center"/>
                </w:tcPr>
                <w:p w14:paraId="1D194A8F">
                  <w:pPr>
                    <w:pStyle w:val="707"/>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乙酸正丁酯</w:t>
                  </w:r>
                </w:p>
              </w:tc>
              <w:tc>
                <w:tcPr>
                  <w:tcW w:w="2736" w:type="pct"/>
                  <w:tcBorders>
                    <w:tl2br w:val="nil"/>
                    <w:tr2bl w:val="nil"/>
                  </w:tcBorders>
                  <w:vAlign w:val="center"/>
                </w:tcPr>
                <w:p w14:paraId="0E914D54">
                  <w:pPr>
                    <w:pStyle w:val="707"/>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cs="Times New Roman"/>
                      <w:color w:val="auto"/>
                      <w:spacing w:val="0"/>
                      <w:kern w:val="0"/>
                      <w:sz w:val="21"/>
                      <w:szCs w:val="21"/>
                      <w:highlight w:val="none"/>
                      <w:lang w:val="en-US" w:eastAsia="zh-CN"/>
                    </w:rPr>
                  </w:pPr>
                  <w:r>
                    <w:rPr>
                      <w:rFonts w:hint="default" w:ascii="Times New Roman" w:hAnsi="Times New Roman" w:cs="Times New Roman"/>
                      <w:color w:val="auto"/>
                      <w:spacing w:val="0"/>
                      <w:kern w:val="0"/>
                      <w:sz w:val="21"/>
                      <w:szCs w:val="21"/>
                      <w:highlight w:val="none"/>
                      <w:lang w:val="en-US" w:eastAsia="zh-CN"/>
                    </w:rPr>
                    <w:t>无色透明液体，有水果香气；熔点-78℃（lit.）；沸点124-126℃（lit.）；密度0.88g/mL at 25℃（lit.）；闪点74℉</w:t>
                  </w:r>
                </w:p>
              </w:tc>
              <w:tc>
                <w:tcPr>
                  <w:tcW w:w="637" w:type="pct"/>
                  <w:tcBorders>
                    <w:tl2br w:val="nil"/>
                    <w:tr2bl w:val="nil"/>
                  </w:tcBorders>
                  <w:vAlign w:val="center"/>
                </w:tcPr>
                <w:p w14:paraId="4FF0F8AD">
                  <w:pPr>
                    <w:pStyle w:val="707"/>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pacing w:val="0"/>
                      <w:kern w:val="0"/>
                      <w:sz w:val="21"/>
                      <w:szCs w:val="21"/>
                      <w:highlight w:val="none"/>
                      <w:lang w:val="en-US" w:eastAsia="zh-CN"/>
                    </w:rPr>
                  </w:pPr>
                  <w:r>
                    <w:rPr>
                      <w:rFonts w:hint="default" w:ascii="Times New Roman" w:hAnsi="Times New Roman" w:cs="Times New Roman"/>
                      <w:color w:val="auto"/>
                      <w:spacing w:val="0"/>
                      <w:kern w:val="0"/>
                      <w:sz w:val="21"/>
                      <w:szCs w:val="21"/>
                      <w:highlight w:val="none"/>
                      <w:lang w:val="en-US" w:eastAsia="zh-CN"/>
                    </w:rPr>
                    <w:t>易燃可爆</w:t>
                  </w:r>
                </w:p>
              </w:tc>
              <w:tc>
                <w:tcPr>
                  <w:tcW w:w="945" w:type="pct"/>
                  <w:tcBorders>
                    <w:tl2br w:val="nil"/>
                    <w:tr2bl w:val="nil"/>
                  </w:tcBorders>
                  <w:vAlign w:val="center"/>
                </w:tcPr>
                <w:p w14:paraId="42E2ED57">
                  <w:pPr>
                    <w:pStyle w:val="707"/>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pacing w:val="0"/>
                      <w:kern w:val="0"/>
                      <w:sz w:val="21"/>
                      <w:szCs w:val="21"/>
                      <w:lang w:val="en-US" w:eastAsia="zh-CN"/>
                    </w:rPr>
                  </w:pPr>
                  <w:r>
                    <w:rPr>
                      <w:rFonts w:hint="default" w:ascii="Times New Roman" w:hAnsi="Times New Roman" w:cs="Times New Roman"/>
                      <w:color w:val="auto"/>
                      <w:spacing w:val="0"/>
                      <w:kern w:val="0"/>
                      <w:sz w:val="21"/>
                      <w:szCs w:val="21"/>
                      <w:lang w:val="en-US" w:eastAsia="zh-CN"/>
                    </w:rPr>
                    <w:t>LD</w:t>
                  </w:r>
                  <w:r>
                    <w:rPr>
                      <w:rFonts w:hint="default" w:ascii="Times New Roman" w:hAnsi="Times New Roman" w:cs="Times New Roman"/>
                      <w:color w:val="auto"/>
                      <w:spacing w:val="0"/>
                      <w:kern w:val="0"/>
                      <w:sz w:val="21"/>
                      <w:szCs w:val="21"/>
                      <w:vertAlign w:val="subscript"/>
                      <w:lang w:val="en-US" w:eastAsia="zh-CN"/>
                    </w:rPr>
                    <w:t>50</w:t>
                  </w:r>
                  <w:r>
                    <w:rPr>
                      <w:rFonts w:hint="default" w:ascii="Times New Roman" w:hAnsi="Times New Roman" w:cs="Times New Roman"/>
                      <w:color w:val="auto"/>
                      <w:spacing w:val="0"/>
                      <w:kern w:val="0"/>
                      <w:sz w:val="21"/>
                      <w:szCs w:val="21"/>
                      <w:lang w:val="en-US" w:eastAsia="zh-CN"/>
                    </w:rPr>
                    <w:t>：10768mg/kg（大鼠口服）</w:t>
                  </w:r>
                </w:p>
              </w:tc>
            </w:tr>
            <w:tr w14:paraId="78D469E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28" w:type="dxa"/>
                  <w:bottom w:w="0" w:type="dxa"/>
                  <w:right w:w="28" w:type="dxa"/>
                </w:tblCellMar>
              </w:tblPrEx>
              <w:trPr>
                <w:trHeight w:val="340" w:hRule="atLeast"/>
                <w:jc w:val="center"/>
              </w:trPr>
              <w:tc>
                <w:tcPr>
                  <w:tcW w:w="680" w:type="pct"/>
                  <w:tcBorders>
                    <w:tl2br w:val="nil"/>
                    <w:tr2bl w:val="nil"/>
                  </w:tcBorders>
                  <w:vAlign w:val="center"/>
                </w:tcPr>
                <w:p w14:paraId="6D732CA3">
                  <w:pPr>
                    <w:pStyle w:val="707"/>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苯甲醇</w:t>
                  </w:r>
                </w:p>
              </w:tc>
              <w:tc>
                <w:tcPr>
                  <w:tcW w:w="2736" w:type="pct"/>
                  <w:tcBorders>
                    <w:tl2br w:val="nil"/>
                    <w:tr2bl w:val="nil"/>
                  </w:tcBorders>
                  <w:vAlign w:val="center"/>
                </w:tcPr>
                <w:p w14:paraId="7D3A101E">
                  <w:pPr>
                    <w:pStyle w:val="707"/>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cs="Times New Roman"/>
                      <w:color w:val="auto"/>
                      <w:spacing w:val="0"/>
                      <w:kern w:val="0"/>
                      <w:sz w:val="21"/>
                      <w:szCs w:val="21"/>
                      <w:highlight w:val="none"/>
                      <w:lang w:val="en-US" w:eastAsia="zh-CN"/>
                    </w:rPr>
                  </w:pPr>
                  <w:r>
                    <w:rPr>
                      <w:rFonts w:hint="default" w:ascii="Times New Roman" w:hAnsi="Times New Roman" w:cs="Times New Roman"/>
                      <w:color w:val="auto"/>
                      <w:spacing w:val="0"/>
                      <w:kern w:val="0"/>
                      <w:sz w:val="21"/>
                      <w:szCs w:val="21"/>
                      <w:highlight w:val="none"/>
                      <w:lang w:val="en-US" w:eastAsia="zh-CN"/>
                    </w:rPr>
                    <w:t>无色透明液体，稍有芳香气味，稍溶于水，能与乙醇、乙醚、氯仿等混溶；熔点-15℃；沸点205℃；密度1.045g/mL at 25℃（lit.）；闪点201℉</w:t>
                  </w:r>
                </w:p>
              </w:tc>
              <w:tc>
                <w:tcPr>
                  <w:tcW w:w="637" w:type="pct"/>
                  <w:tcBorders>
                    <w:tl2br w:val="nil"/>
                    <w:tr2bl w:val="nil"/>
                  </w:tcBorders>
                  <w:vAlign w:val="center"/>
                </w:tcPr>
                <w:p w14:paraId="4808A8F3">
                  <w:pPr>
                    <w:pStyle w:val="707"/>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pacing w:val="0"/>
                      <w:kern w:val="0"/>
                      <w:sz w:val="21"/>
                      <w:szCs w:val="21"/>
                      <w:highlight w:val="none"/>
                      <w:lang w:val="en-US" w:eastAsia="zh-CN"/>
                    </w:rPr>
                  </w:pPr>
                  <w:r>
                    <w:rPr>
                      <w:rFonts w:hint="default" w:ascii="Times New Roman" w:hAnsi="Times New Roman" w:cs="Times New Roman"/>
                      <w:color w:val="auto"/>
                      <w:spacing w:val="0"/>
                      <w:kern w:val="0"/>
                      <w:sz w:val="21"/>
                      <w:szCs w:val="21"/>
                      <w:highlight w:val="none"/>
                      <w:lang w:val="en-US" w:eastAsia="zh-CN"/>
                    </w:rPr>
                    <w:t>易燃可爆</w:t>
                  </w:r>
                </w:p>
              </w:tc>
              <w:tc>
                <w:tcPr>
                  <w:tcW w:w="945" w:type="pct"/>
                  <w:tcBorders>
                    <w:tl2br w:val="nil"/>
                    <w:tr2bl w:val="nil"/>
                  </w:tcBorders>
                  <w:vAlign w:val="center"/>
                </w:tcPr>
                <w:p w14:paraId="1318CDE9">
                  <w:pPr>
                    <w:pStyle w:val="707"/>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pacing w:val="0"/>
                      <w:kern w:val="0"/>
                      <w:sz w:val="21"/>
                      <w:szCs w:val="21"/>
                      <w:lang w:val="en-US" w:eastAsia="zh-CN"/>
                    </w:rPr>
                  </w:pPr>
                  <w:r>
                    <w:rPr>
                      <w:rFonts w:hint="default" w:ascii="Times New Roman" w:hAnsi="Times New Roman" w:cs="Times New Roman"/>
                      <w:color w:val="auto"/>
                      <w:spacing w:val="0"/>
                      <w:kern w:val="0"/>
                      <w:sz w:val="21"/>
                      <w:szCs w:val="21"/>
                      <w:lang w:val="en-US" w:eastAsia="zh-CN"/>
                    </w:rPr>
                    <w:t>LD</w:t>
                  </w:r>
                  <w:r>
                    <w:rPr>
                      <w:rFonts w:hint="default" w:ascii="Times New Roman" w:hAnsi="Times New Roman" w:cs="Times New Roman"/>
                      <w:color w:val="auto"/>
                      <w:spacing w:val="0"/>
                      <w:kern w:val="0"/>
                      <w:sz w:val="21"/>
                      <w:szCs w:val="21"/>
                      <w:vertAlign w:val="subscript"/>
                      <w:lang w:val="en-US" w:eastAsia="zh-CN"/>
                    </w:rPr>
                    <w:t>50</w:t>
                  </w:r>
                  <w:r>
                    <w:rPr>
                      <w:rFonts w:hint="default" w:ascii="Times New Roman" w:hAnsi="Times New Roman" w:cs="Times New Roman"/>
                      <w:color w:val="auto"/>
                      <w:spacing w:val="0"/>
                      <w:kern w:val="0"/>
                      <w:sz w:val="21"/>
                      <w:szCs w:val="21"/>
                      <w:lang w:val="en-US" w:eastAsia="zh-CN"/>
                    </w:rPr>
                    <w:t>：1230mg/kg（大鼠口服）</w:t>
                  </w:r>
                </w:p>
              </w:tc>
            </w:tr>
          </w:tbl>
          <w:p w14:paraId="777A2C23">
            <w:pPr>
              <w:adjustRightInd w:val="0"/>
              <w:snapToGrid w:val="0"/>
              <w:spacing w:line="360" w:lineRule="auto"/>
              <w:ind w:firstLine="422" w:firstLineChars="200"/>
              <w:jc w:val="left"/>
              <w:rPr>
                <w:rFonts w:cs="宋体"/>
                <w:b/>
                <w:color w:val="auto"/>
              </w:rPr>
            </w:pPr>
            <w:r>
              <w:rPr>
                <w:rFonts w:hint="eastAsia" w:cs="宋体"/>
                <w:b/>
                <w:color w:val="auto"/>
              </w:rPr>
              <w:t>①涂料合规性说明：</w:t>
            </w:r>
          </w:p>
          <w:p w14:paraId="1D2EB2B9">
            <w:pPr>
              <w:adjustRightInd w:val="0"/>
              <w:snapToGrid w:val="0"/>
              <w:jc w:val="center"/>
              <w:rPr>
                <w:rFonts w:cs="宋体"/>
                <w:b/>
                <w:color w:val="auto"/>
              </w:rPr>
            </w:pPr>
            <w:r>
              <w:rPr>
                <w:rFonts w:hint="eastAsia" w:cs="宋体"/>
                <w:b/>
                <w:color w:val="auto"/>
              </w:rPr>
              <w:t>表2-</w:t>
            </w:r>
            <w:r>
              <w:rPr>
                <w:rFonts w:hint="eastAsia" w:cs="宋体"/>
                <w:b/>
                <w:color w:val="auto"/>
                <w:lang w:val="en-US" w:eastAsia="zh-CN"/>
              </w:rPr>
              <w:t>6</w:t>
            </w:r>
            <w:r>
              <w:rPr>
                <w:rFonts w:hint="eastAsia" w:cs="宋体"/>
                <w:b/>
                <w:color w:val="auto"/>
              </w:rPr>
              <w:t xml:space="preserve">   本项目拟采用涂料组分表</w:t>
            </w:r>
          </w:p>
          <w:tbl>
            <w:tblPr>
              <w:tblStyle w:val="59"/>
              <w:tblW w:w="4998"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946"/>
              <w:gridCol w:w="3128"/>
              <w:gridCol w:w="933"/>
              <w:gridCol w:w="1455"/>
              <w:gridCol w:w="1299"/>
              <w:gridCol w:w="785"/>
            </w:tblGrid>
            <w:tr w14:paraId="59F3E45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553" w:type="pct"/>
                  <w:tcBorders>
                    <w:tl2br w:val="nil"/>
                    <w:tr2bl w:val="nil"/>
                  </w:tcBorders>
                  <w:shd w:val="clear" w:color="auto" w:fill="auto"/>
                  <w:vAlign w:val="center"/>
                </w:tcPr>
                <w:p w14:paraId="1AE18EE3">
                  <w:pPr>
                    <w:adjustRightInd w:val="0"/>
                    <w:snapToGrid w:val="0"/>
                    <w:jc w:val="center"/>
                    <w:rPr>
                      <w:b/>
                      <w:bCs/>
                      <w:color w:val="auto"/>
                      <w:spacing w:val="5"/>
                      <w:kern w:val="0"/>
                    </w:rPr>
                  </w:pPr>
                  <w:r>
                    <w:rPr>
                      <w:b/>
                      <w:bCs/>
                      <w:color w:val="auto"/>
                      <w:spacing w:val="5"/>
                      <w:kern w:val="0"/>
                    </w:rPr>
                    <w:t>类别</w:t>
                  </w:r>
                </w:p>
              </w:tc>
              <w:tc>
                <w:tcPr>
                  <w:tcW w:w="1830" w:type="pct"/>
                  <w:tcBorders>
                    <w:tl2br w:val="nil"/>
                    <w:tr2bl w:val="nil"/>
                  </w:tcBorders>
                  <w:shd w:val="clear" w:color="auto" w:fill="auto"/>
                  <w:vAlign w:val="center"/>
                </w:tcPr>
                <w:p w14:paraId="58EFCD42">
                  <w:pPr>
                    <w:adjustRightInd w:val="0"/>
                    <w:snapToGrid w:val="0"/>
                    <w:jc w:val="center"/>
                    <w:rPr>
                      <w:b/>
                      <w:bCs/>
                      <w:color w:val="auto"/>
                      <w:spacing w:val="5"/>
                      <w:kern w:val="0"/>
                    </w:rPr>
                  </w:pPr>
                  <w:r>
                    <w:rPr>
                      <w:b/>
                      <w:bCs/>
                      <w:color w:val="auto"/>
                      <w:spacing w:val="5"/>
                      <w:kern w:val="0"/>
                    </w:rPr>
                    <w:t>组分</w:t>
                  </w:r>
                </w:p>
              </w:tc>
              <w:tc>
                <w:tcPr>
                  <w:tcW w:w="545" w:type="pct"/>
                  <w:tcBorders>
                    <w:tl2br w:val="nil"/>
                    <w:tr2bl w:val="nil"/>
                  </w:tcBorders>
                  <w:shd w:val="clear" w:color="auto" w:fill="auto"/>
                  <w:vAlign w:val="center"/>
                </w:tcPr>
                <w:p w14:paraId="679E0880">
                  <w:pPr>
                    <w:adjustRightInd w:val="0"/>
                    <w:snapToGrid w:val="0"/>
                    <w:jc w:val="center"/>
                    <w:rPr>
                      <w:b/>
                      <w:bCs/>
                      <w:color w:val="auto"/>
                      <w:spacing w:val="5"/>
                      <w:kern w:val="0"/>
                    </w:rPr>
                  </w:pPr>
                  <w:r>
                    <w:rPr>
                      <w:b/>
                      <w:bCs/>
                      <w:color w:val="auto"/>
                      <w:spacing w:val="5"/>
                      <w:kern w:val="0"/>
                    </w:rPr>
                    <w:t>预估年用量t</w:t>
                  </w:r>
                </w:p>
              </w:tc>
              <w:tc>
                <w:tcPr>
                  <w:tcW w:w="851" w:type="pct"/>
                  <w:tcBorders>
                    <w:tl2br w:val="nil"/>
                    <w:tr2bl w:val="nil"/>
                  </w:tcBorders>
                  <w:shd w:val="clear" w:color="auto" w:fill="auto"/>
                  <w:vAlign w:val="center"/>
                </w:tcPr>
                <w:p w14:paraId="72C567E5">
                  <w:pPr>
                    <w:adjustRightInd w:val="0"/>
                    <w:snapToGrid w:val="0"/>
                    <w:jc w:val="center"/>
                    <w:rPr>
                      <w:rFonts w:hint="eastAsia" w:eastAsia="宋体"/>
                      <w:b/>
                      <w:bCs/>
                      <w:color w:val="auto"/>
                      <w:spacing w:val="5"/>
                      <w:kern w:val="0"/>
                      <w:lang w:val="en-US" w:eastAsia="zh-CN"/>
                    </w:rPr>
                  </w:pPr>
                  <w:r>
                    <w:rPr>
                      <w:b/>
                      <w:bCs/>
                      <w:color w:val="auto"/>
                      <w:spacing w:val="5"/>
                      <w:kern w:val="0"/>
                    </w:rPr>
                    <w:t>挥发性有机物含量g/L</w:t>
                  </w:r>
                  <w:r>
                    <w:rPr>
                      <w:rFonts w:hint="eastAsia"/>
                      <w:b/>
                      <w:bCs/>
                      <w:color w:val="auto"/>
                      <w:spacing w:val="5"/>
                      <w:kern w:val="0"/>
                      <w:lang w:val="en-US" w:eastAsia="zh-CN"/>
                    </w:rPr>
                    <w:t>*</w:t>
                  </w:r>
                </w:p>
              </w:tc>
              <w:tc>
                <w:tcPr>
                  <w:tcW w:w="760" w:type="pct"/>
                  <w:tcBorders>
                    <w:tl2br w:val="nil"/>
                    <w:tr2bl w:val="nil"/>
                  </w:tcBorders>
                  <w:shd w:val="clear" w:color="auto" w:fill="auto"/>
                  <w:vAlign w:val="center"/>
                </w:tcPr>
                <w:p w14:paraId="24DB0A73">
                  <w:pPr>
                    <w:adjustRightInd w:val="0"/>
                    <w:snapToGrid w:val="0"/>
                    <w:jc w:val="center"/>
                    <w:rPr>
                      <w:b/>
                      <w:bCs/>
                      <w:color w:val="auto"/>
                      <w:spacing w:val="5"/>
                      <w:kern w:val="0"/>
                    </w:rPr>
                  </w:pPr>
                  <w:r>
                    <w:rPr>
                      <w:b/>
                      <w:bCs/>
                      <w:color w:val="auto"/>
                      <w:spacing w:val="5"/>
                      <w:kern w:val="0"/>
                    </w:rPr>
                    <w:t>GB/T 38597-2020</w:t>
                  </w:r>
                </w:p>
              </w:tc>
              <w:tc>
                <w:tcPr>
                  <w:tcW w:w="459" w:type="pct"/>
                  <w:tcBorders>
                    <w:tl2br w:val="nil"/>
                    <w:tr2bl w:val="nil"/>
                  </w:tcBorders>
                  <w:shd w:val="clear" w:color="auto" w:fill="auto"/>
                  <w:vAlign w:val="center"/>
                </w:tcPr>
                <w:p w14:paraId="75C850F3">
                  <w:pPr>
                    <w:adjustRightInd w:val="0"/>
                    <w:snapToGrid w:val="0"/>
                    <w:jc w:val="center"/>
                    <w:rPr>
                      <w:rFonts w:hint="eastAsia" w:eastAsia="宋体"/>
                      <w:b/>
                      <w:bCs/>
                      <w:color w:val="auto"/>
                      <w:spacing w:val="5"/>
                      <w:kern w:val="0"/>
                      <w:lang w:val="en-US" w:eastAsia="zh-CN"/>
                    </w:rPr>
                  </w:pPr>
                  <w:r>
                    <w:rPr>
                      <w:rFonts w:hint="eastAsia"/>
                      <w:b/>
                      <w:bCs/>
                      <w:color w:val="auto"/>
                      <w:spacing w:val="5"/>
                      <w:kern w:val="0"/>
                      <w:lang w:val="en-US" w:eastAsia="zh-CN"/>
                    </w:rPr>
                    <w:t>是否达标</w:t>
                  </w:r>
                </w:p>
              </w:tc>
            </w:tr>
            <w:tr w14:paraId="6A4D0D0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553" w:type="pct"/>
                  <w:tcBorders>
                    <w:tl2br w:val="nil"/>
                    <w:tr2bl w:val="nil"/>
                  </w:tcBorders>
                  <w:shd w:val="clear" w:color="auto" w:fill="auto"/>
                  <w:vAlign w:val="center"/>
                </w:tcPr>
                <w:p w14:paraId="40312D37">
                  <w:pPr>
                    <w:adjustRightInd w:val="0"/>
                    <w:snapToGrid w:val="0"/>
                    <w:jc w:val="center"/>
                    <w:rPr>
                      <w:rFonts w:hint="eastAsia" w:eastAsia="宋体"/>
                      <w:color w:val="auto"/>
                      <w:spacing w:val="5"/>
                      <w:kern w:val="0"/>
                      <w:lang w:eastAsia="zh-CN"/>
                    </w:rPr>
                  </w:pPr>
                  <w:r>
                    <w:rPr>
                      <w:rFonts w:hint="eastAsia"/>
                      <w:color w:val="auto"/>
                      <w:spacing w:val="5"/>
                      <w:kern w:val="0"/>
                      <w:lang w:val="en-US" w:eastAsia="zh-CN"/>
                    </w:rPr>
                    <w:t>环氧底漆</w:t>
                  </w:r>
                </w:p>
              </w:tc>
              <w:tc>
                <w:tcPr>
                  <w:tcW w:w="1830" w:type="pct"/>
                  <w:tcBorders>
                    <w:tl2br w:val="nil"/>
                    <w:tr2bl w:val="nil"/>
                  </w:tcBorders>
                  <w:shd w:val="clear" w:color="auto" w:fill="auto"/>
                  <w:vAlign w:val="center"/>
                </w:tcPr>
                <w:p w14:paraId="438F7952">
                  <w:pPr>
                    <w:adjustRightInd w:val="0"/>
                    <w:snapToGrid w:val="0"/>
                    <w:jc w:val="center"/>
                    <w:rPr>
                      <w:color w:val="auto"/>
                      <w:spacing w:val="5"/>
                      <w:kern w:val="0"/>
                    </w:rPr>
                  </w:pPr>
                  <w:r>
                    <w:rPr>
                      <w:rFonts w:hint="default" w:ascii="Times New Roman" w:hAnsi="Times New Roman" w:cs="Times New Roman"/>
                      <w:color w:val="auto"/>
                      <w:kern w:val="0"/>
                      <w:sz w:val="21"/>
                      <w:szCs w:val="21"/>
                      <w:lang w:val="en-US" w:eastAsia="zh-CN"/>
                    </w:rPr>
                    <w:t>10%≤双酚A-（环氧氯丙烷）＜25%，5%≤</w:t>
                  </w:r>
                  <w:r>
                    <w:rPr>
                      <w:rFonts w:hint="eastAsia" w:ascii="Times New Roman" w:hAnsi="Times New Roman" w:cs="Times New Roman"/>
                      <w:color w:val="auto"/>
                      <w:kern w:val="0"/>
                      <w:sz w:val="21"/>
                      <w:szCs w:val="21"/>
                      <w:lang w:val="en-US" w:eastAsia="zh-CN"/>
                    </w:rPr>
                    <w:t>二甲苯</w:t>
                  </w:r>
                  <w:r>
                    <w:rPr>
                      <w:rFonts w:hint="default" w:ascii="Times New Roman" w:hAnsi="Times New Roman" w:cs="Times New Roman"/>
                      <w:color w:val="auto"/>
                      <w:kern w:val="0"/>
                      <w:sz w:val="21"/>
                      <w:szCs w:val="21"/>
                      <w:lang w:val="en-US" w:eastAsia="zh-CN"/>
                    </w:rPr>
                    <w:t>≤10%、5%≤</w:t>
                  </w:r>
                  <w:r>
                    <w:rPr>
                      <w:rFonts w:hint="eastAsia" w:cs="Times New Roman"/>
                      <w:color w:val="auto"/>
                      <w:kern w:val="0"/>
                      <w:sz w:val="21"/>
                      <w:szCs w:val="21"/>
                      <w:lang w:val="en-US" w:eastAsia="zh-CN"/>
                    </w:rPr>
                    <w:t>中等分子量环氧树脂</w:t>
                  </w:r>
                  <w:r>
                    <w:rPr>
                      <w:rFonts w:hint="default" w:ascii="Times New Roman" w:hAnsi="Times New Roman" w:cs="Times New Roman"/>
                      <w:color w:val="auto"/>
                      <w:kern w:val="0"/>
                      <w:sz w:val="21"/>
                      <w:szCs w:val="21"/>
                      <w:lang w:val="en-US" w:eastAsia="zh-CN"/>
                    </w:rPr>
                    <w:t>≤10%、</w:t>
                  </w:r>
                  <w:r>
                    <w:rPr>
                      <w:rFonts w:hint="eastAsia" w:cs="Times New Roman"/>
                      <w:color w:val="auto"/>
                      <w:kern w:val="0"/>
                      <w:sz w:val="21"/>
                      <w:szCs w:val="21"/>
                      <w:lang w:val="en-US" w:eastAsia="zh-CN"/>
                    </w:rPr>
                    <w:t>3</w:t>
                  </w:r>
                  <w:r>
                    <w:rPr>
                      <w:rFonts w:hint="default" w:ascii="Times New Roman" w:hAnsi="Times New Roman" w:cs="Times New Roman"/>
                      <w:color w:val="auto"/>
                      <w:kern w:val="0"/>
                      <w:sz w:val="21"/>
                      <w:szCs w:val="21"/>
                      <w:lang w:val="en-US" w:eastAsia="zh-CN"/>
                    </w:rPr>
                    <w:t>%≤</w:t>
                  </w:r>
                  <w:r>
                    <w:rPr>
                      <w:rFonts w:hint="eastAsia" w:cs="Times New Roman"/>
                      <w:color w:val="auto"/>
                      <w:kern w:val="0"/>
                      <w:sz w:val="21"/>
                      <w:szCs w:val="21"/>
                      <w:lang w:val="en-US" w:eastAsia="zh-CN"/>
                    </w:rPr>
                    <w:t>双酚A-环氧氯丙烷/二聚酸树脂加成物</w:t>
                  </w:r>
                  <w:r>
                    <w:rPr>
                      <w:rFonts w:hint="default" w:ascii="Times New Roman" w:hAnsi="Times New Roman" w:cs="Times New Roman"/>
                      <w:color w:val="auto"/>
                      <w:kern w:val="0"/>
                      <w:sz w:val="21"/>
                      <w:szCs w:val="21"/>
                      <w:lang w:val="en-US" w:eastAsia="zh-CN"/>
                    </w:rPr>
                    <w:t>≤</w:t>
                  </w:r>
                  <w:r>
                    <w:rPr>
                      <w:rFonts w:hint="eastAsia" w:cs="Times New Roman"/>
                      <w:color w:val="auto"/>
                      <w:kern w:val="0"/>
                      <w:sz w:val="21"/>
                      <w:szCs w:val="21"/>
                      <w:lang w:val="en-US" w:eastAsia="zh-CN"/>
                    </w:rPr>
                    <w:t>5</w:t>
                  </w:r>
                  <w:r>
                    <w:rPr>
                      <w:rFonts w:hint="default" w:ascii="Times New Roman" w:hAnsi="Times New Roman" w:cs="Times New Roman"/>
                      <w:color w:val="auto"/>
                      <w:kern w:val="0"/>
                      <w:sz w:val="21"/>
                      <w:szCs w:val="21"/>
                      <w:lang w:val="en-US" w:eastAsia="zh-CN"/>
                    </w:rPr>
                    <w:t>%</w:t>
                  </w:r>
                  <w:r>
                    <w:rPr>
                      <w:rFonts w:hint="eastAsia" w:cs="Times New Roman"/>
                      <w:color w:val="auto"/>
                      <w:kern w:val="0"/>
                      <w:sz w:val="21"/>
                      <w:szCs w:val="21"/>
                      <w:lang w:val="en-US" w:eastAsia="zh-CN"/>
                    </w:rPr>
                    <w:t>，3</w:t>
                  </w:r>
                  <w:r>
                    <w:rPr>
                      <w:rFonts w:hint="default" w:ascii="Times New Roman" w:hAnsi="Times New Roman" w:cs="Times New Roman"/>
                      <w:color w:val="auto"/>
                      <w:kern w:val="0"/>
                      <w:sz w:val="21"/>
                      <w:szCs w:val="21"/>
                      <w:lang w:val="en-US" w:eastAsia="zh-CN"/>
                    </w:rPr>
                    <w:t>%≤</w:t>
                  </w:r>
                  <w:r>
                    <w:rPr>
                      <w:rFonts w:hint="eastAsia" w:cs="Times New Roman"/>
                      <w:color w:val="auto"/>
                      <w:kern w:val="0"/>
                      <w:sz w:val="21"/>
                      <w:szCs w:val="21"/>
                      <w:lang w:val="en-US" w:eastAsia="zh-CN"/>
                    </w:rPr>
                    <w:t>1-丁醇</w:t>
                  </w:r>
                  <w:r>
                    <w:rPr>
                      <w:rFonts w:hint="default" w:ascii="Times New Roman" w:hAnsi="Times New Roman" w:cs="Times New Roman"/>
                      <w:color w:val="auto"/>
                      <w:kern w:val="0"/>
                      <w:sz w:val="21"/>
                      <w:szCs w:val="21"/>
                      <w:lang w:val="en-US" w:eastAsia="zh-CN"/>
                    </w:rPr>
                    <w:t>≤</w:t>
                  </w:r>
                  <w:r>
                    <w:rPr>
                      <w:rFonts w:hint="eastAsia" w:cs="Times New Roman"/>
                      <w:color w:val="auto"/>
                      <w:kern w:val="0"/>
                      <w:sz w:val="21"/>
                      <w:szCs w:val="21"/>
                      <w:lang w:val="en-US" w:eastAsia="zh-CN"/>
                    </w:rPr>
                    <w:t>5</w:t>
                  </w:r>
                  <w:r>
                    <w:rPr>
                      <w:rFonts w:hint="default" w:ascii="Times New Roman" w:hAnsi="Times New Roman" w:cs="Times New Roman"/>
                      <w:color w:val="auto"/>
                      <w:kern w:val="0"/>
                      <w:sz w:val="21"/>
                      <w:szCs w:val="21"/>
                      <w:lang w:val="en-US" w:eastAsia="zh-CN"/>
                    </w:rPr>
                    <w:t>%</w:t>
                  </w:r>
                  <w:r>
                    <w:rPr>
                      <w:rFonts w:hint="eastAsia" w:cs="Times New Roman"/>
                      <w:color w:val="auto"/>
                      <w:kern w:val="0"/>
                      <w:sz w:val="21"/>
                      <w:szCs w:val="21"/>
                      <w:lang w:val="en-US" w:eastAsia="zh-CN"/>
                    </w:rPr>
                    <w:t>，3</w:t>
                  </w:r>
                  <w:r>
                    <w:rPr>
                      <w:rFonts w:hint="default" w:ascii="Times New Roman" w:hAnsi="Times New Roman" w:cs="Times New Roman"/>
                      <w:color w:val="auto"/>
                      <w:kern w:val="0"/>
                      <w:sz w:val="21"/>
                      <w:szCs w:val="21"/>
                      <w:lang w:val="en-US" w:eastAsia="zh-CN"/>
                    </w:rPr>
                    <w:t>%≤</w:t>
                  </w:r>
                  <w:r>
                    <w:rPr>
                      <w:rFonts w:hint="eastAsia" w:cs="Times New Roman"/>
                      <w:color w:val="auto"/>
                      <w:kern w:val="0"/>
                      <w:sz w:val="21"/>
                      <w:szCs w:val="21"/>
                      <w:lang w:val="en-US" w:eastAsia="zh-CN"/>
                    </w:rPr>
                    <w:t>腰果油与环氧氯丙烷的反应聚合物</w:t>
                  </w:r>
                  <w:r>
                    <w:rPr>
                      <w:rFonts w:hint="default" w:ascii="Times New Roman" w:hAnsi="Times New Roman" w:cs="Times New Roman"/>
                      <w:color w:val="auto"/>
                      <w:kern w:val="0"/>
                      <w:sz w:val="21"/>
                      <w:szCs w:val="21"/>
                      <w:lang w:val="en-US" w:eastAsia="zh-CN"/>
                    </w:rPr>
                    <w:t>≤</w:t>
                  </w:r>
                  <w:r>
                    <w:rPr>
                      <w:rFonts w:hint="eastAsia" w:cs="Times New Roman"/>
                      <w:color w:val="auto"/>
                      <w:kern w:val="0"/>
                      <w:sz w:val="21"/>
                      <w:szCs w:val="21"/>
                      <w:lang w:val="en-US" w:eastAsia="zh-CN"/>
                    </w:rPr>
                    <w:t>5</w:t>
                  </w:r>
                  <w:r>
                    <w:rPr>
                      <w:rFonts w:hint="default" w:ascii="Times New Roman" w:hAnsi="Times New Roman" w:cs="Times New Roman"/>
                      <w:color w:val="auto"/>
                      <w:kern w:val="0"/>
                      <w:sz w:val="21"/>
                      <w:szCs w:val="21"/>
                      <w:lang w:val="en-US" w:eastAsia="zh-CN"/>
                    </w:rPr>
                    <w:t>%</w:t>
                  </w:r>
                  <w:r>
                    <w:rPr>
                      <w:rFonts w:hint="eastAsia" w:cs="Times New Roman"/>
                      <w:color w:val="auto"/>
                      <w:kern w:val="0"/>
                      <w:sz w:val="21"/>
                      <w:szCs w:val="21"/>
                      <w:lang w:val="en-US" w:eastAsia="zh-CN"/>
                    </w:rPr>
                    <w:t>，1</w:t>
                  </w:r>
                  <w:r>
                    <w:rPr>
                      <w:rFonts w:hint="default" w:ascii="Times New Roman" w:hAnsi="Times New Roman" w:cs="Times New Roman"/>
                      <w:color w:val="auto"/>
                      <w:kern w:val="0"/>
                      <w:sz w:val="21"/>
                      <w:szCs w:val="21"/>
                      <w:lang w:val="en-US" w:eastAsia="zh-CN"/>
                    </w:rPr>
                    <w:t>%≤</w:t>
                  </w:r>
                  <w:r>
                    <w:rPr>
                      <w:rFonts w:hint="eastAsia" w:cs="Times New Roman"/>
                      <w:color w:val="auto"/>
                      <w:kern w:val="0"/>
                      <w:sz w:val="21"/>
                      <w:szCs w:val="21"/>
                      <w:lang w:val="en-US" w:eastAsia="zh-CN"/>
                    </w:rPr>
                    <w:t>乙苯</w:t>
                  </w:r>
                  <w:r>
                    <w:rPr>
                      <w:rFonts w:hint="default" w:ascii="Times New Roman" w:hAnsi="Times New Roman" w:cs="Times New Roman"/>
                      <w:color w:val="auto"/>
                      <w:kern w:val="0"/>
                      <w:sz w:val="21"/>
                      <w:szCs w:val="21"/>
                      <w:lang w:val="en-US" w:eastAsia="zh-CN"/>
                    </w:rPr>
                    <w:t>≤</w:t>
                  </w:r>
                  <w:r>
                    <w:rPr>
                      <w:rFonts w:hint="eastAsia" w:cs="Times New Roman"/>
                      <w:color w:val="auto"/>
                      <w:kern w:val="0"/>
                      <w:sz w:val="21"/>
                      <w:szCs w:val="21"/>
                      <w:lang w:val="en-US" w:eastAsia="zh-CN"/>
                    </w:rPr>
                    <w:t>3</w:t>
                  </w:r>
                  <w:r>
                    <w:rPr>
                      <w:rFonts w:hint="default" w:ascii="Times New Roman" w:hAnsi="Times New Roman" w:cs="Times New Roman"/>
                      <w:color w:val="auto"/>
                      <w:kern w:val="0"/>
                      <w:sz w:val="21"/>
                      <w:szCs w:val="21"/>
                      <w:lang w:val="en-US" w:eastAsia="zh-CN"/>
                    </w:rPr>
                    <w:t>%</w:t>
                  </w:r>
                  <w:r>
                    <w:rPr>
                      <w:rFonts w:hint="eastAsia" w:cs="Times New Roman"/>
                      <w:color w:val="auto"/>
                      <w:kern w:val="0"/>
                      <w:sz w:val="21"/>
                      <w:szCs w:val="21"/>
                      <w:lang w:val="en-US" w:eastAsia="zh-CN"/>
                    </w:rPr>
                    <w:t>，1</w:t>
                  </w:r>
                  <w:r>
                    <w:rPr>
                      <w:rFonts w:hint="default" w:ascii="Times New Roman" w:hAnsi="Times New Roman" w:cs="Times New Roman"/>
                      <w:color w:val="auto"/>
                      <w:kern w:val="0"/>
                      <w:sz w:val="21"/>
                      <w:szCs w:val="21"/>
                      <w:lang w:val="en-US" w:eastAsia="zh-CN"/>
                    </w:rPr>
                    <w:t>%≤</w:t>
                  </w:r>
                  <w:r>
                    <w:rPr>
                      <w:rFonts w:hint="eastAsia" w:cs="Times New Roman"/>
                      <w:color w:val="auto"/>
                      <w:kern w:val="0"/>
                      <w:sz w:val="21"/>
                      <w:szCs w:val="21"/>
                      <w:lang w:val="en-US" w:eastAsia="zh-CN"/>
                    </w:rPr>
                    <w:t>1-甲氧基-2-丙醇3</w:t>
                  </w:r>
                  <w:r>
                    <w:rPr>
                      <w:rFonts w:hint="default" w:ascii="Times New Roman" w:hAnsi="Times New Roman" w:cs="Times New Roman"/>
                      <w:color w:val="auto"/>
                      <w:kern w:val="0"/>
                      <w:sz w:val="21"/>
                      <w:szCs w:val="21"/>
                      <w:lang w:val="en-US" w:eastAsia="zh-CN"/>
                    </w:rPr>
                    <w:t>%</w:t>
                  </w:r>
                  <w:r>
                    <w:rPr>
                      <w:rFonts w:hint="eastAsia" w:cs="Times New Roman"/>
                      <w:color w:val="auto"/>
                      <w:kern w:val="0"/>
                      <w:sz w:val="21"/>
                      <w:szCs w:val="21"/>
                      <w:lang w:val="en-US" w:eastAsia="zh-CN"/>
                    </w:rPr>
                    <w:t>，甲基丙烯酸苯酚＜1，1,3-双（12-羟基八癸酰胺-氮-亚甲基）苯＜1</w:t>
                  </w:r>
                </w:p>
              </w:tc>
              <w:tc>
                <w:tcPr>
                  <w:tcW w:w="545" w:type="pct"/>
                  <w:tcBorders>
                    <w:tl2br w:val="nil"/>
                    <w:tr2bl w:val="nil"/>
                  </w:tcBorders>
                  <w:shd w:val="clear" w:color="auto" w:fill="auto"/>
                  <w:vAlign w:val="center"/>
                </w:tcPr>
                <w:p w14:paraId="73D2386D">
                  <w:pPr>
                    <w:adjustRightInd w:val="0"/>
                    <w:snapToGrid w:val="0"/>
                    <w:jc w:val="center"/>
                    <w:rPr>
                      <w:rFonts w:hint="default" w:eastAsia="宋体"/>
                      <w:color w:val="auto"/>
                      <w:spacing w:val="5"/>
                      <w:kern w:val="0"/>
                      <w:lang w:val="en-US" w:eastAsia="zh-CN"/>
                    </w:rPr>
                  </w:pPr>
                  <w:r>
                    <w:rPr>
                      <w:color w:val="auto"/>
                      <w:spacing w:val="5"/>
                      <w:kern w:val="0"/>
                    </w:rPr>
                    <w:t>1</w:t>
                  </w:r>
                  <w:r>
                    <w:rPr>
                      <w:rFonts w:hint="eastAsia"/>
                      <w:color w:val="auto"/>
                      <w:spacing w:val="5"/>
                      <w:kern w:val="0"/>
                      <w:lang w:val="en-US" w:eastAsia="zh-CN"/>
                    </w:rPr>
                    <w:t>.5</w:t>
                  </w:r>
                </w:p>
              </w:tc>
              <w:tc>
                <w:tcPr>
                  <w:tcW w:w="851" w:type="pct"/>
                  <w:tcBorders>
                    <w:tl2br w:val="nil"/>
                    <w:tr2bl w:val="nil"/>
                  </w:tcBorders>
                  <w:shd w:val="clear" w:color="auto" w:fill="auto"/>
                  <w:vAlign w:val="center"/>
                </w:tcPr>
                <w:p w14:paraId="5638DF0C">
                  <w:pPr>
                    <w:adjustRightInd w:val="0"/>
                    <w:snapToGrid w:val="0"/>
                    <w:jc w:val="center"/>
                    <w:rPr>
                      <w:rFonts w:hint="default" w:eastAsia="宋体"/>
                      <w:color w:val="auto"/>
                      <w:spacing w:val="5"/>
                      <w:kern w:val="0"/>
                      <w:lang w:val="en-US" w:eastAsia="zh-CN"/>
                    </w:rPr>
                  </w:pPr>
                  <w:r>
                    <w:rPr>
                      <w:rFonts w:hint="eastAsia"/>
                      <w:color w:val="auto"/>
                      <w:spacing w:val="5"/>
                      <w:kern w:val="0"/>
                      <w:lang w:val="en-US" w:eastAsia="zh-CN"/>
                    </w:rPr>
                    <w:t>252.6</w:t>
                  </w:r>
                </w:p>
              </w:tc>
              <w:tc>
                <w:tcPr>
                  <w:tcW w:w="760" w:type="pct"/>
                  <w:tcBorders>
                    <w:tl2br w:val="nil"/>
                    <w:tr2bl w:val="nil"/>
                  </w:tcBorders>
                  <w:shd w:val="clear" w:color="auto" w:fill="auto"/>
                  <w:vAlign w:val="center"/>
                </w:tcPr>
                <w:p w14:paraId="469875C8">
                  <w:pPr>
                    <w:adjustRightInd w:val="0"/>
                    <w:snapToGrid w:val="0"/>
                    <w:jc w:val="center"/>
                    <w:rPr>
                      <w:color w:val="auto"/>
                      <w:spacing w:val="5"/>
                      <w:kern w:val="0"/>
                    </w:rPr>
                  </w:pPr>
                  <w:r>
                    <w:rPr>
                      <w:rFonts w:hint="eastAsia"/>
                      <w:color w:val="auto"/>
                      <w:spacing w:val="5"/>
                      <w:kern w:val="0"/>
                      <w:lang w:val="en-US" w:eastAsia="zh-CN"/>
                    </w:rPr>
                    <w:t>420</w:t>
                  </w:r>
                  <w:r>
                    <w:rPr>
                      <w:color w:val="auto"/>
                      <w:spacing w:val="5"/>
                      <w:kern w:val="0"/>
                    </w:rPr>
                    <w:t>（g/L）</w:t>
                  </w:r>
                </w:p>
              </w:tc>
              <w:tc>
                <w:tcPr>
                  <w:tcW w:w="459" w:type="pct"/>
                  <w:tcBorders>
                    <w:tl2br w:val="nil"/>
                    <w:tr2bl w:val="nil"/>
                  </w:tcBorders>
                  <w:shd w:val="clear" w:color="auto" w:fill="auto"/>
                  <w:vAlign w:val="center"/>
                </w:tcPr>
                <w:p w14:paraId="1287C296">
                  <w:pPr>
                    <w:adjustRightInd w:val="0"/>
                    <w:snapToGrid w:val="0"/>
                    <w:jc w:val="center"/>
                    <w:rPr>
                      <w:rFonts w:hint="default"/>
                      <w:color w:val="auto"/>
                      <w:spacing w:val="5"/>
                      <w:kern w:val="0"/>
                      <w:lang w:val="en-US" w:eastAsia="zh-CN"/>
                    </w:rPr>
                  </w:pPr>
                  <w:r>
                    <w:rPr>
                      <w:rFonts w:hint="eastAsia"/>
                      <w:color w:val="auto"/>
                      <w:spacing w:val="5"/>
                      <w:kern w:val="0"/>
                      <w:lang w:val="en-US" w:eastAsia="zh-CN"/>
                    </w:rPr>
                    <w:t>达标</w:t>
                  </w:r>
                </w:p>
              </w:tc>
            </w:tr>
            <w:tr w14:paraId="1A17CA2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553" w:type="pct"/>
                  <w:tcBorders>
                    <w:tl2br w:val="nil"/>
                    <w:tr2bl w:val="nil"/>
                  </w:tcBorders>
                  <w:shd w:val="clear" w:color="auto" w:fill="auto"/>
                  <w:vAlign w:val="center"/>
                </w:tcPr>
                <w:p w14:paraId="38A3F6AA">
                  <w:pPr>
                    <w:adjustRightInd w:val="0"/>
                    <w:snapToGrid w:val="0"/>
                    <w:jc w:val="center"/>
                    <w:rPr>
                      <w:rFonts w:hint="eastAsia" w:eastAsia="宋体"/>
                      <w:color w:val="auto"/>
                      <w:spacing w:val="5"/>
                      <w:kern w:val="0"/>
                      <w:lang w:eastAsia="zh-CN"/>
                    </w:rPr>
                  </w:pPr>
                  <w:r>
                    <w:rPr>
                      <w:rFonts w:hint="eastAsia"/>
                      <w:color w:val="auto"/>
                      <w:spacing w:val="5"/>
                      <w:kern w:val="0"/>
                      <w:lang w:val="en-US" w:eastAsia="zh-CN"/>
                    </w:rPr>
                    <w:t>聚氨酯厚浆面漆</w:t>
                  </w:r>
                </w:p>
              </w:tc>
              <w:tc>
                <w:tcPr>
                  <w:tcW w:w="1830" w:type="pct"/>
                  <w:tcBorders>
                    <w:tl2br w:val="nil"/>
                    <w:tr2bl w:val="nil"/>
                  </w:tcBorders>
                  <w:shd w:val="clear" w:color="auto" w:fill="auto"/>
                  <w:vAlign w:val="center"/>
                </w:tcPr>
                <w:p w14:paraId="199627DB">
                  <w:pPr>
                    <w:adjustRightInd w:val="0"/>
                    <w:snapToGrid w:val="0"/>
                    <w:jc w:val="center"/>
                    <w:rPr>
                      <w:color w:val="auto"/>
                      <w:spacing w:val="5"/>
                      <w:kern w:val="0"/>
                    </w:rPr>
                  </w:pPr>
                  <w:r>
                    <w:rPr>
                      <w:rFonts w:hint="eastAsia" w:cs="Times New Roman"/>
                      <w:color w:val="auto"/>
                      <w:kern w:val="0"/>
                      <w:sz w:val="21"/>
                      <w:szCs w:val="21"/>
                      <w:lang w:val="en-US" w:eastAsia="zh-CN"/>
                    </w:rPr>
                    <w:t>10</w:t>
                  </w:r>
                  <w:r>
                    <w:rPr>
                      <w:rFonts w:hint="default" w:ascii="Times New Roman" w:hAnsi="Times New Roman" w:cs="Times New Roman"/>
                      <w:color w:val="auto"/>
                      <w:kern w:val="0"/>
                      <w:sz w:val="21"/>
                      <w:szCs w:val="21"/>
                      <w:lang w:val="en-US" w:eastAsia="zh-CN"/>
                    </w:rPr>
                    <w:t>%≤</w:t>
                  </w:r>
                  <w:r>
                    <w:rPr>
                      <w:rFonts w:hint="eastAsia" w:cs="Times New Roman"/>
                      <w:color w:val="auto"/>
                      <w:kern w:val="0"/>
                      <w:sz w:val="21"/>
                      <w:szCs w:val="21"/>
                      <w:lang w:val="en-US" w:eastAsia="zh-CN"/>
                    </w:rPr>
                    <w:t>石脑油</w:t>
                  </w:r>
                  <w:r>
                    <w:rPr>
                      <w:rFonts w:hint="default" w:ascii="Times New Roman" w:hAnsi="Times New Roman" w:cs="Times New Roman"/>
                      <w:color w:val="auto"/>
                      <w:kern w:val="0"/>
                      <w:sz w:val="21"/>
                      <w:szCs w:val="21"/>
                      <w:lang w:val="en-US" w:eastAsia="zh-CN"/>
                    </w:rPr>
                    <w:t>≤1</w:t>
                  </w:r>
                  <w:r>
                    <w:rPr>
                      <w:rFonts w:hint="eastAsia" w:cs="Times New Roman"/>
                      <w:color w:val="auto"/>
                      <w:kern w:val="0"/>
                      <w:sz w:val="21"/>
                      <w:szCs w:val="21"/>
                      <w:lang w:val="en-US" w:eastAsia="zh-CN"/>
                    </w:rPr>
                    <w:t>4</w:t>
                  </w:r>
                  <w:r>
                    <w:rPr>
                      <w:rFonts w:hint="default" w:ascii="Times New Roman" w:hAnsi="Times New Roman" w:cs="Times New Roman"/>
                      <w:color w:val="auto"/>
                      <w:kern w:val="0"/>
                      <w:sz w:val="21"/>
                      <w:szCs w:val="21"/>
                      <w:lang w:val="en-US" w:eastAsia="zh-CN"/>
                    </w:rPr>
                    <w:t>%</w:t>
                  </w:r>
                  <w:r>
                    <w:rPr>
                      <w:rFonts w:hint="eastAsia" w:cs="Times New Roman"/>
                      <w:color w:val="auto"/>
                      <w:kern w:val="0"/>
                      <w:sz w:val="21"/>
                      <w:szCs w:val="21"/>
                      <w:lang w:val="en-US" w:eastAsia="zh-CN"/>
                    </w:rPr>
                    <w:t>，1</w:t>
                  </w:r>
                  <w:r>
                    <w:rPr>
                      <w:rFonts w:hint="default" w:ascii="Times New Roman" w:hAnsi="Times New Roman" w:cs="Times New Roman"/>
                      <w:color w:val="auto"/>
                      <w:kern w:val="0"/>
                      <w:sz w:val="21"/>
                      <w:szCs w:val="21"/>
                      <w:lang w:val="en-US" w:eastAsia="zh-CN"/>
                    </w:rPr>
                    <w:t>%≤</w:t>
                  </w:r>
                  <w:r>
                    <w:rPr>
                      <w:rFonts w:hint="eastAsia" w:cs="Times New Roman"/>
                      <w:color w:val="auto"/>
                      <w:kern w:val="0"/>
                      <w:sz w:val="21"/>
                      <w:szCs w:val="21"/>
                      <w:lang w:val="en-US" w:eastAsia="zh-CN"/>
                    </w:rPr>
                    <w:t>1,2,4-三甲苯</w:t>
                  </w:r>
                  <w:r>
                    <w:rPr>
                      <w:rFonts w:hint="default" w:ascii="Times New Roman" w:hAnsi="Times New Roman" w:cs="Times New Roman"/>
                      <w:color w:val="auto"/>
                      <w:kern w:val="0"/>
                      <w:sz w:val="21"/>
                      <w:szCs w:val="21"/>
                      <w:lang w:val="en-US" w:eastAsia="zh-CN"/>
                    </w:rPr>
                    <w:t>≤</w:t>
                  </w:r>
                  <w:r>
                    <w:rPr>
                      <w:rFonts w:hint="eastAsia" w:cs="Times New Roman"/>
                      <w:color w:val="auto"/>
                      <w:kern w:val="0"/>
                      <w:sz w:val="21"/>
                      <w:szCs w:val="21"/>
                      <w:lang w:val="en-US" w:eastAsia="zh-CN"/>
                    </w:rPr>
                    <w:t>3.8</w:t>
                  </w:r>
                  <w:r>
                    <w:rPr>
                      <w:rFonts w:hint="default" w:ascii="Times New Roman" w:hAnsi="Times New Roman" w:cs="Times New Roman"/>
                      <w:color w:val="auto"/>
                      <w:kern w:val="0"/>
                      <w:sz w:val="21"/>
                      <w:szCs w:val="21"/>
                      <w:lang w:val="en-US" w:eastAsia="zh-CN"/>
                    </w:rPr>
                    <w:t>%</w:t>
                  </w:r>
                  <w:r>
                    <w:rPr>
                      <w:rFonts w:hint="eastAsia" w:cs="Times New Roman"/>
                      <w:color w:val="auto"/>
                      <w:kern w:val="0"/>
                      <w:sz w:val="21"/>
                      <w:szCs w:val="21"/>
                      <w:lang w:val="en-US" w:eastAsia="zh-CN"/>
                    </w:rPr>
                    <w:t>，1</w:t>
                  </w:r>
                  <w:r>
                    <w:rPr>
                      <w:rFonts w:hint="default" w:ascii="Times New Roman" w:hAnsi="Times New Roman" w:cs="Times New Roman"/>
                      <w:color w:val="auto"/>
                      <w:kern w:val="0"/>
                      <w:sz w:val="21"/>
                      <w:szCs w:val="21"/>
                      <w:lang w:val="en-US" w:eastAsia="zh-CN"/>
                    </w:rPr>
                    <w:t>%≤</w:t>
                  </w:r>
                  <w:r>
                    <w:rPr>
                      <w:rFonts w:hint="eastAsia" w:cs="Times New Roman"/>
                      <w:color w:val="auto"/>
                      <w:kern w:val="0"/>
                      <w:sz w:val="21"/>
                      <w:szCs w:val="21"/>
                      <w:lang w:val="en-US" w:eastAsia="zh-CN"/>
                    </w:rPr>
                    <w:t>二甲苯</w:t>
                  </w:r>
                  <w:r>
                    <w:rPr>
                      <w:rFonts w:hint="default" w:ascii="Times New Roman" w:hAnsi="Times New Roman" w:cs="Times New Roman"/>
                      <w:color w:val="auto"/>
                      <w:kern w:val="0"/>
                      <w:sz w:val="21"/>
                      <w:szCs w:val="21"/>
                      <w:lang w:val="en-US" w:eastAsia="zh-CN"/>
                    </w:rPr>
                    <w:t>≤</w:t>
                  </w:r>
                  <w:r>
                    <w:rPr>
                      <w:rFonts w:hint="eastAsia" w:cs="Times New Roman"/>
                      <w:color w:val="auto"/>
                      <w:kern w:val="0"/>
                      <w:sz w:val="21"/>
                      <w:szCs w:val="21"/>
                      <w:lang w:val="en-US" w:eastAsia="zh-CN"/>
                    </w:rPr>
                    <w:t>2.5</w:t>
                  </w:r>
                  <w:r>
                    <w:rPr>
                      <w:rFonts w:hint="default" w:ascii="Times New Roman" w:hAnsi="Times New Roman" w:cs="Times New Roman"/>
                      <w:color w:val="auto"/>
                      <w:kern w:val="0"/>
                      <w:sz w:val="21"/>
                      <w:szCs w:val="21"/>
                      <w:lang w:val="en-US" w:eastAsia="zh-CN"/>
                    </w:rPr>
                    <w:t>%</w:t>
                  </w:r>
                  <w:r>
                    <w:rPr>
                      <w:rFonts w:hint="eastAsia" w:cs="Times New Roman"/>
                      <w:color w:val="auto"/>
                      <w:kern w:val="0"/>
                      <w:sz w:val="21"/>
                      <w:szCs w:val="21"/>
                      <w:lang w:val="en-US" w:eastAsia="zh-CN"/>
                    </w:rPr>
                    <w:t>，乙苯</w:t>
                  </w:r>
                  <w:r>
                    <w:rPr>
                      <w:rFonts w:hint="default" w:ascii="Times New Roman" w:hAnsi="Times New Roman" w:cs="Times New Roman"/>
                      <w:color w:val="auto"/>
                      <w:kern w:val="0"/>
                      <w:sz w:val="21"/>
                      <w:szCs w:val="21"/>
                      <w:lang w:val="en-US" w:eastAsia="zh-CN"/>
                    </w:rPr>
                    <w:t>≤</w:t>
                  </w:r>
                  <w:r>
                    <w:rPr>
                      <w:rFonts w:hint="eastAsia" w:cs="Times New Roman"/>
                      <w:color w:val="auto"/>
                      <w:kern w:val="0"/>
                      <w:sz w:val="21"/>
                      <w:szCs w:val="21"/>
                      <w:lang w:val="en-US" w:eastAsia="zh-CN"/>
                    </w:rPr>
                    <w:t>1.6</w:t>
                  </w:r>
                  <w:r>
                    <w:rPr>
                      <w:rFonts w:hint="default" w:ascii="Times New Roman" w:hAnsi="Times New Roman" w:cs="Times New Roman"/>
                      <w:color w:val="auto"/>
                      <w:kern w:val="0"/>
                      <w:sz w:val="21"/>
                      <w:szCs w:val="21"/>
                      <w:lang w:val="en-US" w:eastAsia="zh-CN"/>
                    </w:rPr>
                    <w:t>%</w:t>
                  </w:r>
                  <w:r>
                    <w:rPr>
                      <w:rFonts w:hint="eastAsia" w:cs="Times New Roman"/>
                      <w:color w:val="auto"/>
                      <w:kern w:val="0"/>
                      <w:sz w:val="21"/>
                      <w:szCs w:val="21"/>
                      <w:lang w:val="en-US" w:eastAsia="zh-CN"/>
                    </w:rPr>
                    <w:t>，1,2,3-三甲苯</w:t>
                  </w:r>
                  <w:r>
                    <w:rPr>
                      <w:rFonts w:hint="default" w:ascii="Times New Roman" w:hAnsi="Times New Roman" w:cs="Times New Roman"/>
                      <w:color w:val="auto"/>
                      <w:kern w:val="0"/>
                      <w:sz w:val="21"/>
                      <w:szCs w:val="21"/>
                      <w:lang w:val="en-US" w:eastAsia="zh-CN"/>
                    </w:rPr>
                    <w:t>≤</w:t>
                  </w:r>
                  <w:r>
                    <w:rPr>
                      <w:rFonts w:hint="eastAsia" w:cs="Times New Roman"/>
                      <w:color w:val="auto"/>
                      <w:kern w:val="0"/>
                      <w:sz w:val="21"/>
                      <w:szCs w:val="21"/>
                      <w:lang w:val="en-US" w:eastAsia="zh-CN"/>
                    </w:rPr>
                    <w:t>1.3</w:t>
                  </w:r>
                  <w:r>
                    <w:rPr>
                      <w:rFonts w:hint="default" w:ascii="Times New Roman" w:hAnsi="Times New Roman" w:cs="Times New Roman"/>
                      <w:color w:val="auto"/>
                      <w:kern w:val="0"/>
                      <w:sz w:val="21"/>
                      <w:szCs w:val="21"/>
                      <w:lang w:val="en-US" w:eastAsia="zh-CN"/>
                    </w:rPr>
                    <w:t>%</w:t>
                  </w:r>
                  <w:r>
                    <w:rPr>
                      <w:rFonts w:hint="eastAsia" w:cs="Times New Roman"/>
                      <w:color w:val="auto"/>
                      <w:kern w:val="0"/>
                      <w:sz w:val="21"/>
                      <w:szCs w:val="21"/>
                      <w:lang w:val="en-US" w:eastAsia="zh-CN"/>
                    </w:rPr>
                    <w:t>，磷酸锌</w:t>
                  </w:r>
                  <w:r>
                    <w:rPr>
                      <w:rFonts w:hint="default" w:ascii="Times New Roman" w:hAnsi="Times New Roman" w:cs="Times New Roman"/>
                      <w:color w:val="auto"/>
                      <w:kern w:val="0"/>
                      <w:sz w:val="21"/>
                      <w:szCs w:val="21"/>
                      <w:lang w:val="en-US" w:eastAsia="zh-CN"/>
                    </w:rPr>
                    <w:t>≤</w:t>
                  </w:r>
                  <w:r>
                    <w:rPr>
                      <w:rFonts w:hint="eastAsia" w:cs="Times New Roman"/>
                      <w:color w:val="auto"/>
                      <w:kern w:val="0"/>
                      <w:sz w:val="21"/>
                      <w:szCs w:val="21"/>
                      <w:lang w:val="en-US" w:eastAsia="zh-CN"/>
                    </w:rPr>
                    <w:t>1.2</w:t>
                  </w:r>
                  <w:r>
                    <w:rPr>
                      <w:rFonts w:hint="default" w:ascii="Times New Roman" w:hAnsi="Times New Roman" w:cs="Times New Roman"/>
                      <w:color w:val="auto"/>
                      <w:kern w:val="0"/>
                      <w:sz w:val="21"/>
                      <w:szCs w:val="21"/>
                      <w:lang w:val="en-US" w:eastAsia="zh-CN"/>
                    </w:rPr>
                    <w:t>%</w:t>
                  </w:r>
                  <w:r>
                    <w:rPr>
                      <w:rFonts w:hint="eastAsia" w:cs="Times New Roman"/>
                      <w:color w:val="auto"/>
                      <w:kern w:val="0"/>
                      <w:sz w:val="21"/>
                      <w:szCs w:val="21"/>
                      <w:lang w:val="en-US" w:eastAsia="zh-CN"/>
                    </w:rPr>
                    <w:t>，乙酸正丁酯</w:t>
                  </w:r>
                  <w:r>
                    <w:rPr>
                      <w:rFonts w:hint="default" w:ascii="Times New Roman" w:hAnsi="Times New Roman" w:cs="Times New Roman"/>
                      <w:color w:val="auto"/>
                      <w:kern w:val="0"/>
                      <w:sz w:val="21"/>
                      <w:szCs w:val="21"/>
                      <w:lang w:val="en-US" w:eastAsia="zh-CN"/>
                    </w:rPr>
                    <w:t>≤</w:t>
                  </w:r>
                  <w:r>
                    <w:rPr>
                      <w:rFonts w:hint="eastAsia" w:cs="Times New Roman"/>
                      <w:color w:val="auto"/>
                      <w:kern w:val="0"/>
                      <w:sz w:val="21"/>
                      <w:szCs w:val="21"/>
                      <w:lang w:val="en-US" w:eastAsia="zh-CN"/>
                    </w:rPr>
                    <w:t>1.4</w:t>
                  </w:r>
                  <w:r>
                    <w:rPr>
                      <w:rFonts w:hint="default" w:ascii="Times New Roman" w:hAnsi="Times New Roman" w:cs="Times New Roman"/>
                      <w:color w:val="auto"/>
                      <w:kern w:val="0"/>
                      <w:sz w:val="21"/>
                      <w:szCs w:val="21"/>
                      <w:lang w:val="en-US" w:eastAsia="zh-CN"/>
                    </w:rPr>
                    <w:t>%</w:t>
                  </w:r>
                  <w:r>
                    <w:rPr>
                      <w:rFonts w:hint="eastAsia" w:cs="Times New Roman"/>
                      <w:color w:val="auto"/>
                      <w:kern w:val="0"/>
                      <w:sz w:val="21"/>
                      <w:szCs w:val="21"/>
                      <w:lang w:val="en-US" w:eastAsia="zh-CN"/>
                    </w:rPr>
                    <w:t>，双（1,2,2,6,6-五甲基-4-哌啶基）葵二酸酯</w:t>
                  </w:r>
                  <w:r>
                    <w:rPr>
                      <w:rFonts w:hint="default" w:ascii="Times New Roman" w:hAnsi="Times New Roman" w:cs="Times New Roman"/>
                      <w:color w:val="auto"/>
                      <w:kern w:val="0"/>
                      <w:sz w:val="21"/>
                      <w:szCs w:val="21"/>
                      <w:lang w:val="en-US" w:eastAsia="zh-CN"/>
                    </w:rPr>
                    <w:t>≤</w:t>
                  </w:r>
                  <w:r>
                    <w:rPr>
                      <w:rFonts w:hint="eastAsia" w:cs="Times New Roman"/>
                      <w:color w:val="auto"/>
                      <w:kern w:val="0"/>
                      <w:sz w:val="21"/>
                      <w:szCs w:val="21"/>
                      <w:lang w:val="en-US" w:eastAsia="zh-CN"/>
                    </w:rPr>
                    <w:t>0.33</w:t>
                  </w:r>
                  <w:r>
                    <w:rPr>
                      <w:rFonts w:hint="default" w:ascii="Times New Roman" w:hAnsi="Times New Roman" w:cs="Times New Roman"/>
                      <w:color w:val="auto"/>
                      <w:kern w:val="0"/>
                      <w:sz w:val="21"/>
                      <w:szCs w:val="21"/>
                      <w:lang w:val="en-US" w:eastAsia="zh-CN"/>
                    </w:rPr>
                    <w:t>%</w:t>
                  </w:r>
                </w:p>
              </w:tc>
              <w:tc>
                <w:tcPr>
                  <w:tcW w:w="545" w:type="pct"/>
                  <w:tcBorders>
                    <w:tl2br w:val="nil"/>
                    <w:tr2bl w:val="nil"/>
                  </w:tcBorders>
                  <w:shd w:val="clear" w:color="auto" w:fill="auto"/>
                  <w:vAlign w:val="center"/>
                </w:tcPr>
                <w:p w14:paraId="384F3FA0">
                  <w:pPr>
                    <w:adjustRightInd w:val="0"/>
                    <w:snapToGrid w:val="0"/>
                    <w:jc w:val="center"/>
                    <w:rPr>
                      <w:rFonts w:hint="default" w:eastAsia="宋体"/>
                      <w:color w:val="auto"/>
                      <w:spacing w:val="5"/>
                      <w:kern w:val="0"/>
                      <w:lang w:val="en-US" w:eastAsia="zh-CN"/>
                    </w:rPr>
                  </w:pPr>
                  <w:r>
                    <w:rPr>
                      <w:color w:val="auto"/>
                      <w:spacing w:val="5"/>
                      <w:kern w:val="0"/>
                    </w:rPr>
                    <w:t>1</w:t>
                  </w:r>
                  <w:r>
                    <w:rPr>
                      <w:rFonts w:hint="eastAsia"/>
                      <w:color w:val="auto"/>
                      <w:spacing w:val="5"/>
                      <w:kern w:val="0"/>
                      <w:lang w:val="en-US" w:eastAsia="zh-CN"/>
                    </w:rPr>
                    <w:t>.5</w:t>
                  </w:r>
                </w:p>
              </w:tc>
              <w:tc>
                <w:tcPr>
                  <w:tcW w:w="851" w:type="pct"/>
                  <w:tcBorders>
                    <w:tl2br w:val="nil"/>
                    <w:tr2bl w:val="nil"/>
                  </w:tcBorders>
                  <w:shd w:val="clear" w:color="auto" w:fill="auto"/>
                  <w:vAlign w:val="center"/>
                </w:tcPr>
                <w:p w14:paraId="49BCF6ED">
                  <w:pPr>
                    <w:adjustRightInd w:val="0"/>
                    <w:snapToGrid w:val="0"/>
                    <w:jc w:val="center"/>
                    <w:rPr>
                      <w:rFonts w:hint="default" w:eastAsia="宋体"/>
                      <w:color w:val="auto"/>
                      <w:spacing w:val="5"/>
                      <w:kern w:val="0"/>
                      <w:lang w:val="en-US" w:eastAsia="zh-CN"/>
                    </w:rPr>
                  </w:pPr>
                  <w:r>
                    <w:rPr>
                      <w:rFonts w:hint="eastAsia"/>
                      <w:color w:val="auto"/>
                      <w:spacing w:val="5"/>
                      <w:kern w:val="0"/>
                      <w:lang w:val="en-US" w:eastAsia="zh-CN"/>
                    </w:rPr>
                    <w:t>379</w:t>
                  </w:r>
                </w:p>
              </w:tc>
              <w:tc>
                <w:tcPr>
                  <w:tcW w:w="760" w:type="pct"/>
                  <w:tcBorders>
                    <w:tl2br w:val="nil"/>
                    <w:tr2bl w:val="nil"/>
                  </w:tcBorders>
                  <w:shd w:val="clear" w:color="auto" w:fill="auto"/>
                  <w:vAlign w:val="center"/>
                </w:tcPr>
                <w:p w14:paraId="45E82BF7">
                  <w:pPr>
                    <w:adjustRightInd w:val="0"/>
                    <w:snapToGrid w:val="0"/>
                    <w:jc w:val="center"/>
                    <w:rPr>
                      <w:color w:val="auto"/>
                      <w:spacing w:val="5"/>
                      <w:kern w:val="0"/>
                    </w:rPr>
                  </w:pPr>
                  <w:r>
                    <w:rPr>
                      <w:rFonts w:hint="eastAsia"/>
                      <w:color w:val="auto"/>
                      <w:spacing w:val="5"/>
                      <w:kern w:val="0"/>
                      <w:lang w:val="en-US" w:eastAsia="zh-CN"/>
                    </w:rPr>
                    <w:t>420</w:t>
                  </w:r>
                  <w:r>
                    <w:rPr>
                      <w:color w:val="auto"/>
                      <w:spacing w:val="5"/>
                      <w:kern w:val="0"/>
                    </w:rPr>
                    <w:t>（g/L）</w:t>
                  </w:r>
                </w:p>
              </w:tc>
              <w:tc>
                <w:tcPr>
                  <w:tcW w:w="459" w:type="pct"/>
                  <w:tcBorders>
                    <w:tl2br w:val="nil"/>
                    <w:tr2bl w:val="nil"/>
                  </w:tcBorders>
                  <w:shd w:val="clear" w:color="auto" w:fill="auto"/>
                  <w:vAlign w:val="center"/>
                </w:tcPr>
                <w:p w14:paraId="7E00BECA">
                  <w:pPr>
                    <w:adjustRightInd w:val="0"/>
                    <w:snapToGrid w:val="0"/>
                    <w:jc w:val="center"/>
                    <w:rPr>
                      <w:rFonts w:hint="eastAsia"/>
                      <w:color w:val="auto"/>
                      <w:spacing w:val="5"/>
                      <w:kern w:val="0"/>
                      <w:lang w:val="en-US" w:eastAsia="zh-CN"/>
                    </w:rPr>
                  </w:pPr>
                  <w:r>
                    <w:rPr>
                      <w:rFonts w:hint="eastAsia"/>
                      <w:color w:val="auto"/>
                      <w:spacing w:val="5"/>
                      <w:kern w:val="0"/>
                      <w:lang w:val="en-US" w:eastAsia="zh-CN"/>
                    </w:rPr>
                    <w:t>达标</w:t>
                  </w:r>
                </w:p>
              </w:tc>
            </w:tr>
            <w:tr w14:paraId="7B11BF1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553" w:type="pct"/>
                  <w:tcBorders>
                    <w:tl2br w:val="nil"/>
                    <w:tr2bl w:val="nil"/>
                  </w:tcBorders>
                  <w:shd w:val="clear" w:color="auto" w:fill="auto"/>
                  <w:vAlign w:val="center"/>
                </w:tcPr>
                <w:p w14:paraId="5A3B5093">
                  <w:pPr>
                    <w:adjustRightInd w:val="0"/>
                    <w:snapToGrid w:val="0"/>
                    <w:jc w:val="center"/>
                    <w:rPr>
                      <w:rFonts w:hint="eastAsia" w:eastAsia="宋体"/>
                      <w:color w:val="auto"/>
                      <w:spacing w:val="5"/>
                      <w:kern w:val="0"/>
                      <w:lang w:val="en-US" w:eastAsia="zh-CN"/>
                    </w:rPr>
                  </w:pPr>
                  <w:r>
                    <w:rPr>
                      <w:rFonts w:hint="eastAsia"/>
                      <w:color w:val="auto"/>
                      <w:spacing w:val="5"/>
                      <w:kern w:val="0"/>
                      <w:lang w:val="en-US" w:eastAsia="zh-CN"/>
                    </w:rPr>
                    <w:t>水性环氧底漆</w:t>
                  </w:r>
                </w:p>
              </w:tc>
              <w:tc>
                <w:tcPr>
                  <w:tcW w:w="1830" w:type="pct"/>
                  <w:tcBorders>
                    <w:tl2br w:val="nil"/>
                    <w:tr2bl w:val="nil"/>
                  </w:tcBorders>
                  <w:shd w:val="clear" w:color="auto" w:fill="auto"/>
                  <w:vAlign w:val="center"/>
                </w:tcPr>
                <w:p w14:paraId="67DDC3EC">
                  <w:pPr>
                    <w:adjustRightInd w:val="0"/>
                    <w:snapToGrid w:val="0"/>
                    <w:jc w:val="center"/>
                    <w:rPr>
                      <w:color w:val="auto"/>
                      <w:spacing w:val="5"/>
                      <w:kern w:val="0"/>
                    </w:rPr>
                  </w:pPr>
                  <w:r>
                    <w:rPr>
                      <w:rFonts w:hint="eastAsia" w:cs="Times New Roman"/>
                      <w:color w:val="auto"/>
                      <w:kern w:val="0"/>
                      <w:sz w:val="21"/>
                      <w:szCs w:val="21"/>
                      <w:lang w:val="en-US" w:eastAsia="zh-CN"/>
                    </w:rPr>
                    <w:t>5</w:t>
                  </w:r>
                  <w:r>
                    <w:rPr>
                      <w:rFonts w:hint="default" w:ascii="Times New Roman" w:hAnsi="Times New Roman" w:cs="Times New Roman"/>
                      <w:color w:val="auto"/>
                      <w:kern w:val="0"/>
                      <w:sz w:val="21"/>
                      <w:szCs w:val="21"/>
                      <w:lang w:val="en-US" w:eastAsia="zh-CN"/>
                    </w:rPr>
                    <w:t>%≤</w:t>
                  </w:r>
                  <w:r>
                    <w:rPr>
                      <w:rFonts w:hint="eastAsia" w:cs="Times New Roman"/>
                      <w:color w:val="auto"/>
                      <w:kern w:val="0"/>
                      <w:sz w:val="21"/>
                      <w:szCs w:val="21"/>
                      <w:lang w:val="en-US" w:eastAsia="zh-CN"/>
                    </w:rPr>
                    <w:t>脂肪族多胺</w:t>
                  </w:r>
                  <w:r>
                    <w:rPr>
                      <w:rFonts w:hint="default" w:ascii="Times New Roman" w:hAnsi="Times New Roman" w:cs="Times New Roman"/>
                      <w:color w:val="auto"/>
                      <w:kern w:val="0"/>
                      <w:sz w:val="21"/>
                      <w:szCs w:val="21"/>
                      <w:lang w:val="en-US" w:eastAsia="zh-CN"/>
                    </w:rPr>
                    <w:t>≤1</w:t>
                  </w:r>
                  <w:r>
                    <w:rPr>
                      <w:rFonts w:hint="eastAsia" w:cs="Times New Roman"/>
                      <w:color w:val="auto"/>
                      <w:kern w:val="0"/>
                      <w:sz w:val="21"/>
                      <w:szCs w:val="21"/>
                      <w:lang w:val="en-US" w:eastAsia="zh-CN"/>
                    </w:rPr>
                    <w:t>0</w:t>
                  </w:r>
                  <w:r>
                    <w:rPr>
                      <w:rFonts w:hint="default" w:ascii="Times New Roman" w:hAnsi="Times New Roman" w:cs="Times New Roman"/>
                      <w:color w:val="auto"/>
                      <w:kern w:val="0"/>
                      <w:sz w:val="21"/>
                      <w:szCs w:val="21"/>
                      <w:lang w:val="en-US" w:eastAsia="zh-CN"/>
                    </w:rPr>
                    <w:t>%</w:t>
                  </w:r>
                  <w:r>
                    <w:rPr>
                      <w:rFonts w:hint="eastAsia" w:cs="Times New Roman"/>
                      <w:color w:val="auto"/>
                      <w:kern w:val="0"/>
                      <w:sz w:val="21"/>
                      <w:szCs w:val="21"/>
                      <w:lang w:val="en-US" w:eastAsia="zh-CN"/>
                    </w:rPr>
                    <w:t>，1</w:t>
                  </w:r>
                  <w:r>
                    <w:rPr>
                      <w:rFonts w:hint="default" w:ascii="Times New Roman" w:hAnsi="Times New Roman" w:cs="Times New Roman"/>
                      <w:color w:val="auto"/>
                      <w:kern w:val="0"/>
                      <w:sz w:val="21"/>
                      <w:szCs w:val="21"/>
                      <w:lang w:val="en-US" w:eastAsia="zh-CN"/>
                    </w:rPr>
                    <w:t>%≤</w:t>
                  </w:r>
                  <w:r>
                    <w:rPr>
                      <w:rFonts w:hint="eastAsia" w:cs="Times New Roman"/>
                      <w:color w:val="auto"/>
                      <w:kern w:val="0"/>
                      <w:sz w:val="21"/>
                      <w:szCs w:val="21"/>
                      <w:lang w:val="en-US" w:eastAsia="zh-CN"/>
                    </w:rPr>
                    <w:t>2-丁氧基乙醇</w:t>
                  </w:r>
                  <w:r>
                    <w:rPr>
                      <w:rFonts w:hint="default" w:ascii="Times New Roman" w:hAnsi="Times New Roman" w:cs="Times New Roman"/>
                      <w:color w:val="auto"/>
                      <w:kern w:val="0"/>
                      <w:sz w:val="21"/>
                      <w:szCs w:val="21"/>
                      <w:lang w:val="en-US" w:eastAsia="zh-CN"/>
                    </w:rPr>
                    <w:t>≤</w:t>
                  </w:r>
                  <w:r>
                    <w:rPr>
                      <w:rFonts w:hint="eastAsia" w:cs="Times New Roman"/>
                      <w:color w:val="auto"/>
                      <w:kern w:val="0"/>
                      <w:sz w:val="21"/>
                      <w:szCs w:val="21"/>
                      <w:lang w:val="en-US" w:eastAsia="zh-CN"/>
                    </w:rPr>
                    <w:t>3</w:t>
                  </w:r>
                  <w:r>
                    <w:rPr>
                      <w:rFonts w:hint="default" w:ascii="Times New Roman" w:hAnsi="Times New Roman" w:cs="Times New Roman"/>
                      <w:color w:val="auto"/>
                      <w:kern w:val="0"/>
                      <w:sz w:val="21"/>
                      <w:szCs w:val="21"/>
                      <w:lang w:val="en-US" w:eastAsia="zh-CN"/>
                    </w:rPr>
                    <w:t>%</w:t>
                  </w:r>
                  <w:r>
                    <w:rPr>
                      <w:rFonts w:hint="eastAsia" w:cs="Times New Roman"/>
                      <w:color w:val="auto"/>
                      <w:kern w:val="0"/>
                      <w:sz w:val="21"/>
                      <w:szCs w:val="21"/>
                      <w:lang w:val="en-US" w:eastAsia="zh-CN"/>
                    </w:rPr>
                    <w:t>，3-氨基甲基-3,5,5-三甲基环己胺＜1</w:t>
                  </w:r>
                </w:p>
              </w:tc>
              <w:tc>
                <w:tcPr>
                  <w:tcW w:w="545" w:type="pct"/>
                  <w:tcBorders>
                    <w:tl2br w:val="nil"/>
                    <w:tr2bl w:val="nil"/>
                  </w:tcBorders>
                  <w:shd w:val="clear" w:color="auto" w:fill="auto"/>
                  <w:vAlign w:val="center"/>
                </w:tcPr>
                <w:p w14:paraId="6A44CBBA">
                  <w:pPr>
                    <w:adjustRightInd w:val="0"/>
                    <w:snapToGrid w:val="0"/>
                    <w:jc w:val="center"/>
                    <w:rPr>
                      <w:rFonts w:hint="default" w:eastAsia="宋体"/>
                      <w:color w:val="auto"/>
                      <w:spacing w:val="5"/>
                      <w:kern w:val="0"/>
                      <w:lang w:val="en-US" w:eastAsia="zh-CN"/>
                    </w:rPr>
                  </w:pPr>
                  <w:r>
                    <w:rPr>
                      <w:rFonts w:hint="eastAsia"/>
                      <w:color w:val="auto"/>
                      <w:spacing w:val="5"/>
                      <w:kern w:val="0"/>
                      <w:lang w:val="en-US" w:eastAsia="zh-CN"/>
                    </w:rPr>
                    <w:t>3.5</w:t>
                  </w:r>
                </w:p>
              </w:tc>
              <w:tc>
                <w:tcPr>
                  <w:tcW w:w="851" w:type="pct"/>
                  <w:tcBorders>
                    <w:tl2br w:val="nil"/>
                    <w:tr2bl w:val="nil"/>
                  </w:tcBorders>
                  <w:shd w:val="clear" w:color="auto" w:fill="auto"/>
                  <w:vAlign w:val="center"/>
                </w:tcPr>
                <w:p w14:paraId="746C0728">
                  <w:pPr>
                    <w:adjustRightInd w:val="0"/>
                    <w:snapToGrid w:val="0"/>
                    <w:jc w:val="center"/>
                    <w:rPr>
                      <w:rFonts w:hint="default" w:eastAsia="宋体"/>
                      <w:color w:val="auto"/>
                      <w:spacing w:val="5"/>
                      <w:kern w:val="0"/>
                      <w:lang w:val="en-US" w:eastAsia="zh-CN"/>
                    </w:rPr>
                  </w:pPr>
                  <w:r>
                    <w:rPr>
                      <w:rFonts w:hint="eastAsia"/>
                      <w:color w:val="auto"/>
                      <w:spacing w:val="5"/>
                      <w:kern w:val="0"/>
                      <w:lang w:val="en-US" w:eastAsia="zh-CN"/>
                    </w:rPr>
                    <w:t>28.6</w:t>
                  </w:r>
                </w:p>
              </w:tc>
              <w:tc>
                <w:tcPr>
                  <w:tcW w:w="760" w:type="pct"/>
                  <w:tcBorders>
                    <w:tl2br w:val="nil"/>
                    <w:tr2bl w:val="nil"/>
                  </w:tcBorders>
                  <w:shd w:val="clear" w:color="auto" w:fill="auto"/>
                  <w:vAlign w:val="center"/>
                </w:tcPr>
                <w:p w14:paraId="2AC09949">
                  <w:pPr>
                    <w:adjustRightInd w:val="0"/>
                    <w:snapToGrid w:val="0"/>
                    <w:jc w:val="center"/>
                    <w:rPr>
                      <w:color w:val="auto"/>
                      <w:spacing w:val="5"/>
                      <w:kern w:val="0"/>
                    </w:rPr>
                  </w:pPr>
                  <w:r>
                    <w:rPr>
                      <w:rFonts w:hint="eastAsia"/>
                      <w:color w:val="auto"/>
                      <w:spacing w:val="5"/>
                      <w:kern w:val="0"/>
                      <w:lang w:val="en-US" w:eastAsia="zh-CN"/>
                    </w:rPr>
                    <w:t>250</w:t>
                  </w:r>
                  <w:r>
                    <w:rPr>
                      <w:color w:val="auto"/>
                      <w:spacing w:val="5"/>
                      <w:kern w:val="0"/>
                    </w:rPr>
                    <w:t>（g/L）</w:t>
                  </w:r>
                </w:p>
              </w:tc>
              <w:tc>
                <w:tcPr>
                  <w:tcW w:w="459" w:type="pct"/>
                  <w:tcBorders>
                    <w:tl2br w:val="nil"/>
                    <w:tr2bl w:val="nil"/>
                  </w:tcBorders>
                  <w:shd w:val="clear" w:color="auto" w:fill="auto"/>
                  <w:vAlign w:val="center"/>
                </w:tcPr>
                <w:p w14:paraId="0C3D696D">
                  <w:pPr>
                    <w:adjustRightInd w:val="0"/>
                    <w:snapToGrid w:val="0"/>
                    <w:jc w:val="center"/>
                    <w:rPr>
                      <w:rFonts w:hint="eastAsia"/>
                      <w:color w:val="auto"/>
                      <w:spacing w:val="5"/>
                      <w:kern w:val="0"/>
                      <w:lang w:val="en-US" w:eastAsia="zh-CN"/>
                    </w:rPr>
                  </w:pPr>
                  <w:r>
                    <w:rPr>
                      <w:rFonts w:hint="eastAsia"/>
                      <w:color w:val="auto"/>
                      <w:spacing w:val="5"/>
                      <w:kern w:val="0"/>
                      <w:lang w:val="en-US" w:eastAsia="zh-CN"/>
                    </w:rPr>
                    <w:t>达标</w:t>
                  </w:r>
                </w:p>
              </w:tc>
            </w:tr>
            <w:tr w14:paraId="2FBA065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553" w:type="pct"/>
                  <w:tcBorders>
                    <w:tl2br w:val="nil"/>
                    <w:tr2bl w:val="nil"/>
                  </w:tcBorders>
                  <w:shd w:val="clear" w:color="auto" w:fill="auto"/>
                  <w:vAlign w:val="center"/>
                </w:tcPr>
                <w:p w14:paraId="0D66C52A">
                  <w:pPr>
                    <w:adjustRightInd w:val="0"/>
                    <w:snapToGrid w:val="0"/>
                    <w:jc w:val="center"/>
                    <w:rPr>
                      <w:rFonts w:hint="eastAsia" w:eastAsia="宋体"/>
                      <w:color w:val="auto"/>
                      <w:spacing w:val="5"/>
                      <w:kern w:val="0"/>
                      <w:lang w:eastAsia="zh-CN"/>
                    </w:rPr>
                  </w:pPr>
                  <w:r>
                    <w:rPr>
                      <w:rFonts w:hint="eastAsia"/>
                      <w:color w:val="auto"/>
                      <w:spacing w:val="5"/>
                      <w:kern w:val="0"/>
                      <w:lang w:val="en-US" w:eastAsia="zh-CN"/>
                    </w:rPr>
                    <w:t>水性聚氨酯面漆</w:t>
                  </w:r>
                </w:p>
              </w:tc>
              <w:tc>
                <w:tcPr>
                  <w:tcW w:w="1830" w:type="pct"/>
                  <w:tcBorders>
                    <w:tl2br w:val="nil"/>
                    <w:tr2bl w:val="nil"/>
                  </w:tcBorders>
                  <w:shd w:val="clear" w:color="auto" w:fill="auto"/>
                  <w:vAlign w:val="center"/>
                </w:tcPr>
                <w:p w14:paraId="42A327D8">
                  <w:pPr>
                    <w:adjustRightInd w:val="0"/>
                    <w:snapToGrid w:val="0"/>
                    <w:jc w:val="center"/>
                    <w:rPr>
                      <w:color w:val="auto"/>
                      <w:spacing w:val="5"/>
                      <w:kern w:val="0"/>
                    </w:rPr>
                  </w:pPr>
                  <w:r>
                    <w:rPr>
                      <w:rFonts w:hint="eastAsia" w:cs="Times New Roman"/>
                      <w:color w:val="auto"/>
                      <w:kern w:val="0"/>
                      <w:sz w:val="21"/>
                      <w:szCs w:val="21"/>
                      <w:lang w:val="en-US" w:eastAsia="zh-CN"/>
                    </w:rPr>
                    <w:t>1</w:t>
                  </w:r>
                  <w:r>
                    <w:rPr>
                      <w:rFonts w:hint="default" w:ascii="Times New Roman" w:hAnsi="Times New Roman" w:cs="Times New Roman"/>
                      <w:color w:val="auto"/>
                      <w:kern w:val="0"/>
                      <w:sz w:val="21"/>
                      <w:szCs w:val="21"/>
                      <w:lang w:val="en-US" w:eastAsia="zh-CN"/>
                    </w:rPr>
                    <w:t>%≤</w:t>
                  </w:r>
                  <w:r>
                    <w:rPr>
                      <w:rFonts w:hint="eastAsia" w:cs="Times New Roman"/>
                      <w:color w:val="auto"/>
                      <w:kern w:val="0"/>
                      <w:sz w:val="21"/>
                      <w:szCs w:val="21"/>
                      <w:lang w:val="en-US" w:eastAsia="zh-CN"/>
                    </w:rPr>
                    <w:t>2-丁氧基乙醇</w:t>
                  </w:r>
                  <w:r>
                    <w:rPr>
                      <w:rFonts w:hint="default" w:ascii="Times New Roman" w:hAnsi="Times New Roman" w:cs="Times New Roman"/>
                      <w:color w:val="auto"/>
                      <w:kern w:val="0"/>
                      <w:sz w:val="21"/>
                      <w:szCs w:val="21"/>
                      <w:lang w:val="en-US" w:eastAsia="zh-CN"/>
                    </w:rPr>
                    <w:t>≤</w:t>
                  </w:r>
                  <w:r>
                    <w:rPr>
                      <w:rFonts w:hint="eastAsia" w:cs="Times New Roman"/>
                      <w:color w:val="auto"/>
                      <w:kern w:val="0"/>
                      <w:sz w:val="21"/>
                      <w:szCs w:val="21"/>
                      <w:lang w:val="en-US" w:eastAsia="zh-CN"/>
                    </w:rPr>
                    <w:t>2.5</w:t>
                  </w:r>
                  <w:r>
                    <w:rPr>
                      <w:rFonts w:hint="default" w:ascii="Times New Roman" w:hAnsi="Times New Roman" w:cs="Times New Roman"/>
                      <w:color w:val="auto"/>
                      <w:kern w:val="0"/>
                      <w:sz w:val="21"/>
                      <w:szCs w:val="21"/>
                      <w:lang w:val="en-US" w:eastAsia="zh-CN"/>
                    </w:rPr>
                    <w:t>%</w:t>
                  </w:r>
                  <w:r>
                    <w:rPr>
                      <w:rFonts w:hint="eastAsia" w:cs="Times New Roman"/>
                      <w:color w:val="auto"/>
                      <w:kern w:val="0"/>
                      <w:sz w:val="21"/>
                      <w:szCs w:val="21"/>
                      <w:lang w:val="en-US" w:eastAsia="zh-CN"/>
                    </w:rPr>
                    <w:t>，1</w:t>
                  </w:r>
                  <w:r>
                    <w:rPr>
                      <w:rFonts w:hint="default" w:ascii="Times New Roman" w:hAnsi="Times New Roman" w:cs="Times New Roman"/>
                      <w:color w:val="auto"/>
                      <w:kern w:val="0"/>
                      <w:sz w:val="21"/>
                      <w:szCs w:val="21"/>
                      <w:lang w:val="en-US" w:eastAsia="zh-CN"/>
                    </w:rPr>
                    <w:t>%≤</w:t>
                  </w:r>
                  <w:r>
                    <w:rPr>
                      <w:rFonts w:hint="eastAsia" w:cs="Times New Roman"/>
                      <w:color w:val="auto"/>
                      <w:kern w:val="0"/>
                      <w:sz w:val="21"/>
                      <w:szCs w:val="21"/>
                      <w:lang w:val="en-US" w:eastAsia="zh-CN"/>
                    </w:rPr>
                    <w:t>石脑油＜2.5</w:t>
                  </w:r>
                  <w:r>
                    <w:rPr>
                      <w:rFonts w:hint="default" w:ascii="Times New Roman" w:hAnsi="Times New Roman" w:cs="Times New Roman"/>
                      <w:color w:val="auto"/>
                      <w:kern w:val="0"/>
                      <w:sz w:val="21"/>
                      <w:szCs w:val="21"/>
                      <w:lang w:val="en-US" w:eastAsia="zh-CN"/>
                    </w:rPr>
                    <w:t>%</w:t>
                  </w:r>
                  <w:r>
                    <w:rPr>
                      <w:rFonts w:hint="eastAsia" w:cs="Times New Roman"/>
                      <w:color w:val="auto"/>
                      <w:kern w:val="0"/>
                      <w:sz w:val="21"/>
                      <w:szCs w:val="21"/>
                      <w:lang w:val="en-US" w:eastAsia="zh-CN"/>
                    </w:rPr>
                    <w:t>，三羟甲基丙烷</w:t>
                  </w:r>
                  <w:r>
                    <w:rPr>
                      <w:rFonts w:hint="default" w:ascii="Times New Roman" w:hAnsi="Times New Roman" w:cs="Times New Roman"/>
                      <w:color w:val="auto"/>
                      <w:kern w:val="0"/>
                      <w:sz w:val="21"/>
                      <w:szCs w:val="21"/>
                      <w:lang w:val="en-US" w:eastAsia="zh-CN"/>
                    </w:rPr>
                    <w:t>≤</w:t>
                  </w:r>
                  <w:r>
                    <w:rPr>
                      <w:rFonts w:hint="eastAsia" w:cs="Times New Roman"/>
                      <w:color w:val="auto"/>
                      <w:kern w:val="0"/>
                      <w:sz w:val="21"/>
                      <w:szCs w:val="21"/>
                      <w:lang w:val="en-US" w:eastAsia="zh-CN"/>
                    </w:rPr>
                    <w:t>0.3</w:t>
                  </w:r>
                  <w:r>
                    <w:rPr>
                      <w:rFonts w:hint="default" w:ascii="Times New Roman" w:hAnsi="Times New Roman" w:cs="Times New Roman"/>
                      <w:color w:val="auto"/>
                      <w:kern w:val="0"/>
                      <w:sz w:val="21"/>
                      <w:szCs w:val="21"/>
                      <w:lang w:val="en-US" w:eastAsia="zh-CN"/>
                    </w:rPr>
                    <w:t>%</w:t>
                  </w:r>
                </w:p>
              </w:tc>
              <w:tc>
                <w:tcPr>
                  <w:tcW w:w="545" w:type="pct"/>
                  <w:tcBorders>
                    <w:tl2br w:val="nil"/>
                    <w:tr2bl w:val="nil"/>
                  </w:tcBorders>
                  <w:shd w:val="clear" w:color="auto" w:fill="auto"/>
                  <w:vAlign w:val="center"/>
                </w:tcPr>
                <w:p w14:paraId="647F74EE">
                  <w:pPr>
                    <w:adjustRightInd w:val="0"/>
                    <w:snapToGrid w:val="0"/>
                    <w:jc w:val="center"/>
                    <w:rPr>
                      <w:rFonts w:hint="default" w:eastAsia="宋体"/>
                      <w:color w:val="auto"/>
                      <w:spacing w:val="5"/>
                      <w:kern w:val="0"/>
                      <w:lang w:val="en-US" w:eastAsia="zh-CN"/>
                    </w:rPr>
                  </w:pPr>
                  <w:r>
                    <w:rPr>
                      <w:rFonts w:hint="eastAsia"/>
                      <w:color w:val="auto"/>
                      <w:spacing w:val="5"/>
                      <w:kern w:val="0"/>
                      <w:lang w:val="en-US" w:eastAsia="zh-CN"/>
                    </w:rPr>
                    <w:t>3.5</w:t>
                  </w:r>
                </w:p>
              </w:tc>
              <w:tc>
                <w:tcPr>
                  <w:tcW w:w="851" w:type="pct"/>
                  <w:tcBorders>
                    <w:tl2br w:val="nil"/>
                    <w:tr2bl w:val="nil"/>
                  </w:tcBorders>
                  <w:shd w:val="clear" w:color="auto" w:fill="auto"/>
                  <w:vAlign w:val="center"/>
                </w:tcPr>
                <w:p w14:paraId="49A092D2">
                  <w:pPr>
                    <w:adjustRightInd w:val="0"/>
                    <w:snapToGrid w:val="0"/>
                    <w:jc w:val="center"/>
                    <w:rPr>
                      <w:rFonts w:hint="default" w:eastAsia="宋体"/>
                      <w:color w:val="auto"/>
                      <w:spacing w:val="5"/>
                      <w:kern w:val="0"/>
                      <w:lang w:val="en-US" w:eastAsia="zh-CN"/>
                    </w:rPr>
                  </w:pPr>
                  <w:r>
                    <w:rPr>
                      <w:rFonts w:hint="eastAsia"/>
                      <w:color w:val="auto"/>
                      <w:spacing w:val="5"/>
                      <w:kern w:val="0"/>
                      <w:lang w:val="en-US" w:eastAsia="zh-CN"/>
                    </w:rPr>
                    <w:t>52.3</w:t>
                  </w:r>
                </w:p>
              </w:tc>
              <w:tc>
                <w:tcPr>
                  <w:tcW w:w="760" w:type="pct"/>
                  <w:tcBorders>
                    <w:tl2br w:val="nil"/>
                    <w:tr2bl w:val="nil"/>
                  </w:tcBorders>
                  <w:shd w:val="clear" w:color="auto" w:fill="auto"/>
                  <w:vAlign w:val="center"/>
                </w:tcPr>
                <w:p w14:paraId="416B30CD">
                  <w:pPr>
                    <w:adjustRightInd w:val="0"/>
                    <w:snapToGrid w:val="0"/>
                    <w:jc w:val="center"/>
                    <w:rPr>
                      <w:color w:val="auto"/>
                      <w:spacing w:val="5"/>
                      <w:kern w:val="0"/>
                    </w:rPr>
                  </w:pPr>
                  <w:r>
                    <w:rPr>
                      <w:color w:val="auto"/>
                      <w:spacing w:val="5"/>
                      <w:kern w:val="0"/>
                    </w:rPr>
                    <w:t>3</w:t>
                  </w:r>
                  <w:r>
                    <w:rPr>
                      <w:rFonts w:hint="eastAsia"/>
                      <w:color w:val="auto"/>
                      <w:spacing w:val="5"/>
                      <w:kern w:val="0"/>
                      <w:lang w:val="en-US" w:eastAsia="zh-CN"/>
                    </w:rPr>
                    <w:t>00</w:t>
                  </w:r>
                  <w:r>
                    <w:rPr>
                      <w:color w:val="auto"/>
                      <w:spacing w:val="5"/>
                      <w:kern w:val="0"/>
                    </w:rPr>
                    <w:t>（g/L）</w:t>
                  </w:r>
                </w:p>
              </w:tc>
              <w:tc>
                <w:tcPr>
                  <w:tcW w:w="459" w:type="pct"/>
                  <w:tcBorders>
                    <w:tl2br w:val="nil"/>
                    <w:tr2bl w:val="nil"/>
                  </w:tcBorders>
                  <w:shd w:val="clear" w:color="auto" w:fill="auto"/>
                  <w:vAlign w:val="center"/>
                </w:tcPr>
                <w:p w14:paraId="2EC0F52E">
                  <w:pPr>
                    <w:adjustRightInd w:val="0"/>
                    <w:snapToGrid w:val="0"/>
                    <w:jc w:val="center"/>
                    <w:rPr>
                      <w:color w:val="auto"/>
                      <w:spacing w:val="5"/>
                      <w:kern w:val="0"/>
                    </w:rPr>
                  </w:pPr>
                  <w:r>
                    <w:rPr>
                      <w:rFonts w:hint="eastAsia"/>
                      <w:color w:val="auto"/>
                      <w:spacing w:val="5"/>
                      <w:kern w:val="0"/>
                      <w:lang w:val="en-US" w:eastAsia="zh-CN"/>
                    </w:rPr>
                    <w:t>达标</w:t>
                  </w:r>
                </w:p>
              </w:tc>
            </w:tr>
            <w:tr w14:paraId="6D3AEDD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5000" w:type="pct"/>
                  <w:gridSpan w:val="6"/>
                  <w:tcBorders>
                    <w:tl2br w:val="nil"/>
                    <w:tr2bl w:val="nil"/>
                  </w:tcBorders>
                  <w:shd w:val="clear" w:color="auto" w:fill="auto"/>
                  <w:vAlign w:val="center"/>
                </w:tcPr>
                <w:p w14:paraId="35D996D6">
                  <w:pPr>
                    <w:adjustRightInd w:val="0"/>
                    <w:snapToGrid w:val="0"/>
                    <w:jc w:val="left"/>
                    <w:rPr>
                      <w:rFonts w:hint="eastAsia"/>
                      <w:color w:val="auto"/>
                      <w:spacing w:val="5"/>
                      <w:kern w:val="0"/>
                      <w:lang w:val="en-US" w:eastAsia="zh-CN"/>
                    </w:rPr>
                  </w:pPr>
                  <w:r>
                    <w:rPr>
                      <w:rFonts w:hint="eastAsia"/>
                      <w:color w:val="auto"/>
                      <w:spacing w:val="5"/>
                      <w:kern w:val="0"/>
                      <w:lang w:val="en-US" w:eastAsia="zh-CN"/>
                    </w:rPr>
                    <w:t>注：*油性漆需添加稀释剂、固化剂调漆使用，油性漆与稀释剂调配比例为10:1，油性漆与固化剂调配比例7:1，为此处挥发性有机物含量为添加稀释剂、固化剂后的挥发量。</w:t>
                  </w:r>
                </w:p>
              </w:tc>
            </w:tr>
          </w:tbl>
          <w:p w14:paraId="0148BDB5">
            <w:pPr>
              <w:adjustRightInd w:val="0"/>
              <w:snapToGrid w:val="0"/>
              <w:spacing w:line="360" w:lineRule="auto"/>
              <w:ind w:firstLine="420" w:firstLineChars="200"/>
              <w:rPr>
                <w:rFonts w:hint="eastAsia" w:eastAsia="宋体" w:cs="宋体"/>
                <w:color w:val="auto"/>
                <w:lang w:val="en-US" w:eastAsia="zh-CN"/>
              </w:rPr>
            </w:pPr>
            <w:r>
              <w:rPr>
                <w:rFonts w:hint="eastAsia" w:cs="宋体"/>
                <w:color w:val="auto"/>
                <w:lang w:val="en-US" w:eastAsia="zh-CN"/>
              </w:rPr>
              <w:t>环氧底漆添加固化剂、稀释剂后挥发量：</w:t>
            </w:r>
          </w:p>
          <w:p w14:paraId="3DC41B0B">
            <w:pPr>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color w:val="auto"/>
                <w:lang w:val="en-US" w:eastAsia="zh-CN"/>
              </w:rPr>
            </w:pPr>
            <w:r>
              <w:rPr>
                <w:rFonts w:hint="eastAsia" w:cs="宋体"/>
                <w:color w:val="auto"/>
                <w:sz w:val="21"/>
                <w:szCs w:val="21"/>
                <w:lang w:val="en-US" w:eastAsia="zh-CN"/>
              </w:rPr>
              <w:t>本项目环氧底漆混合固化剂后VOC检测报告中挥发性有机物含量161g/L，还需添加稀释剂使用，环氧底漆、固化剂、稀释剂用量分别为1.5t/a、0.21t/a、0.15t/a；密度分别为</w:t>
            </w:r>
            <w:r>
              <w:rPr>
                <w:rFonts w:hint="eastAsia" w:cs="宋体"/>
                <w:b w:val="0"/>
                <w:bCs w:val="0"/>
                <w:color w:val="auto"/>
                <w:kern w:val="0"/>
                <w:sz w:val="21"/>
                <w:lang w:val="en-US" w:eastAsia="zh-CN"/>
              </w:rPr>
              <w:t>1.593g/cm</w:t>
            </w:r>
            <w:r>
              <w:rPr>
                <w:rFonts w:hint="eastAsia" w:cs="宋体"/>
                <w:b w:val="0"/>
                <w:bCs w:val="0"/>
                <w:color w:val="auto"/>
                <w:kern w:val="0"/>
                <w:sz w:val="21"/>
                <w:vertAlign w:val="superscript"/>
                <w:lang w:val="en-US" w:eastAsia="zh-CN"/>
              </w:rPr>
              <w:t>3</w:t>
            </w:r>
            <w:r>
              <w:rPr>
                <w:rFonts w:hint="eastAsia" w:cs="宋体"/>
                <w:b w:val="0"/>
                <w:bCs w:val="0"/>
                <w:color w:val="auto"/>
                <w:kern w:val="0"/>
                <w:sz w:val="21"/>
                <w:lang w:val="en-US" w:eastAsia="zh-CN"/>
              </w:rPr>
              <w:t>、固化剂密度为0.983g/cm</w:t>
            </w:r>
            <w:r>
              <w:rPr>
                <w:rFonts w:hint="eastAsia" w:cs="宋体"/>
                <w:b w:val="0"/>
                <w:bCs w:val="0"/>
                <w:color w:val="auto"/>
                <w:kern w:val="0"/>
                <w:sz w:val="21"/>
                <w:vertAlign w:val="superscript"/>
                <w:lang w:val="en-US" w:eastAsia="zh-CN"/>
              </w:rPr>
              <w:t>3</w:t>
            </w:r>
            <w:r>
              <w:rPr>
                <w:rFonts w:hint="eastAsia" w:cs="宋体"/>
                <w:b w:val="0"/>
                <w:bCs w:val="0"/>
                <w:color w:val="auto"/>
                <w:kern w:val="0"/>
                <w:sz w:val="21"/>
                <w:lang w:val="en-US" w:eastAsia="zh-CN"/>
              </w:rPr>
              <w:t>、稀释剂密度为0.857g/cm</w:t>
            </w:r>
            <w:r>
              <w:rPr>
                <w:rFonts w:hint="eastAsia" w:cs="宋体"/>
                <w:b w:val="0"/>
                <w:bCs w:val="0"/>
                <w:color w:val="auto"/>
                <w:kern w:val="0"/>
                <w:sz w:val="21"/>
                <w:vertAlign w:val="superscript"/>
                <w:lang w:val="en-US" w:eastAsia="zh-CN"/>
              </w:rPr>
              <w:t>3</w:t>
            </w:r>
            <w:r>
              <w:rPr>
                <w:rFonts w:hint="eastAsia" w:cs="宋体"/>
                <w:b w:val="0"/>
                <w:bCs w:val="0"/>
                <w:color w:val="auto"/>
                <w:kern w:val="0"/>
                <w:sz w:val="21"/>
                <w:lang w:val="en-US" w:eastAsia="zh-CN"/>
              </w:rPr>
              <w:t>；</w:t>
            </w:r>
          </w:p>
          <w:p w14:paraId="0120FF77">
            <w:pPr>
              <w:pStyle w:val="2"/>
              <w:pageBreakBefore w:val="0"/>
              <w:widowControl w:val="0"/>
              <w:kinsoku/>
              <w:wordWrap/>
              <w:overflowPunct/>
              <w:topLinePunct w:val="0"/>
              <w:autoSpaceDE/>
              <w:autoSpaceDN/>
              <w:bidi w:val="0"/>
              <w:adjustRightInd w:val="0"/>
              <w:snapToGrid w:val="0"/>
              <w:spacing w:before="0" w:after="0" w:line="360" w:lineRule="auto"/>
              <w:ind w:firstLine="420" w:firstLineChars="200"/>
              <w:textAlignment w:val="auto"/>
              <w:rPr>
                <w:rFonts w:hint="default" w:eastAsia="宋体" w:cs="宋体"/>
                <w:b w:val="0"/>
                <w:bCs w:val="0"/>
                <w:color w:val="auto"/>
                <w:sz w:val="21"/>
                <w:szCs w:val="21"/>
                <w:lang w:val="en-US" w:eastAsia="zh-CN"/>
              </w:rPr>
            </w:pPr>
            <w:r>
              <w:rPr>
                <w:rFonts w:hint="eastAsia" w:cs="宋体"/>
                <w:b w:val="0"/>
                <w:bCs w:val="0"/>
                <w:color w:val="auto"/>
                <w:sz w:val="21"/>
                <w:szCs w:val="21"/>
                <w:lang w:val="en-US" w:eastAsia="zh-CN"/>
              </w:rPr>
              <w:t>则环氧底漆体积为0.942</w:t>
            </w:r>
            <w:r>
              <w:rPr>
                <w:rFonts w:hint="eastAsia" w:cs="宋体"/>
                <w:b w:val="0"/>
                <w:bCs w:val="0"/>
                <w:color w:val="auto"/>
                <w:kern w:val="0"/>
                <w:sz w:val="21"/>
                <w:lang w:val="en-US" w:eastAsia="zh-CN"/>
              </w:rPr>
              <w:t>m</w:t>
            </w:r>
            <w:r>
              <w:rPr>
                <w:rFonts w:hint="eastAsia" w:cs="宋体"/>
                <w:b w:val="0"/>
                <w:bCs w:val="0"/>
                <w:color w:val="auto"/>
                <w:kern w:val="0"/>
                <w:sz w:val="21"/>
                <w:vertAlign w:val="superscript"/>
                <w:lang w:val="en-US" w:eastAsia="zh-CN"/>
              </w:rPr>
              <w:t>3</w:t>
            </w:r>
            <w:r>
              <w:rPr>
                <w:rFonts w:hint="eastAsia" w:cs="宋体"/>
                <w:b w:val="0"/>
                <w:bCs w:val="0"/>
                <w:color w:val="auto"/>
                <w:kern w:val="0"/>
                <w:sz w:val="21"/>
                <w:lang w:val="en-US" w:eastAsia="zh-CN"/>
              </w:rPr>
              <w:t>、固化剂体积为</w:t>
            </w:r>
            <w:r>
              <w:rPr>
                <w:rFonts w:hint="eastAsia" w:cs="宋体"/>
                <w:b w:val="0"/>
                <w:bCs w:val="0"/>
                <w:color w:val="auto"/>
                <w:sz w:val="21"/>
                <w:szCs w:val="21"/>
                <w:lang w:val="en-US" w:eastAsia="zh-CN"/>
              </w:rPr>
              <w:t>0.213</w:t>
            </w:r>
            <w:r>
              <w:rPr>
                <w:rFonts w:hint="eastAsia" w:cs="宋体"/>
                <w:b w:val="0"/>
                <w:bCs w:val="0"/>
                <w:color w:val="auto"/>
                <w:kern w:val="0"/>
                <w:sz w:val="21"/>
                <w:lang w:val="en-US" w:eastAsia="zh-CN"/>
              </w:rPr>
              <w:t>m</w:t>
            </w:r>
            <w:r>
              <w:rPr>
                <w:rFonts w:hint="eastAsia" w:cs="宋体"/>
                <w:b w:val="0"/>
                <w:bCs w:val="0"/>
                <w:color w:val="auto"/>
                <w:kern w:val="0"/>
                <w:sz w:val="21"/>
                <w:vertAlign w:val="superscript"/>
                <w:lang w:val="en-US" w:eastAsia="zh-CN"/>
              </w:rPr>
              <w:t>3</w:t>
            </w:r>
            <w:r>
              <w:rPr>
                <w:rFonts w:hint="eastAsia" w:cs="宋体"/>
                <w:b w:val="0"/>
                <w:bCs w:val="0"/>
                <w:color w:val="auto"/>
                <w:kern w:val="0"/>
                <w:sz w:val="21"/>
                <w:lang w:val="en-US" w:eastAsia="zh-CN"/>
              </w:rPr>
              <w:t>、稀释剂体积为</w:t>
            </w:r>
            <w:r>
              <w:rPr>
                <w:rFonts w:hint="eastAsia" w:cs="宋体"/>
                <w:b w:val="0"/>
                <w:bCs w:val="0"/>
                <w:color w:val="auto"/>
                <w:sz w:val="21"/>
                <w:szCs w:val="21"/>
                <w:lang w:val="en-US" w:eastAsia="zh-CN"/>
              </w:rPr>
              <w:t>0.175</w:t>
            </w:r>
            <w:r>
              <w:rPr>
                <w:rFonts w:hint="eastAsia" w:cs="宋体"/>
                <w:b w:val="0"/>
                <w:bCs w:val="0"/>
                <w:color w:val="auto"/>
                <w:kern w:val="0"/>
                <w:sz w:val="21"/>
                <w:lang w:val="en-US" w:eastAsia="zh-CN"/>
              </w:rPr>
              <w:t>m</w:t>
            </w:r>
            <w:r>
              <w:rPr>
                <w:rFonts w:hint="eastAsia" w:cs="宋体"/>
                <w:b w:val="0"/>
                <w:bCs w:val="0"/>
                <w:color w:val="auto"/>
                <w:kern w:val="0"/>
                <w:sz w:val="21"/>
                <w:vertAlign w:val="superscript"/>
                <w:lang w:val="en-US" w:eastAsia="zh-CN"/>
              </w:rPr>
              <w:t>3</w:t>
            </w:r>
            <w:r>
              <w:rPr>
                <w:rFonts w:hint="eastAsia" w:cs="宋体"/>
                <w:b w:val="0"/>
                <w:bCs w:val="0"/>
                <w:color w:val="auto"/>
                <w:kern w:val="0"/>
                <w:sz w:val="21"/>
                <w:vertAlign w:val="baseline"/>
                <w:lang w:val="en-US" w:eastAsia="zh-CN"/>
              </w:rPr>
              <w:t>；</w:t>
            </w:r>
          </w:p>
          <w:p w14:paraId="7B1683BF">
            <w:pPr>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eastAsia="宋体" w:cs="宋体"/>
                <w:b w:val="0"/>
                <w:bCs w:val="0"/>
                <w:color w:val="auto"/>
                <w:sz w:val="21"/>
                <w:szCs w:val="21"/>
                <w:lang w:val="en-US" w:eastAsia="zh-CN"/>
              </w:rPr>
            </w:pPr>
            <w:r>
              <w:rPr>
                <w:rFonts w:hint="eastAsia" w:cs="宋体"/>
                <w:b w:val="0"/>
                <w:bCs w:val="0"/>
                <w:color w:val="auto"/>
                <w:sz w:val="21"/>
                <w:szCs w:val="21"/>
                <w:lang w:val="en-US" w:eastAsia="zh-CN"/>
              </w:rPr>
              <w:t>底漆、固化剂混合后体积为1.155</w:t>
            </w:r>
            <w:r>
              <w:rPr>
                <w:rFonts w:hint="eastAsia" w:cs="宋体"/>
                <w:b w:val="0"/>
                <w:bCs w:val="0"/>
                <w:color w:val="auto"/>
                <w:kern w:val="0"/>
                <w:sz w:val="21"/>
                <w:lang w:val="en-US" w:eastAsia="zh-CN"/>
              </w:rPr>
              <w:t>m</w:t>
            </w:r>
            <w:r>
              <w:rPr>
                <w:rFonts w:hint="eastAsia" w:cs="宋体"/>
                <w:b w:val="0"/>
                <w:bCs w:val="0"/>
                <w:color w:val="auto"/>
                <w:kern w:val="0"/>
                <w:sz w:val="21"/>
                <w:vertAlign w:val="superscript"/>
                <w:lang w:val="en-US" w:eastAsia="zh-CN"/>
              </w:rPr>
              <w:t>3</w:t>
            </w:r>
            <w:r>
              <w:rPr>
                <w:rFonts w:hint="eastAsia" w:cs="宋体"/>
                <w:b w:val="0"/>
                <w:bCs w:val="0"/>
                <w:color w:val="auto"/>
                <w:kern w:val="0"/>
                <w:sz w:val="21"/>
                <w:lang w:val="en-US" w:eastAsia="zh-CN"/>
              </w:rPr>
              <w:t>，</w:t>
            </w:r>
            <w:r>
              <w:rPr>
                <w:rFonts w:hint="eastAsia" w:cs="宋体"/>
                <w:color w:val="auto"/>
                <w:sz w:val="21"/>
                <w:szCs w:val="21"/>
                <w:lang w:val="en-US" w:eastAsia="zh-CN"/>
              </w:rPr>
              <w:t>底漆混合固化剂后挥发性有机物含量161g/L，则混合后质量为0.186t；</w:t>
            </w:r>
          </w:p>
          <w:p w14:paraId="4678109A">
            <w:pPr>
              <w:adjustRightInd w:val="0"/>
              <w:snapToGrid w:val="0"/>
              <w:spacing w:line="360" w:lineRule="auto"/>
              <w:ind w:firstLine="420" w:firstLineChars="200"/>
              <w:rPr>
                <w:rFonts w:hint="default"/>
                <w:b w:val="0"/>
                <w:bCs w:val="0"/>
                <w:color w:val="auto"/>
                <w:sz w:val="21"/>
                <w:szCs w:val="21"/>
                <w:lang w:val="en-US" w:eastAsia="zh-CN"/>
              </w:rPr>
            </w:pPr>
            <w:r>
              <w:rPr>
                <w:rFonts w:hint="eastAsia"/>
                <w:b w:val="0"/>
                <w:bCs w:val="0"/>
                <w:color w:val="auto"/>
                <w:sz w:val="21"/>
                <w:szCs w:val="21"/>
                <w:lang w:val="en-US" w:eastAsia="zh-CN"/>
              </w:rPr>
              <w:t>混合稀释剂后总体积为1.33</w:t>
            </w:r>
            <w:r>
              <w:rPr>
                <w:rFonts w:hint="eastAsia" w:cs="宋体"/>
                <w:b w:val="0"/>
                <w:bCs w:val="0"/>
                <w:color w:val="auto"/>
                <w:kern w:val="0"/>
                <w:sz w:val="21"/>
                <w:lang w:val="en-US" w:eastAsia="zh-CN"/>
              </w:rPr>
              <w:t>m</w:t>
            </w:r>
            <w:r>
              <w:rPr>
                <w:rFonts w:hint="eastAsia" w:cs="宋体"/>
                <w:b w:val="0"/>
                <w:bCs w:val="0"/>
                <w:color w:val="auto"/>
                <w:kern w:val="0"/>
                <w:sz w:val="21"/>
                <w:vertAlign w:val="superscript"/>
                <w:lang w:val="en-US" w:eastAsia="zh-CN"/>
              </w:rPr>
              <w:t>3</w:t>
            </w:r>
            <w:r>
              <w:rPr>
                <w:rFonts w:hint="eastAsia" w:cs="宋体"/>
                <w:b w:val="0"/>
                <w:bCs w:val="0"/>
                <w:color w:val="auto"/>
                <w:kern w:val="0"/>
                <w:sz w:val="21"/>
                <w:lang w:val="en-US" w:eastAsia="zh-CN"/>
              </w:rPr>
              <w:t>，VOC质量为0.336t，则VOC含量为252.6g/L；</w:t>
            </w:r>
          </w:p>
          <w:p w14:paraId="798295EE">
            <w:pPr>
              <w:adjustRightInd w:val="0"/>
              <w:snapToGrid w:val="0"/>
              <w:spacing w:line="360" w:lineRule="auto"/>
              <w:ind w:firstLine="420" w:firstLineChars="200"/>
              <w:rPr>
                <w:rFonts w:hint="default" w:eastAsia="宋体" w:cs="宋体"/>
                <w:color w:val="auto"/>
                <w:lang w:val="en-US" w:eastAsia="zh-CN"/>
              </w:rPr>
            </w:pPr>
            <w:r>
              <w:rPr>
                <w:rFonts w:hint="eastAsia" w:cs="宋体"/>
                <w:color w:val="auto"/>
                <w:lang w:val="en-US" w:eastAsia="zh-CN"/>
              </w:rPr>
              <w:t>聚氨酯厚浆面漆添加固化剂、稀释剂后挥发量：</w:t>
            </w:r>
          </w:p>
          <w:p w14:paraId="4737164A">
            <w:pPr>
              <w:adjustRightInd w:val="0"/>
              <w:snapToGrid w:val="0"/>
              <w:spacing w:line="360" w:lineRule="auto"/>
              <w:ind w:firstLine="420" w:firstLineChars="200"/>
              <w:rPr>
                <w:rFonts w:hint="eastAsia" w:cs="宋体"/>
                <w:color w:val="auto"/>
              </w:rPr>
            </w:pPr>
            <w:r>
              <w:rPr>
                <w:rFonts w:hint="eastAsia" w:cs="宋体"/>
                <w:color w:val="auto"/>
                <w:lang w:val="en-US" w:eastAsia="zh-CN"/>
              </w:rPr>
              <w:t>同上，VOC含量为379g/L。</w:t>
            </w:r>
          </w:p>
          <w:p w14:paraId="4DFD85D2">
            <w:pPr>
              <w:adjustRightInd w:val="0"/>
              <w:snapToGrid w:val="0"/>
              <w:spacing w:line="360" w:lineRule="auto"/>
              <w:ind w:firstLine="420" w:firstLineChars="200"/>
              <w:rPr>
                <w:rFonts w:cs="宋体"/>
                <w:color w:val="auto"/>
              </w:rPr>
            </w:pPr>
            <w:r>
              <w:rPr>
                <w:rFonts w:hint="eastAsia" w:cs="宋体"/>
                <w:color w:val="auto"/>
              </w:rPr>
              <w:t>根据《低挥发性有机化合物含量涂料产品技术要求》（GB/T 38597-2020）：</w:t>
            </w:r>
          </w:p>
          <w:p w14:paraId="18CC2771">
            <w:pPr>
              <w:adjustRightInd w:val="0"/>
              <w:snapToGrid w:val="0"/>
              <w:spacing w:line="360" w:lineRule="auto"/>
              <w:ind w:firstLine="420" w:firstLineChars="200"/>
              <w:rPr>
                <w:rFonts w:cs="宋体"/>
                <w:color w:val="auto"/>
              </w:rPr>
            </w:pPr>
            <w:r>
              <w:rPr>
                <w:rFonts w:hint="eastAsia" w:cs="宋体"/>
                <w:color w:val="auto"/>
              </w:rPr>
              <w:t>“表2 溶剂型涂料中VOC含量的要求”中“</w:t>
            </w:r>
            <w:r>
              <w:rPr>
                <w:rFonts w:hint="eastAsia" w:cs="宋体"/>
                <w:color w:val="auto"/>
                <w:lang w:val="en-US" w:eastAsia="zh-CN"/>
              </w:rPr>
              <w:t>工业防护涂料</w:t>
            </w:r>
            <w:r>
              <w:rPr>
                <w:rFonts w:hint="eastAsia" w:cs="宋体"/>
                <w:color w:val="auto"/>
              </w:rPr>
              <w:t>-</w:t>
            </w:r>
            <w:r>
              <w:rPr>
                <w:rFonts w:hint="eastAsia" w:cs="宋体"/>
                <w:color w:val="auto"/>
                <w:lang w:val="en-US" w:eastAsia="zh-CN"/>
              </w:rPr>
              <w:t>机械设备涂料-工程机械和农业机械涂料（含零部件涂料）</w:t>
            </w:r>
            <w:r>
              <w:rPr>
                <w:rFonts w:hint="eastAsia" w:cs="宋体"/>
                <w:color w:val="auto"/>
              </w:rPr>
              <w:t>”（底漆喷涂限值为</w:t>
            </w:r>
            <w:r>
              <w:rPr>
                <w:rFonts w:hint="eastAsia" w:cs="宋体"/>
                <w:color w:val="auto"/>
                <w:lang w:val="en-US" w:eastAsia="zh-CN"/>
              </w:rPr>
              <w:t>420</w:t>
            </w:r>
            <w:r>
              <w:rPr>
                <w:rFonts w:hint="eastAsia" w:cs="宋体"/>
                <w:color w:val="auto"/>
              </w:rPr>
              <w:t>g/L，</w:t>
            </w:r>
            <w:r>
              <w:rPr>
                <w:rFonts w:hint="eastAsia" w:cs="宋体"/>
                <w:color w:val="auto"/>
                <w:lang w:val="en-US" w:eastAsia="zh-CN"/>
              </w:rPr>
              <w:t>双组分</w:t>
            </w:r>
            <w:r>
              <w:rPr>
                <w:rFonts w:hint="eastAsia" w:cs="宋体"/>
                <w:color w:val="auto"/>
              </w:rPr>
              <w:t>面漆喷涂限值为</w:t>
            </w:r>
            <w:r>
              <w:rPr>
                <w:rFonts w:hint="eastAsia" w:cs="宋体"/>
                <w:color w:val="auto"/>
                <w:lang w:val="en-US" w:eastAsia="zh-CN"/>
              </w:rPr>
              <w:t>420</w:t>
            </w:r>
            <w:r>
              <w:rPr>
                <w:rFonts w:hint="eastAsia" w:cs="宋体"/>
                <w:color w:val="auto"/>
              </w:rPr>
              <w:t>g/L）。本项目的溶剂型涂料</w:t>
            </w:r>
            <w:r>
              <w:rPr>
                <w:rFonts w:hint="eastAsia" w:cs="宋体"/>
                <w:color w:val="auto"/>
                <w:lang w:val="en-US" w:eastAsia="zh-CN"/>
              </w:rPr>
              <w:t>添加固化剂、稀释剂后</w:t>
            </w:r>
            <w:r>
              <w:rPr>
                <w:rFonts w:hint="eastAsia" w:cs="宋体"/>
                <w:color w:val="auto"/>
              </w:rPr>
              <w:t>均低于相关限值，因此属于低挥发性有机化合物含量涂料。</w:t>
            </w:r>
          </w:p>
          <w:p w14:paraId="5845C7A3">
            <w:pPr>
              <w:adjustRightInd w:val="0"/>
              <w:snapToGrid w:val="0"/>
              <w:spacing w:line="360" w:lineRule="auto"/>
              <w:ind w:firstLine="420" w:firstLineChars="200"/>
              <w:rPr>
                <w:rFonts w:cs="宋体"/>
                <w:color w:val="auto"/>
              </w:rPr>
            </w:pPr>
            <w:r>
              <w:rPr>
                <w:rFonts w:hint="eastAsia" w:cs="宋体"/>
                <w:color w:val="auto"/>
              </w:rPr>
              <w:t>“表1 水性涂料中VOC含量的要求”中“</w:t>
            </w:r>
            <w:r>
              <w:rPr>
                <w:rFonts w:hint="eastAsia" w:cs="宋体"/>
                <w:color w:val="auto"/>
                <w:lang w:val="en-US" w:eastAsia="zh-CN"/>
              </w:rPr>
              <w:t>工业防护涂料</w:t>
            </w:r>
            <w:r>
              <w:rPr>
                <w:rFonts w:hint="eastAsia" w:cs="宋体"/>
                <w:color w:val="auto"/>
              </w:rPr>
              <w:t>-</w:t>
            </w:r>
            <w:r>
              <w:rPr>
                <w:rFonts w:hint="eastAsia" w:cs="宋体"/>
                <w:color w:val="auto"/>
                <w:lang w:val="en-US" w:eastAsia="zh-CN"/>
              </w:rPr>
              <w:t>机械设备涂料-工程机械和农业机械涂料（含零部件涂料）</w:t>
            </w:r>
            <w:r>
              <w:rPr>
                <w:rFonts w:hint="eastAsia" w:cs="宋体"/>
                <w:color w:val="auto"/>
              </w:rPr>
              <w:t>”（底漆喷涂限值为</w:t>
            </w:r>
            <w:r>
              <w:rPr>
                <w:rFonts w:hint="eastAsia" w:cs="宋体"/>
                <w:color w:val="auto"/>
                <w:lang w:val="en-US" w:eastAsia="zh-CN"/>
              </w:rPr>
              <w:t>250</w:t>
            </w:r>
            <w:r>
              <w:rPr>
                <w:rFonts w:hint="eastAsia" w:cs="宋体"/>
                <w:color w:val="auto"/>
              </w:rPr>
              <w:t>g/L，面漆喷涂限值为3</w:t>
            </w:r>
            <w:r>
              <w:rPr>
                <w:rFonts w:hint="eastAsia" w:cs="宋体"/>
                <w:color w:val="auto"/>
                <w:lang w:val="en-US" w:eastAsia="zh-CN"/>
              </w:rPr>
              <w:t>0</w:t>
            </w:r>
            <w:r>
              <w:rPr>
                <w:rFonts w:hint="eastAsia" w:cs="宋体"/>
                <w:color w:val="auto"/>
              </w:rPr>
              <w:t>0g/L）。本项目的水性涂料均低于相关限值，因此属于低挥发性有机化合物含量涂料。</w:t>
            </w:r>
          </w:p>
          <w:p w14:paraId="0E41544B">
            <w:pPr>
              <w:adjustRightInd w:val="0"/>
              <w:snapToGrid w:val="0"/>
              <w:spacing w:line="360" w:lineRule="auto"/>
              <w:ind w:firstLine="420" w:firstLineChars="200"/>
              <w:rPr>
                <w:rFonts w:cs="宋体"/>
                <w:color w:val="auto"/>
              </w:rPr>
            </w:pPr>
            <w:r>
              <w:rPr>
                <w:rFonts w:hint="eastAsia" w:cs="宋体"/>
                <w:color w:val="auto"/>
              </w:rPr>
              <w:t>综上可得，本项目所使用的涂料均为低挥发性有机化合物涂料，满足环保管理及相关技术要求。故项目拟选用涂料类型合理可行。</w:t>
            </w:r>
          </w:p>
          <w:p w14:paraId="6B875A9D">
            <w:pPr>
              <w:adjustRightInd w:val="0"/>
              <w:snapToGrid w:val="0"/>
              <w:spacing w:line="360" w:lineRule="auto"/>
              <w:ind w:firstLine="422" w:firstLineChars="200"/>
              <w:rPr>
                <w:rFonts w:cs="宋体"/>
                <w:b/>
                <w:bCs/>
                <w:color w:val="auto"/>
              </w:rPr>
            </w:pPr>
            <w:r>
              <w:rPr>
                <w:rFonts w:hint="eastAsia" w:cs="宋体"/>
                <w:b/>
                <w:bCs/>
                <w:color w:val="auto"/>
              </w:rPr>
              <w:t>②喷枪清洗剂合规性说明</w:t>
            </w:r>
          </w:p>
          <w:p w14:paraId="06B48DAC">
            <w:pPr>
              <w:adjustRightInd w:val="0"/>
              <w:snapToGrid w:val="0"/>
              <w:spacing w:line="360" w:lineRule="auto"/>
              <w:ind w:firstLine="420" w:firstLineChars="200"/>
              <w:rPr>
                <w:rFonts w:cs="宋体"/>
                <w:color w:val="auto"/>
              </w:rPr>
            </w:pPr>
            <w:r>
              <w:rPr>
                <w:rFonts w:hint="eastAsia" w:cs="宋体"/>
                <w:color w:val="auto"/>
              </w:rPr>
              <w:t>本项目喷枪</w:t>
            </w:r>
            <w:r>
              <w:rPr>
                <w:rFonts w:hint="eastAsia" w:cs="宋体"/>
                <w:color w:val="auto"/>
                <w:lang w:val="en-US" w:eastAsia="zh-CN"/>
              </w:rPr>
              <w:t>每天</w:t>
            </w:r>
            <w:r>
              <w:rPr>
                <w:rFonts w:hint="eastAsia" w:cs="宋体"/>
                <w:color w:val="auto"/>
              </w:rPr>
              <w:t>清洗</w:t>
            </w:r>
            <w:r>
              <w:rPr>
                <w:rFonts w:hint="eastAsia" w:cs="宋体"/>
                <w:color w:val="auto"/>
                <w:lang w:val="en-US" w:eastAsia="zh-CN"/>
              </w:rPr>
              <w:t>一次</w:t>
            </w:r>
            <w:r>
              <w:rPr>
                <w:rFonts w:hint="eastAsia" w:cs="宋体"/>
                <w:color w:val="auto"/>
              </w:rPr>
              <w:t>，根据《清洗剂挥发性有机物含量限值》（GB38508-2020）中“5.</w:t>
            </w:r>
            <w:r>
              <w:rPr>
                <w:rFonts w:hint="eastAsia" w:cs="宋体"/>
                <w:color w:val="auto"/>
                <w:lang w:val="en-US" w:eastAsia="zh-CN"/>
              </w:rPr>
              <w:t>1</w:t>
            </w:r>
            <w:r>
              <w:rPr>
                <w:rFonts w:hint="eastAsia" w:cs="宋体"/>
                <w:color w:val="auto"/>
              </w:rPr>
              <w:t>：清洗剂中VOC含量及特定挥发性有机物含量应符合表1中的要求。”VOC限值为</w:t>
            </w:r>
            <w:r>
              <w:rPr>
                <w:rFonts w:hint="eastAsia" w:cs="宋体"/>
                <w:color w:val="auto"/>
                <w:lang w:val="en-US" w:eastAsia="zh-CN"/>
              </w:rPr>
              <w:t>9</w:t>
            </w:r>
            <w:r>
              <w:rPr>
                <w:rFonts w:hint="eastAsia" w:cs="宋体"/>
                <w:color w:val="auto"/>
              </w:rPr>
              <w:t>00g/L。本项目采用</w:t>
            </w:r>
            <w:r>
              <w:rPr>
                <w:rFonts w:hint="eastAsia" w:cs="宋体"/>
                <w:color w:val="auto"/>
                <w:lang w:val="en-US" w:eastAsia="zh-CN"/>
              </w:rPr>
              <w:t>稀释剂</w:t>
            </w:r>
            <w:r>
              <w:rPr>
                <w:rFonts w:hint="eastAsia" w:cs="宋体"/>
                <w:color w:val="auto"/>
              </w:rPr>
              <w:t>作为喷枪清洗剂，</w:t>
            </w:r>
            <w:r>
              <w:rPr>
                <w:rFonts w:hint="eastAsia" w:cs="宋体"/>
                <w:color w:val="auto"/>
                <w:lang w:val="en-US" w:eastAsia="zh-CN"/>
              </w:rPr>
              <w:t>属于有机溶剂清洗剂，稀释剂</w:t>
            </w:r>
            <w:r>
              <w:rPr>
                <w:rFonts w:hint="eastAsia" w:cs="宋体"/>
                <w:color w:val="auto"/>
              </w:rPr>
              <w:t>的密度为0.8</w:t>
            </w:r>
            <w:r>
              <w:rPr>
                <w:rFonts w:hint="eastAsia" w:cs="宋体"/>
                <w:color w:val="auto"/>
                <w:lang w:val="en-US" w:eastAsia="zh-CN"/>
              </w:rPr>
              <w:t>57</w:t>
            </w:r>
            <w:r>
              <w:rPr>
                <w:rFonts w:hint="eastAsia" w:cs="宋体"/>
                <w:color w:val="auto"/>
              </w:rPr>
              <w:t>g/cm</w:t>
            </w:r>
            <w:r>
              <w:rPr>
                <w:rFonts w:hint="eastAsia" w:cs="宋体"/>
                <w:color w:val="auto"/>
                <w:vertAlign w:val="superscript"/>
              </w:rPr>
              <w:t>3</w:t>
            </w:r>
            <w:r>
              <w:rPr>
                <w:rFonts w:hint="eastAsia" w:cs="宋体"/>
                <w:color w:val="auto"/>
              </w:rPr>
              <w:t>，则喷枪清洗剂中VOCs限值为</w:t>
            </w:r>
            <w:r>
              <w:rPr>
                <w:rFonts w:hint="eastAsia" w:cs="宋体"/>
                <w:color w:val="auto"/>
                <w:lang w:val="en-US" w:eastAsia="zh-CN"/>
              </w:rPr>
              <w:t>857</w:t>
            </w:r>
            <w:r>
              <w:rPr>
                <w:rFonts w:hint="eastAsia" w:cs="宋体"/>
                <w:color w:val="auto"/>
              </w:rPr>
              <w:t>g/L，小于（GB38508-2020）限值中</w:t>
            </w:r>
            <w:r>
              <w:rPr>
                <w:rFonts w:hint="eastAsia" w:cs="宋体"/>
                <w:color w:val="auto"/>
                <w:lang w:val="en-US" w:eastAsia="zh-CN"/>
              </w:rPr>
              <w:t>900</w:t>
            </w:r>
            <w:r>
              <w:rPr>
                <w:rFonts w:hint="eastAsia" w:cs="宋体"/>
                <w:color w:val="auto"/>
              </w:rPr>
              <w:t>g/L的要求。因此本项目使用的清洗剂满足《清洗剂挥发性有机化合物含量限值》（GB38508-2020）要求。</w:t>
            </w:r>
          </w:p>
          <w:p w14:paraId="2A6ACE0C">
            <w:pPr>
              <w:autoSpaceDE w:val="0"/>
              <w:autoSpaceDN w:val="0"/>
              <w:adjustRightInd w:val="0"/>
              <w:snapToGrid w:val="0"/>
              <w:spacing w:line="360" w:lineRule="auto"/>
              <w:jc w:val="left"/>
              <w:rPr>
                <w:rFonts w:cs="宋体"/>
                <w:b/>
                <w:bCs/>
                <w:color w:val="auto"/>
              </w:rPr>
            </w:pPr>
            <w:r>
              <w:rPr>
                <w:rFonts w:hint="eastAsia" w:cs="宋体"/>
                <w:b/>
                <w:bCs/>
                <w:color w:val="auto"/>
              </w:rPr>
              <w:t>2.1.6 项目选址及平面布局</w:t>
            </w:r>
          </w:p>
          <w:p w14:paraId="07094462">
            <w:pPr>
              <w:adjustRightInd w:val="0"/>
              <w:snapToGrid w:val="0"/>
              <w:spacing w:line="360" w:lineRule="auto"/>
              <w:ind w:firstLine="420" w:firstLineChars="200"/>
              <w:rPr>
                <w:rFonts w:cs="宋体"/>
                <w:color w:val="auto"/>
              </w:rPr>
            </w:pPr>
            <w:r>
              <w:rPr>
                <w:rFonts w:hint="eastAsia" w:cs="宋体"/>
                <w:color w:val="auto"/>
              </w:rPr>
              <w:t>公司选址位于</w:t>
            </w:r>
            <w:r>
              <w:rPr>
                <w:rFonts w:hint="eastAsia"/>
                <w:color w:val="auto"/>
                <w:lang w:eastAsia="zh-CN"/>
              </w:rPr>
              <w:t>江苏省常州市金坛区亿晶路99号</w:t>
            </w:r>
            <w:r>
              <w:rPr>
                <w:rFonts w:hint="eastAsia" w:cs="宋体"/>
                <w:color w:val="auto"/>
              </w:rPr>
              <w:t>建设</w:t>
            </w:r>
            <w:r>
              <w:rPr>
                <w:rFonts w:hint="eastAsia" w:cs="宋体"/>
                <w:color w:val="auto"/>
                <w:lang w:eastAsia="zh-CN"/>
              </w:rPr>
              <w:t>新建年产1000件风电主轴，5000件风电轴承座和1000风电机架和轮毂项目</w:t>
            </w:r>
            <w:r>
              <w:rPr>
                <w:rFonts w:hint="eastAsia" w:cs="宋体"/>
                <w:color w:val="auto"/>
              </w:rPr>
              <w:t>，利用现有厂房</w:t>
            </w:r>
            <w:r>
              <w:rPr>
                <w:rFonts w:hint="eastAsia" w:cs="宋体"/>
                <w:color w:val="auto"/>
                <w:lang w:val="en-US" w:eastAsia="zh-CN"/>
              </w:rPr>
              <w:t>5333</w:t>
            </w:r>
            <w:r>
              <w:rPr>
                <w:rFonts w:hint="eastAsia" w:cs="宋体"/>
                <w:color w:val="auto"/>
              </w:rPr>
              <w:t>m</w:t>
            </w:r>
            <w:r>
              <w:rPr>
                <w:rFonts w:hint="eastAsia" w:cs="宋体"/>
                <w:color w:val="auto"/>
                <w:vertAlign w:val="superscript"/>
              </w:rPr>
              <w:t>2</w:t>
            </w:r>
            <w:r>
              <w:rPr>
                <w:rFonts w:hint="eastAsia" w:cs="宋体"/>
                <w:color w:val="auto"/>
              </w:rPr>
              <w:t>。项目</w:t>
            </w:r>
            <w:r>
              <w:rPr>
                <w:rFonts w:hint="eastAsia" w:cs="宋体"/>
                <w:color w:val="auto"/>
                <w:lang w:val="en-US" w:eastAsia="zh-CN"/>
              </w:rPr>
              <w:t>厂房</w:t>
            </w:r>
            <w:r>
              <w:rPr>
                <w:rFonts w:hint="eastAsia" w:cs="宋体"/>
                <w:color w:val="auto"/>
              </w:rPr>
              <w:t>北侧为</w:t>
            </w:r>
            <w:r>
              <w:rPr>
                <w:rFonts w:hint="eastAsia" w:cs="宋体"/>
                <w:color w:val="auto"/>
                <w:lang w:val="en-US" w:eastAsia="zh-CN"/>
              </w:rPr>
              <w:t>同厂区内其他工业企业</w:t>
            </w:r>
            <w:r>
              <w:rPr>
                <w:rFonts w:hint="eastAsia" w:cs="宋体"/>
                <w:color w:val="auto"/>
              </w:rPr>
              <w:t>，东侧为</w:t>
            </w:r>
            <w:r>
              <w:rPr>
                <w:rFonts w:hint="eastAsia" w:cs="宋体"/>
                <w:color w:val="auto"/>
                <w:lang w:val="en-US" w:eastAsia="zh-CN"/>
              </w:rPr>
              <w:t>凡登（江苏）新型材料有限公司</w:t>
            </w:r>
            <w:r>
              <w:rPr>
                <w:rFonts w:hint="eastAsia" w:cs="宋体"/>
                <w:color w:val="auto"/>
              </w:rPr>
              <w:t>，西侧为</w:t>
            </w:r>
            <w:r>
              <w:rPr>
                <w:rFonts w:hint="eastAsia" w:cs="宋体"/>
                <w:color w:val="auto"/>
                <w:lang w:val="en-US" w:eastAsia="zh-CN"/>
              </w:rPr>
              <w:t>江苏金坛大乘汽车科技产业园</w:t>
            </w:r>
            <w:r>
              <w:rPr>
                <w:rFonts w:hint="eastAsia" w:cs="宋体"/>
                <w:color w:val="auto"/>
              </w:rPr>
              <w:t>，南侧为</w:t>
            </w:r>
            <w:r>
              <w:rPr>
                <w:rFonts w:hint="eastAsia" w:cs="宋体"/>
                <w:color w:val="auto"/>
                <w:lang w:val="en-US" w:eastAsia="zh-CN"/>
              </w:rPr>
              <w:t>科教路</w:t>
            </w:r>
            <w:r>
              <w:rPr>
                <w:rFonts w:hint="eastAsia" w:cs="宋体"/>
                <w:color w:val="auto"/>
                <w:lang w:eastAsia="zh-CN"/>
              </w:rPr>
              <w:t>，</w:t>
            </w:r>
            <w:r>
              <w:rPr>
                <w:rFonts w:hint="eastAsia" w:cs="宋体"/>
                <w:color w:val="auto"/>
                <w:lang w:val="en-US" w:eastAsia="zh-CN"/>
              </w:rPr>
              <w:t>科教路南侧为空地（为规划的工业用地）</w:t>
            </w:r>
            <w:r>
              <w:rPr>
                <w:rFonts w:hint="eastAsia" w:cs="宋体"/>
                <w:color w:val="auto"/>
              </w:rPr>
              <w:t>。项目地理位置图见附图1，周边环境概况图见附图2。</w:t>
            </w:r>
          </w:p>
          <w:p w14:paraId="14AF6D8D">
            <w:pPr>
              <w:adjustRightInd w:val="0"/>
              <w:snapToGrid w:val="0"/>
              <w:spacing w:line="360" w:lineRule="auto"/>
              <w:ind w:firstLine="420" w:firstLineChars="200"/>
              <w:rPr>
                <w:rFonts w:cs="宋体"/>
                <w:color w:val="auto"/>
              </w:rPr>
            </w:pPr>
            <w:r>
              <w:rPr>
                <w:rFonts w:hint="eastAsia" w:cs="宋体"/>
                <w:color w:val="auto"/>
              </w:rPr>
              <w:t>本项目平面布置功能分区明确，车间包括：</w:t>
            </w:r>
            <w:r>
              <w:rPr>
                <w:rFonts w:hint="eastAsia" w:cs="宋体"/>
                <w:color w:val="auto"/>
                <w:lang w:val="en-US" w:eastAsia="zh-CN"/>
              </w:rPr>
              <w:t>清洗房、喷砂房、喷锌房、喷漆房、原材料区、油漆仓库、成品区、一般固废仓库、危废仓库。</w:t>
            </w:r>
            <w:r>
              <w:rPr>
                <w:rFonts w:hint="eastAsia" w:cs="宋体"/>
                <w:color w:val="auto"/>
              </w:rPr>
              <w:t>项目厂区平面布置图见附图3。</w:t>
            </w:r>
          </w:p>
          <w:p w14:paraId="339AC457">
            <w:pPr>
              <w:autoSpaceDE w:val="0"/>
              <w:autoSpaceDN w:val="0"/>
              <w:adjustRightInd w:val="0"/>
              <w:snapToGrid w:val="0"/>
              <w:spacing w:line="360" w:lineRule="auto"/>
              <w:jc w:val="left"/>
              <w:rPr>
                <w:rFonts w:cs="宋体"/>
                <w:color w:val="auto"/>
              </w:rPr>
            </w:pPr>
            <w:r>
              <w:rPr>
                <w:rFonts w:hint="eastAsia" w:cs="宋体"/>
                <w:b/>
                <w:bCs/>
                <w:color w:val="auto"/>
              </w:rPr>
              <w:t>2.1.7 劳动定员及工作时数</w:t>
            </w:r>
          </w:p>
          <w:p w14:paraId="7E5EE0E3">
            <w:pPr>
              <w:adjustRightInd w:val="0"/>
              <w:snapToGrid w:val="0"/>
              <w:spacing w:line="360" w:lineRule="auto"/>
              <w:ind w:firstLine="420" w:firstLineChars="200"/>
              <w:rPr>
                <w:rFonts w:cs="宋体"/>
                <w:color w:val="auto"/>
              </w:rPr>
            </w:pPr>
            <w:r>
              <w:rPr>
                <w:rFonts w:hint="eastAsia" w:cs="宋体"/>
                <w:color w:val="auto"/>
              </w:rPr>
              <w:t>工作制度：员工年工作</w:t>
            </w:r>
            <w:r>
              <w:rPr>
                <w:rFonts w:hint="eastAsia" w:cs="宋体"/>
                <w:color w:val="auto"/>
                <w:lang w:val="en-US" w:eastAsia="zh-CN"/>
              </w:rPr>
              <w:t>300</w:t>
            </w:r>
            <w:r>
              <w:rPr>
                <w:rFonts w:hint="eastAsia" w:cs="宋体"/>
                <w:color w:val="auto"/>
              </w:rPr>
              <w:t>天，</w:t>
            </w:r>
            <w:r>
              <w:rPr>
                <w:rFonts w:hint="eastAsia" w:cs="宋体"/>
                <w:color w:val="auto"/>
                <w:lang w:val="en-US" w:eastAsia="zh-CN"/>
              </w:rPr>
              <w:t>单班</w:t>
            </w:r>
            <w:r>
              <w:rPr>
                <w:rFonts w:hint="eastAsia" w:cs="宋体"/>
                <w:color w:val="auto"/>
              </w:rPr>
              <w:t>制，每班</w:t>
            </w:r>
            <w:r>
              <w:rPr>
                <w:rFonts w:hint="eastAsia" w:cs="宋体"/>
                <w:color w:val="auto"/>
                <w:lang w:val="en-US" w:eastAsia="zh-CN"/>
              </w:rPr>
              <w:t>10</w:t>
            </w:r>
            <w:r>
              <w:rPr>
                <w:rFonts w:hint="eastAsia" w:cs="宋体"/>
                <w:color w:val="auto"/>
              </w:rPr>
              <w:t>小时，年工作时长</w:t>
            </w:r>
            <w:r>
              <w:rPr>
                <w:rFonts w:hint="eastAsia" w:cs="宋体"/>
                <w:color w:val="auto"/>
                <w:lang w:val="en-US" w:eastAsia="zh-CN"/>
              </w:rPr>
              <w:t>3000h</w:t>
            </w:r>
            <w:r>
              <w:rPr>
                <w:rFonts w:hint="eastAsia" w:cs="宋体"/>
                <w:color w:val="auto"/>
              </w:rPr>
              <w:t>/</w:t>
            </w:r>
            <w:r>
              <w:rPr>
                <w:rFonts w:hint="eastAsia" w:cs="宋体"/>
                <w:color w:val="auto"/>
                <w:lang w:val="en-US" w:eastAsia="zh-CN"/>
              </w:rPr>
              <w:t>a</w:t>
            </w:r>
            <w:r>
              <w:rPr>
                <w:rFonts w:hint="eastAsia" w:cs="宋体"/>
                <w:color w:val="auto"/>
              </w:rPr>
              <w:t>。</w:t>
            </w:r>
          </w:p>
          <w:p w14:paraId="24AACF5A">
            <w:pPr>
              <w:adjustRightInd w:val="0"/>
              <w:snapToGrid w:val="0"/>
              <w:spacing w:line="360" w:lineRule="auto"/>
              <w:ind w:firstLine="420" w:firstLineChars="200"/>
              <w:rPr>
                <w:color w:val="auto"/>
              </w:rPr>
            </w:pPr>
            <w:r>
              <w:rPr>
                <w:rFonts w:hint="eastAsia" w:cs="宋体"/>
                <w:color w:val="auto"/>
              </w:rPr>
              <w:t>项目人数：</w:t>
            </w:r>
            <w:r>
              <w:rPr>
                <w:rFonts w:hint="eastAsia"/>
                <w:color w:val="auto"/>
              </w:rPr>
              <w:t>企业拟设员工</w:t>
            </w:r>
            <w:r>
              <w:rPr>
                <w:rFonts w:hint="eastAsia"/>
                <w:color w:val="auto"/>
                <w:lang w:val="en-US" w:eastAsia="zh-CN"/>
              </w:rPr>
              <w:t>30</w:t>
            </w:r>
            <w:r>
              <w:rPr>
                <w:rFonts w:hint="eastAsia"/>
                <w:color w:val="auto"/>
              </w:rPr>
              <w:t>人。</w:t>
            </w:r>
          </w:p>
          <w:p w14:paraId="78187DBE">
            <w:pPr>
              <w:adjustRightInd w:val="0"/>
              <w:snapToGrid w:val="0"/>
              <w:spacing w:line="360" w:lineRule="auto"/>
              <w:ind w:firstLine="420" w:firstLineChars="200"/>
              <w:rPr>
                <w:color w:val="auto"/>
              </w:rPr>
            </w:pPr>
            <w:r>
              <w:rPr>
                <w:rFonts w:hint="eastAsia" w:cs="宋体"/>
                <w:color w:val="auto"/>
              </w:rPr>
              <w:t>本项目不新增食堂、宿舍，员工外出就餐。</w:t>
            </w:r>
          </w:p>
          <w:p w14:paraId="13C06915">
            <w:pPr>
              <w:widowControl/>
              <w:spacing w:line="360" w:lineRule="auto"/>
              <w:rPr>
                <w:rFonts w:cs="宋体"/>
                <w:b/>
                <w:bCs/>
                <w:color w:val="auto"/>
              </w:rPr>
            </w:pPr>
            <w:r>
              <w:rPr>
                <w:rFonts w:hint="eastAsia" w:cs="宋体"/>
                <w:b/>
                <w:bCs/>
                <w:color w:val="auto"/>
              </w:rPr>
              <w:t>2.1.8 给排水</w:t>
            </w:r>
          </w:p>
          <w:p w14:paraId="5C17C65D">
            <w:pPr>
              <w:pStyle w:val="23"/>
              <w:ind w:firstLine="420" w:firstLineChars="200"/>
              <w:rPr>
                <w:color w:val="auto"/>
                <w:kern w:val="0"/>
                <w:sz w:val="21"/>
                <w:szCs w:val="21"/>
              </w:rPr>
            </w:pPr>
            <w:r>
              <w:rPr>
                <w:rFonts w:hint="eastAsia"/>
                <w:color w:val="auto"/>
                <w:kern w:val="0"/>
                <w:sz w:val="21"/>
                <w:szCs w:val="21"/>
              </w:rPr>
              <w:t>本项目用水</w:t>
            </w:r>
            <w:r>
              <w:rPr>
                <w:rFonts w:hint="eastAsia"/>
                <w:color w:val="auto"/>
                <w:kern w:val="0"/>
                <w:sz w:val="21"/>
                <w:szCs w:val="21"/>
                <w:lang w:val="en-US" w:eastAsia="zh-CN"/>
              </w:rPr>
              <w:t>主要为员工</w:t>
            </w:r>
            <w:r>
              <w:rPr>
                <w:rFonts w:hint="eastAsia"/>
                <w:color w:val="auto"/>
                <w:kern w:val="0"/>
                <w:sz w:val="21"/>
                <w:szCs w:val="21"/>
              </w:rPr>
              <w:t>生活用水</w:t>
            </w:r>
            <w:r>
              <w:rPr>
                <w:rFonts w:hint="eastAsia"/>
                <w:color w:val="auto"/>
                <w:kern w:val="0"/>
                <w:sz w:val="21"/>
                <w:szCs w:val="21"/>
                <w:lang w:eastAsia="zh-CN"/>
              </w:rPr>
              <w:t>、</w:t>
            </w:r>
            <w:r>
              <w:rPr>
                <w:rFonts w:hint="eastAsia"/>
                <w:color w:val="auto"/>
                <w:kern w:val="0"/>
                <w:sz w:val="21"/>
                <w:szCs w:val="21"/>
                <w:lang w:val="en-US" w:eastAsia="zh-CN"/>
              </w:rPr>
              <w:t>切削液稀释用水、高温蒸汽清洗机用水</w:t>
            </w:r>
            <w:r>
              <w:rPr>
                <w:rFonts w:hint="eastAsia"/>
                <w:color w:val="auto"/>
                <w:kern w:val="0"/>
                <w:sz w:val="21"/>
                <w:szCs w:val="21"/>
              </w:rPr>
              <w:t>。</w:t>
            </w:r>
          </w:p>
          <w:p w14:paraId="7A082E64">
            <w:pPr>
              <w:adjustRightInd w:val="0"/>
              <w:snapToGrid w:val="0"/>
              <w:spacing w:line="360" w:lineRule="auto"/>
              <w:ind w:firstLine="422" w:firstLineChars="200"/>
              <w:rPr>
                <w:b/>
                <w:bCs/>
                <w:color w:val="auto"/>
                <w:kern w:val="0"/>
                <w:sz w:val="21"/>
              </w:rPr>
            </w:pPr>
            <w:r>
              <w:rPr>
                <w:rFonts w:hint="eastAsia"/>
                <w:b/>
                <w:bCs/>
                <w:color w:val="auto"/>
                <w:kern w:val="0"/>
                <w:sz w:val="21"/>
                <w:lang w:val="en-US" w:eastAsia="zh-CN"/>
              </w:rPr>
              <w:t>①</w:t>
            </w:r>
            <w:r>
              <w:rPr>
                <w:rFonts w:hint="eastAsia"/>
                <w:b/>
                <w:bCs/>
                <w:color w:val="auto"/>
                <w:kern w:val="0"/>
                <w:sz w:val="21"/>
              </w:rPr>
              <w:t>生活用水：</w:t>
            </w:r>
          </w:p>
          <w:p w14:paraId="3F362D12">
            <w:pPr>
              <w:widowControl/>
              <w:adjustRightInd w:val="0"/>
              <w:snapToGrid w:val="0"/>
              <w:spacing w:line="360" w:lineRule="auto"/>
              <w:ind w:firstLine="420" w:firstLineChars="200"/>
              <w:rPr>
                <w:color w:val="auto"/>
                <w:kern w:val="0"/>
                <w:sz w:val="21"/>
              </w:rPr>
            </w:pPr>
            <w:r>
              <w:rPr>
                <w:color w:val="auto"/>
                <w:kern w:val="0"/>
                <w:sz w:val="21"/>
              </w:rPr>
              <w:t>本项目职工</w:t>
            </w:r>
            <w:r>
              <w:rPr>
                <w:rFonts w:hint="eastAsia"/>
                <w:color w:val="auto"/>
                <w:kern w:val="0"/>
                <w:sz w:val="21"/>
              </w:rPr>
              <w:t>定员</w:t>
            </w:r>
            <w:r>
              <w:rPr>
                <w:rFonts w:hint="eastAsia"/>
                <w:color w:val="auto"/>
                <w:kern w:val="0"/>
                <w:sz w:val="21"/>
                <w:lang w:val="en-US" w:eastAsia="zh-CN"/>
              </w:rPr>
              <w:t>30</w:t>
            </w:r>
            <w:r>
              <w:rPr>
                <w:color w:val="auto"/>
                <w:kern w:val="0"/>
                <w:sz w:val="21"/>
              </w:rPr>
              <w:t>人，年</w:t>
            </w:r>
            <w:r>
              <w:rPr>
                <w:rFonts w:hint="eastAsia"/>
                <w:color w:val="auto"/>
                <w:kern w:val="0"/>
                <w:sz w:val="21"/>
              </w:rPr>
              <w:t>工作</w:t>
            </w:r>
            <w:r>
              <w:rPr>
                <w:color w:val="auto"/>
                <w:kern w:val="0"/>
                <w:sz w:val="21"/>
              </w:rPr>
              <w:t>天数</w:t>
            </w:r>
            <w:r>
              <w:rPr>
                <w:rFonts w:hint="eastAsia"/>
                <w:color w:val="auto"/>
                <w:kern w:val="0"/>
                <w:sz w:val="21"/>
              </w:rPr>
              <w:t>为</w:t>
            </w:r>
            <w:r>
              <w:rPr>
                <w:rFonts w:hint="eastAsia"/>
                <w:color w:val="auto"/>
                <w:kern w:val="0"/>
                <w:sz w:val="21"/>
                <w:lang w:val="en-US" w:eastAsia="zh-CN"/>
              </w:rPr>
              <w:t>300</w:t>
            </w:r>
            <w:r>
              <w:rPr>
                <w:color w:val="auto"/>
                <w:kern w:val="0"/>
                <w:sz w:val="21"/>
              </w:rPr>
              <w:t>天，生活用水按</w:t>
            </w:r>
            <w:r>
              <w:rPr>
                <w:rFonts w:hint="eastAsia"/>
                <w:color w:val="auto"/>
                <w:kern w:val="0"/>
                <w:sz w:val="21"/>
              </w:rPr>
              <w:t>100</w:t>
            </w:r>
            <w:r>
              <w:rPr>
                <w:color w:val="auto"/>
                <w:kern w:val="0"/>
                <w:sz w:val="21"/>
              </w:rPr>
              <w:t>L/人·天计，则生活用水量约</w:t>
            </w:r>
            <w:r>
              <w:rPr>
                <w:rFonts w:hint="eastAsia"/>
                <w:color w:val="auto"/>
                <w:kern w:val="0"/>
                <w:sz w:val="21"/>
                <w:lang w:val="en-US" w:eastAsia="zh-CN"/>
              </w:rPr>
              <w:t>900</w:t>
            </w:r>
            <w:r>
              <w:rPr>
                <w:color w:val="auto"/>
                <w:kern w:val="0"/>
                <w:sz w:val="21"/>
              </w:rPr>
              <w:t>t/a；生活污水按用水量</w:t>
            </w:r>
            <w:r>
              <w:rPr>
                <w:rFonts w:hint="eastAsia"/>
                <w:color w:val="auto"/>
                <w:kern w:val="0"/>
                <w:sz w:val="21"/>
              </w:rPr>
              <w:t>8</w:t>
            </w:r>
            <w:r>
              <w:rPr>
                <w:color w:val="auto"/>
                <w:kern w:val="0"/>
                <w:sz w:val="21"/>
              </w:rPr>
              <w:t>0%计，则生活污水产生量约</w:t>
            </w:r>
            <w:r>
              <w:rPr>
                <w:rFonts w:hint="eastAsia"/>
                <w:color w:val="auto"/>
                <w:kern w:val="0"/>
                <w:sz w:val="21"/>
                <w:lang w:val="en-US" w:eastAsia="zh-CN"/>
              </w:rPr>
              <w:t>720</w:t>
            </w:r>
            <w:r>
              <w:rPr>
                <w:color w:val="auto"/>
                <w:kern w:val="0"/>
                <w:sz w:val="21"/>
              </w:rPr>
              <w:t>t/a，接入</w:t>
            </w:r>
            <w:r>
              <w:rPr>
                <w:rFonts w:hint="eastAsia"/>
                <w:color w:val="auto"/>
                <w:kern w:val="0"/>
                <w:sz w:val="21"/>
              </w:rPr>
              <w:t>常州金坛区第二污水处理有限公司</w:t>
            </w:r>
            <w:r>
              <w:rPr>
                <w:rFonts w:hint="eastAsia"/>
                <w:color w:val="auto"/>
                <w:kern w:val="0"/>
                <w:sz w:val="21"/>
                <w:lang w:val="en-US" w:eastAsia="zh-CN"/>
              </w:rPr>
              <w:t>集中处理</w:t>
            </w:r>
            <w:r>
              <w:rPr>
                <w:color w:val="auto"/>
                <w:kern w:val="0"/>
                <w:sz w:val="21"/>
              </w:rPr>
              <w:t>，尾水排入</w:t>
            </w:r>
            <w:r>
              <w:rPr>
                <w:rFonts w:hint="eastAsia"/>
                <w:color w:val="auto"/>
                <w:kern w:val="0"/>
                <w:sz w:val="21"/>
              </w:rPr>
              <w:t>尧塘河。</w:t>
            </w:r>
          </w:p>
          <w:p w14:paraId="0CB5F48C">
            <w:pPr>
              <w:pStyle w:val="23"/>
              <w:ind w:firstLine="422" w:firstLineChars="200"/>
              <w:rPr>
                <w:rFonts w:hint="default" w:eastAsia="宋体"/>
                <w:b/>
                <w:bCs/>
                <w:color w:val="auto"/>
                <w:kern w:val="0"/>
                <w:sz w:val="21"/>
                <w:szCs w:val="21"/>
                <w:lang w:val="en-US" w:eastAsia="zh-CN"/>
              </w:rPr>
            </w:pPr>
            <w:r>
              <w:rPr>
                <w:rFonts w:hint="eastAsia"/>
                <w:b/>
                <w:bCs/>
                <w:color w:val="auto"/>
                <w:kern w:val="0"/>
                <w:sz w:val="21"/>
                <w:szCs w:val="21"/>
                <w:lang w:val="en-US" w:eastAsia="zh-CN"/>
              </w:rPr>
              <w:t>②切削液稀释用水：</w:t>
            </w:r>
          </w:p>
          <w:p w14:paraId="2DF8657D">
            <w:pPr>
              <w:widowControl/>
              <w:adjustRightInd w:val="0"/>
              <w:snapToGrid w:val="0"/>
              <w:spacing w:line="360" w:lineRule="auto"/>
              <w:ind w:firstLine="420" w:firstLineChars="200"/>
              <w:rPr>
                <w:rFonts w:hint="eastAsia"/>
                <w:b/>
                <w:bCs/>
                <w:color w:val="auto"/>
                <w:kern w:val="0"/>
                <w:sz w:val="21"/>
                <w:szCs w:val="21"/>
              </w:rPr>
            </w:pPr>
            <w:r>
              <w:rPr>
                <w:color w:val="auto"/>
                <w:kern w:val="0"/>
                <w:sz w:val="21"/>
              </w:rPr>
              <w:t>本项目</w:t>
            </w:r>
            <w:r>
              <w:rPr>
                <w:rFonts w:hint="eastAsia"/>
                <w:color w:val="auto"/>
                <w:kern w:val="0"/>
                <w:sz w:val="21"/>
                <w:lang w:val="en-US" w:eastAsia="zh-CN"/>
              </w:rPr>
              <w:t>龙门铣床加工过程需添加切削液，切削液年用量为0.4t/a</w:t>
            </w:r>
            <w:r>
              <w:rPr>
                <w:color w:val="auto"/>
                <w:kern w:val="0"/>
                <w:sz w:val="21"/>
              </w:rPr>
              <w:t>，</w:t>
            </w:r>
            <w:r>
              <w:rPr>
                <w:rFonts w:hint="eastAsia"/>
                <w:color w:val="auto"/>
                <w:kern w:val="0"/>
                <w:sz w:val="21"/>
                <w:lang w:val="en-US" w:eastAsia="zh-CN"/>
              </w:rPr>
              <w:t>需兑水使用，兑水比例为1:10，则切削溶液产生量为4.4t/a，使用过程中设备粘带损耗量按80%计，则废切削液产生量约为0.88t/a，收集后委托资质单位处理。</w:t>
            </w:r>
          </w:p>
          <w:p w14:paraId="02E0F2E7">
            <w:pPr>
              <w:pStyle w:val="23"/>
              <w:ind w:firstLine="422" w:firstLineChars="200"/>
              <w:rPr>
                <w:rFonts w:hint="default" w:eastAsia="宋体"/>
                <w:b/>
                <w:bCs/>
                <w:color w:val="auto"/>
                <w:sz w:val="21"/>
                <w:szCs w:val="21"/>
                <w:lang w:val="en-US" w:eastAsia="zh-CN"/>
              </w:rPr>
            </w:pPr>
            <w:r>
              <w:rPr>
                <w:rFonts w:hint="eastAsia"/>
                <w:b/>
                <w:bCs/>
                <w:color w:val="auto"/>
                <w:sz w:val="21"/>
                <w:szCs w:val="21"/>
                <w:lang w:val="en-US" w:eastAsia="zh-CN"/>
              </w:rPr>
              <w:t>③高温蒸汽清洗机用水</w:t>
            </w:r>
          </w:p>
          <w:p w14:paraId="31C53BD2">
            <w:pPr>
              <w:adjustRightInd w:val="0"/>
              <w:snapToGrid w:val="0"/>
              <w:spacing w:line="360" w:lineRule="auto"/>
              <w:ind w:firstLine="420" w:firstLineChars="200"/>
              <w:rPr>
                <w:rFonts w:hint="eastAsia"/>
                <w:b w:val="0"/>
                <w:bCs w:val="0"/>
                <w:color w:val="auto"/>
                <w:sz w:val="21"/>
                <w:szCs w:val="21"/>
              </w:rPr>
            </w:pPr>
            <w:r>
              <w:rPr>
                <w:rFonts w:hint="default" w:ascii="Times New Roman" w:hAnsi="Times New Roman" w:cs="Times New Roman"/>
                <w:color w:val="auto"/>
                <w:kern w:val="0"/>
                <w:sz w:val="21"/>
                <w:szCs w:val="21"/>
                <w:lang w:val="en-US" w:eastAsia="zh-CN"/>
              </w:rPr>
              <w:t>本项目</w:t>
            </w:r>
            <w:r>
              <w:rPr>
                <w:rFonts w:hint="eastAsia" w:cs="Times New Roman"/>
                <w:color w:val="auto"/>
                <w:kern w:val="0"/>
                <w:sz w:val="21"/>
                <w:szCs w:val="21"/>
                <w:lang w:val="en-US" w:eastAsia="zh-CN"/>
              </w:rPr>
              <w:t>经过铣床加工的配件需通过高温蒸汽清洗机利用高温高压蒸汽进行清洁，高温蒸汽清洗机用水量约60t/a，由于蒸汽的扩散性和渗透力强，大部分污渍会被直接汽化或剥离，蒸汽在接触低温表面时会凝结成水，携带部分溶解的污垢形成少量废水（按3%计），则清洗废液产生量约1.8t/a，收集后委托资质单位处理</w:t>
            </w:r>
            <w:r>
              <w:rPr>
                <w:rFonts w:hint="eastAsia"/>
                <w:color w:val="auto"/>
              </w:rPr>
              <w:t>。</w:t>
            </w:r>
          </w:p>
          <w:p w14:paraId="57F841EF">
            <w:pPr>
              <w:pStyle w:val="23"/>
              <w:ind w:firstLine="422" w:firstLineChars="200"/>
              <w:rPr>
                <w:b/>
                <w:bCs/>
                <w:color w:val="auto"/>
                <w:sz w:val="21"/>
                <w:szCs w:val="21"/>
              </w:rPr>
            </w:pPr>
            <w:r>
              <w:rPr>
                <w:rFonts w:hint="eastAsia"/>
                <w:b/>
                <w:bCs/>
                <w:color w:val="auto"/>
                <w:sz w:val="21"/>
                <w:szCs w:val="21"/>
              </w:rPr>
              <w:t>项目水平衡图如下：</w:t>
            </w:r>
          </w:p>
          <w:p w14:paraId="267B2EE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b/>
                <w:color w:val="auto"/>
              </w:rPr>
            </w:pPr>
            <w:r>
              <w:rPr>
                <w:b/>
                <w:color w:val="auto"/>
              </w:rPr>
              <w:object>
                <v:shape id="_x0000_i1025" o:spt="75" type="#_x0000_t75" style="height:230.3pt;width:426.25pt;" o:ole="t" filled="f" o:preferrelative="t" stroked="f" coordsize="21600,21600">
                  <v:path/>
                  <v:fill on="f" focussize="0,0"/>
                  <v:stroke on="f"/>
                  <v:imagedata r:id="rId10" o:title=""/>
                  <o:lock v:ext="edit" aspectratio="f"/>
                  <w10:wrap type="none"/>
                  <w10:anchorlock/>
                </v:shape>
                <o:OLEObject Type="Embed" ProgID="Visio.Drawing.11" ShapeID="_x0000_i1025" DrawAspect="Content" ObjectID="_1468075725" r:id="rId9">
                  <o:LockedField>false</o:LockedField>
                </o:OLEObject>
              </w:object>
            </w:r>
          </w:p>
          <w:p w14:paraId="17779985">
            <w:pPr>
              <w:adjustRightInd w:val="0"/>
              <w:snapToGrid w:val="0"/>
              <w:spacing w:line="360" w:lineRule="auto"/>
              <w:jc w:val="center"/>
              <w:rPr>
                <w:b/>
                <w:color w:val="auto"/>
              </w:rPr>
            </w:pPr>
            <w:r>
              <w:rPr>
                <w:b/>
                <w:color w:val="auto"/>
              </w:rPr>
              <w:t>图2-</w:t>
            </w:r>
            <w:r>
              <w:rPr>
                <w:rFonts w:hint="eastAsia"/>
                <w:b/>
                <w:color w:val="auto"/>
                <w:lang w:val="en-US" w:eastAsia="zh-CN"/>
              </w:rPr>
              <w:t>1</w:t>
            </w:r>
            <w:r>
              <w:rPr>
                <w:rFonts w:hint="eastAsia"/>
                <w:b/>
                <w:color w:val="auto"/>
              </w:rPr>
              <w:t xml:space="preserve">   本项目</w:t>
            </w:r>
            <w:r>
              <w:rPr>
                <w:b/>
                <w:color w:val="auto"/>
              </w:rPr>
              <w:t>水平衡图（t/a）</w:t>
            </w:r>
          </w:p>
          <w:p w14:paraId="29AC6A27">
            <w:pPr>
              <w:adjustRightInd w:val="0"/>
              <w:snapToGrid w:val="0"/>
              <w:spacing w:line="360" w:lineRule="auto"/>
              <w:jc w:val="both"/>
              <w:rPr>
                <w:rFonts w:hint="eastAsia"/>
                <w:b/>
                <w:bCs/>
                <w:color w:val="auto"/>
                <w:lang w:val="en-US" w:eastAsia="zh-CN"/>
              </w:rPr>
            </w:pPr>
            <w:r>
              <w:rPr>
                <w:rFonts w:hint="eastAsia"/>
                <w:b/>
                <w:bCs/>
                <w:color w:val="auto"/>
                <w:lang w:val="en-US" w:eastAsia="zh-CN"/>
              </w:rPr>
              <w:t>2.1.9 涂料平衡</w:t>
            </w:r>
          </w:p>
          <w:p w14:paraId="7BC6C91F">
            <w:pPr>
              <w:pStyle w:val="2"/>
              <w:keepNext/>
              <w:keepLines/>
              <w:pageBreakBefore w:val="0"/>
              <w:widowControl w:val="0"/>
              <w:kinsoku/>
              <w:wordWrap/>
              <w:overflowPunct/>
              <w:topLinePunct w:val="0"/>
              <w:autoSpaceDE/>
              <w:autoSpaceDN/>
              <w:bidi w:val="0"/>
              <w:adjustRightInd w:val="0"/>
              <w:snapToGrid w:val="0"/>
              <w:spacing w:before="0" w:after="0" w:line="360" w:lineRule="auto"/>
              <w:ind w:firstLine="420" w:firstLineChars="200"/>
              <w:textAlignment w:val="auto"/>
              <w:rPr>
                <w:rFonts w:hint="default"/>
                <w:b w:val="0"/>
                <w:bCs w:val="0"/>
                <w:color w:val="auto"/>
                <w:sz w:val="21"/>
                <w:szCs w:val="21"/>
                <w:lang w:val="en-US" w:eastAsia="zh-CN"/>
              </w:rPr>
            </w:pPr>
            <w:r>
              <w:rPr>
                <w:rFonts w:hint="eastAsia"/>
                <w:b w:val="0"/>
                <w:bCs w:val="0"/>
                <w:color w:val="auto"/>
                <w:sz w:val="21"/>
                <w:szCs w:val="21"/>
                <w:lang w:val="en-US" w:eastAsia="zh-CN"/>
              </w:rPr>
              <w:t>根据建设单位提供资料，本项目涂料平衡详见下图：</w:t>
            </w:r>
          </w:p>
          <w:p w14:paraId="6AA56E81">
            <w:pPr>
              <w:adjustRightInd w:val="0"/>
              <w:snapToGrid w:val="0"/>
              <w:jc w:val="center"/>
              <w:rPr>
                <w:b/>
                <w:color w:val="auto"/>
              </w:rPr>
            </w:pPr>
            <w:r>
              <w:rPr>
                <w:b/>
                <w:color w:val="auto"/>
              </w:rPr>
              <w:object>
                <v:shape id="_x0000_i1026" o:spt="75" type="#_x0000_t75" style="height:252.4pt;width:419.55pt;" o:ole="t" filled="f" o:preferrelative="t" stroked="f" coordsize="21600,21600">
                  <v:path/>
                  <v:fill on="f" focussize="0,0"/>
                  <v:stroke on="f"/>
                  <v:imagedata r:id="rId12" o:title=""/>
                  <o:lock v:ext="edit" aspectratio="f"/>
                  <w10:wrap type="none"/>
                  <w10:anchorlock/>
                </v:shape>
                <o:OLEObject Type="Embed" ProgID="Visio.Drawing.11" ShapeID="_x0000_i1026" DrawAspect="Content" ObjectID="_1468075726" r:id="rId11">
                  <o:LockedField>false</o:LockedField>
                </o:OLEObject>
              </w:object>
            </w:r>
          </w:p>
          <w:p w14:paraId="5A5D6E16">
            <w:pPr>
              <w:adjustRightInd w:val="0"/>
              <w:snapToGrid w:val="0"/>
              <w:spacing w:line="360" w:lineRule="auto"/>
              <w:jc w:val="center"/>
              <w:rPr>
                <w:rFonts w:hint="eastAsia" w:eastAsia="宋体"/>
                <w:b/>
                <w:color w:val="auto"/>
                <w:lang w:eastAsia="zh-CN"/>
              </w:rPr>
            </w:pPr>
            <w:r>
              <w:rPr>
                <w:rFonts w:hint="eastAsia"/>
                <w:b/>
                <w:color w:val="auto"/>
              </w:rPr>
              <w:t>图2-</w:t>
            </w:r>
            <w:r>
              <w:rPr>
                <w:rFonts w:hint="eastAsia"/>
                <w:b/>
                <w:color w:val="auto"/>
                <w:lang w:val="en-US" w:eastAsia="zh-CN"/>
              </w:rPr>
              <w:t>2</w:t>
            </w:r>
            <w:r>
              <w:rPr>
                <w:rFonts w:hint="eastAsia"/>
                <w:b/>
                <w:color w:val="auto"/>
              </w:rPr>
              <w:t xml:space="preserve">   </w:t>
            </w:r>
            <w:r>
              <w:rPr>
                <w:rFonts w:hint="eastAsia"/>
                <w:b/>
                <w:color w:val="auto"/>
                <w:lang w:val="en-US" w:eastAsia="zh-CN"/>
              </w:rPr>
              <w:t>水性</w:t>
            </w:r>
            <w:r>
              <w:rPr>
                <w:rFonts w:hint="eastAsia"/>
                <w:b/>
                <w:color w:val="auto"/>
              </w:rPr>
              <w:t>涂料平衡</w:t>
            </w:r>
            <w:r>
              <w:rPr>
                <w:rFonts w:hint="eastAsia"/>
                <w:b/>
                <w:bCs/>
                <w:color w:val="auto"/>
                <w:lang w:eastAsia="zh-CN"/>
              </w:rPr>
              <w:t>（</w:t>
            </w:r>
            <w:r>
              <w:rPr>
                <w:rFonts w:hint="eastAsia"/>
                <w:b/>
                <w:bCs/>
                <w:color w:val="auto"/>
                <w:lang w:val="en-US" w:eastAsia="zh-CN"/>
              </w:rPr>
              <w:t>t/a</w:t>
            </w:r>
            <w:r>
              <w:rPr>
                <w:rFonts w:hint="eastAsia"/>
                <w:b/>
                <w:bCs/>
                <w:color w:val="auto"/>
                <w:lang w:eastAsia="zh-CN"/>
              </w:rPr>
              <w:t>）</w:t>
            </w:r>
          </w:p>
          <w:p w14:paraId="08BF4CE4">
            <w:pPr>
              <w:adjustRightInd w:val="0"/>
              <w:snapToGrid w:val="0"/>
              <w:spacing w:line="360" w:lineRule="auto"/>
              <w:rPr>
                <w:rFonts w:hint="eastAsia"/>
                <w:b/>
                <w:color w:val="auto"/>
              </w:rPr>
            </w:pPr>
            <w:r>
              <w:rPr>
                <w:b/>
                <w:color w:val="auto"/>
              </w:rPr>
              <w:object>
                <v:shape id="_x0000_i1027" o:spt="75" type="#_x0000_t75" style="height:252.4pt;width:419.55pt;" o:ole="t" filled="f" o:preferrelative="t" stroked="f" coordsize="21600,21600">
                  <v:path/>
                  <v:fill on="f" focussize="0,0"/>
                  <v:stroke on="f"/>
                  <v:imagedata r:id="rId14" o:title=""/>
                  <o:lock v:ext="edit" aspectratio="f"/>
                  <w10:wrap type="none"/>
                  <w10:anchorlock/>
                </v:shape>
                <o:OLEObject Type="Embed" ProgID="Visio.Drawing.11" ShapeID="_x0000_i1027" DrawAspect="Content" ObjectID="_1468075727" r:id="rId13">
                  <o:LockedField>false</o:LockedField>
                </o:OLEObject>
              </w:object>
            </w:r>
          </w:p>
          <w:p w14:paraId="0DA53E47">
            <w:pPr>
              <w:adjustRightInd w:val="0"/>
              <w:snapToGrid w:val="0"/>
              <w:spacing w:line="360" w:lineRule="auto"/>
              <w:jc w:val="center"/>
              <w:rPr>
                <w:rFonts w:hint="default" w:eastAsia="宋体"/>
                <w:b/>
                <w:color w:val="auto"/>
                <w:lang w:val="en-US" w:eastAsia="zh-CN"/>
              </w:rPr>
            </w:pPr>
            <w:r>
              <w:rPr>
                <w:rFonts w:hint="eastAsia"/>
                <w:b/>
                <w:color w:val="auto"/>
                <w:lang w:val="en-US" w:eastAsia="zh-CN"/>
              </w:rPr>
              <w:t>图2-3   溶剂型涂料平衡（t/a）</w:t>
            </w:r>
          </w:p>
          <w:p w14:paraId="7B50E1B9">
            <w:pPr>
              <w:adjustRightInd w:val="0"/>
              <w:snapToGrid w:val="0"/>
              <w:spacing w:line="360" w:lineRule="auto"/>
              <w:rPr>
                <w:b/>
                <w:color w:val="auto"/>
              </w:rPr>
            </w:pPr>
            <w:r>
              <w:rPr>
                <w:rFonts w:hint="eastAsia"/>
                <w:b/>
                <w:color w:val="auto"/>
              </w:rPr>
              <w:t>2.1.10 VOCs平衡</w:t>
            </w:r>
          </w:p>
          <w:p w14:paraId="13CABFFB">
            <w:pPr>
              <w:spacing w:line="360" w:lineRule="auto"/>
              <w:ind w:firstLine="420" w:firstLineChars="200"/>
              <w:rPr>
                <w:color w:val="auto"/>
              </w:rPr>
            </w:pPr>
            <w:r>
              <w:rPr>
                <w:rFonts w:hint="eastAsia"/>
                <w:color w:val="auto"/>
              </w:rPr>
              <w:t>本项目有机废气的产生包括底漆（含稀释剂</w:t>
            </w:r>
            <w:r>
              <w:rPr>
                <w:rFonts w:hint="eastAsia"/>
                <w:color w:val="auto"/>
                <w:lang w:eastAsia="zh-CN"/>
              </w:rPr>
              <w:t>、</w:t>
            </w:r>
            <w:r>
              <w:rPr>
                <w:rFonts w:hint="eastAsia"/>
                <w:color w:val="auto"/>
                <w:lang w:val="en-US" w:eastAsia="zh-CN"/>
              </w:rPr>
              <w:t>固化剂</w:t>
            </w:r>
            <w:r>
              <w:rPr>
                <w:rFonts w:hint="eastAsia"/>
                <w:color w:val="auto"/>
              </w:rPr>
              <w:t>）中V</w:t>
            </w:r>
            <w:r>
              <w:rPr>
                <w:color w:val="auto"/>
              </w:rPr>
              <w:t>OCs</w:t>
            </w:r>
            <w:r>
              <w:rPr>
                <w:rFonts w:hint="eastAsia"/>
                <w:color w:val="auto"/>
              </w:rPr>
              <w:t>的含量，面漆（含</w:t>
            </w:r>
            <w:r>
              <w:rPr>
                <w:rFonts w:hint="eastAsia"/>
                <w:color w:val="auto"/>
                <w:lang w:val="en-US" w:eastAsia="zh-CN"/>
              </w:rPr>
              <w:t>稀释剂、固化剂</w:t>
            </w:r>
            <w:r>
              <w:rPr>
                <w:rFonts w:hint="eastAsia"/>
                <w:color w:val="auto"/>
              </w:rPr>
              <w:t>）中V</w:t>
            </w:r>
            <w:r>
              <w:rPr>
                <w:color w:val="auto"/>
              </w:rPr>
              <w:t>OCs</w:t>
            </w:r>
            <w:r>
              <w:rPr>
                <w:rFonts w:hint="eastAsia"/>
                <w:color w:val="auto"/>
              </w:rPr>
              <w:t>的含量</w:t>
            </w:r>
            <w:r>
              <w:rPr>
                <w:rFonts w:hint="eastAsia"/>
                <w:color w:val="auto"/>
                <w:lang w:eastAsia="zh-CN"/>
              </w:rPr>
              <w:t>，</w:t>
            </w:r>
            <w:r>
              <w:rPr>
                <w:rFonts w:hint="eastAsia"/>
                <w:color w:val="auto"/>
                <w:lang w:val="en-US" w:eastAsia="zh-CN"/>
              </w:rPr>
              <w:t>喷枪清洗稀释剂中VOCs的含量</w:t>
            </w:r>
            <w:r>
              <w:rPr>
                <w:rFonts w:hint="eastAsia"/>
                <w:color w:val="auto"/>
              </w:rPr>
              <w:t>。本项目V</w:t>
            </w:r>
            <w:r>
              <w:rPr>
                <w:color w:val="auto"/>
              </w:rPr>
              <w:t>OCs</w:t>
            </w:r>
            <w:r>
              <w:rPr>
                <w:rFonts w:hint="eastAsia"/>
                <w:color w:val="auto"/>
              </w:rPr>
              <w:t>平衡详见下图：</w:t>
            </w:r>
          </w:p>
          <w:p w14:paraId="6E61C89F">
            <w:pPr>
              <w:adjustRightInd w:val="0"/>
              <w:snapToGrid w:val="0"/>
              <w:jc w:val="center"/>
              <w:rPr>
                <w:b/>
                <w:color w:val="auto"/>
              </w:rPr>
            </w:pPr>
            <w:r>
              <w:rPr>
                <w:b/>
                <w:color w:val="auto"/>
              </w:rPr>
              <w:object>
                <v:shape id="_x0000_i1028" o:spt="75" type="#_x0000_t75" style="height:121.45pt;width:287.6pt;" o:ole="t" filled="f" o:preferrelative="t" stroked="f" coordsize="21600,21600">
                  <v:path/>
                  <v:fill on="f" focussize="0,0"/>
                  <v:stroke on="f"/>
                  <v:imagedata r:id="rId16" o:title=""/>
                  <o:lock v:ext="edit" aspectratio="f"/>
                  <w10:wrap type="none"/>
                  <w10:anchorlock/>
                </v:shape>
                <o:OLEObject Type="Embed" ProgID="Visio.Drawing.11" ShapeID="_x0000_i1028" DrawAspect="Content" ObjectID="_1468075728" r:id="rId15">
                  <o:LockedField>false</o:LockedField>
                </o:OLEObject>
              </w:object>
            </w:r>
          </w:p>
          <w:p w14:paraId="4C3BE172">
            <w:pPr>
              <w:adjustRightInd w:val="0"/>
              <w:snapToGrid w:val="0"/>
              <w:spacing w:line="360" w:lineRule="auto"/>
              <w:jc w:val="center"/>
              <w:rPr>
                <w:rFonts w:hint="eastAsia" w:eastAsia="宋体"/>
                <w:b/>
                <w:color w:val="auto"/>
                <w:lang w:eastAsia="zh-CN"/>
              </w:rPr>
            </w:pPr>
            <w:r>
              <w:rPr>
                <w:rFonts w:hint="eastAsia"/>
                <w:b/>
                <w:color w:val="auto"/>
              </w:rPr>
              <w:t>图2-</w:t>
            </w:r>
            <w:r>
              <w:rPr>
                <w:rFonts w:hint="eastAsia"/>
                <w:b/>
                <w:color w:val="auto"/>
                <w:lang w:val="en-US" w:eastAsia="zh-CN"/>
              </w:rPr>
              <w:t>4</w:t>
            </w:r>
            <w:r>
              <w:rPr>
                <w:rFonts w:hint="eastAsia"/>
                <w:b/>
                <w:color w:val="auto"/>
              </w:rPr>
              <w:t xml:space="preserve">   VOCs平衡图</w:t>
            </w:r>
            <w:r>
              <w:rPr>
                <w:rFonts w:hint="eastAsia"/>
                <w:b/>
                <w:bCs/>
                <w:color w:val="auto"/>
                <w:lang w:eastAsia="zh-CN"/>
              </w:rPr>
              <w:t>（</w:t>
            </w:r>
            <w:r>
              <w:rPr>
                <w:rFonts w:hint="eastAsia"/>
                <w:b/>
                <w:bCs/>
                <w:color w:val="auto"/>
                <w:lang w:val="en-US" w:eastAsia="zh-CN"/>
              </w:rPr>
              <w:t>t/a</w:t>
            </w:r>
            <w:r>
              <w:rPr>
                <w:rFonts w:hint="eastAsia"/>
                <w:b/>
                <w:bCs/>
                <w:color w:val="auto"/>
                <w:lang w:eastAsia="zh-CN"/>
              </w:rPr>
              <w:t>）</w:t>
            </w:r>
          </w:p>
          <w:p w14:paraId="1F1A6C24">
            <w:pPr>
              <w:rPr>
                <w:rFonts w:hint="default"/>
                <w:color w:val="auto"/>
                <w:lang w:val="en-US" w:eastAsia="zh-CN"/>
              </w:rPr>
            </w:pPr>
          </w:p>
        </w:tc>
      </w:tr>
      <w:tr w14:paraId="42DEE85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3876" w:hRule="atLeast"/>
          <w:jc w:val="center"/>
        </w:trPr>
        <w:tc>
          <w:tcPr>
            <w:tcW w:w="521" w:type="dxa"/>
            <w:vAlign w:val="center"/>
          </w:tcPr>
          <w:p w14:paraId="000E458A">
            <w:pPr>
              <w:pStyle w:val="55"/>
              <w:rPr>
                <w:color w:val="auto"/>
                <w:sz w:val="21"/>
                <w:szCs w:val="21"/>
              </w:rPr>
            </w:pPr>
            <w:r>
              <w:rPr>
                <w:color w:val="auto"/>
                <w:sz w:val="21"/>
                <w:szCs w:val="21"/>
              </w:rPr>
              <w:t>工艺流程和产排污环节</w:t>
            </w:r>
          </w:p>
        </w:tc>
        <w:tc>
          <w:tcPr>
            <w:tcW w:w="8765" w:type="dxa"/>
          </w:tcPr>
          <w:p w14:paraId="07F9343F">
            <w:pPr>
              <w:autoSpaceDE w:val="0"/>
              <w:autoSpaceDN w:val="0"/>
              <w:adjustRightInd w:val="0"/>
              <w:snapToGrid w:val="0"/>
              <w:spacing w:line="360" w:lineRule="auto"/>
              <w:jc w:val="left"/>
              <w:rPr>
                <w:b/>
                <w:color w:val="auto"/>
                <w:kern w:val="0"/>
              </w:rPr>
            </w:pPr>
            <w:r>
              <w:rPr>
                <w:b/>
                <w:color w:val="auto"/>
              </w:rPr>
              <w:t>2.2 工艺流程和产排污环节</w:t>
            </w:r>
          </w:p>
          <w:p w14:paraId="36AD5885">
            <w:pPr>
              <w:autoSpaceDE w:val="0"/>
              <w:autoSpaceDN w:val="0"/>
              <w:adjustRightInd w:val="0"/>
              <w:snapToGrid w:val="0"/>
              <w:spacing w:line="360" w:lineRule="auto"/>
              <w:jc w:val="left"/>
              <w:rPr>
                <w:b/>
                <w:color w:val="auto"/>
              </w:rPr>
            </w:pPr>
            <w:r>
              <w:rPr>
                <w:b/>
                <w:color w:val="auto"/>
              </w:rPr>
              <w:t>2.2.1 工艺流程简介</w:t>
            </w:r>
          </w:p>
          <w:p w14:paraId="77469584">
            <w:pPr>
              <w:spacing w:line="360" w:lineRule="auto"/>
              <w:ind w:firstLine="420" w:firstLineChars="200"/>
              <w:rPr>
                <w:color w:val="auto"/>
              </w:rPr>
            </w:pPr>
            <w:r>
              <w:rPr>
                <w:color w:val="auto"/>
              </w:rPr>
              <w:t>本项目</w:t>
            </w:r>
            <w:r>
              <w:rPr>
                <w:rFonts w:hint="eastAsia"/>
                <w:color w:val="auto"/>
                <w:lang w:val="en-US" w:eastAsia="zh-CN"/>
              </w:rPr>
              <w:t>产品</w:t>
            </w:r>
            <w:r>
              <w:rPr>
                <w:color w:val="auto"/>
              </w:rPr>
              <w:t>为</w:t>
            </w:r>
            <w:r>
              <w:rPr>
                <w:rFonts w:hint="eastAsia"/>
                <w:color w:val="auto"/>
                <w:lang w:val="en-US" w:eastAsia="zh-CN"/>
              </w:rPr>
              <w:t>风电主轴、风电轴承座、风电机架和轮毂</w:t>
            </w:r>
            <w:r>
              <w:rPr>
                <w:color w:val="auto"/>
              </w:rPr>
              <w:t>，</w:t>
            </w:r>
            <w:r>
              <w:rPr>
                <w:rFonts w:hint="eastAsia"/>
                <w:color w:val="auto"/>
                <w:lang w:val="en-US" w:eastAsia="zh-CN"/>
              </w:rPr>
              <w:t>生产工艺流程如下所示：</w:t>
            </w:r>
          </w:p>
          <w:p w14:paraId="2F6B437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cs="宋体"/>
                <w:b/>
                <w:color w:val="auto"/>
              </w:rPr>
            </w:pPr>
            <w:r>
              <w:rPr>
                <w:rFonts w:cs="宋体"/>
                <w:b/>
                <w:color w:val="auto"/>
              </w:rPr>
              <w:object>
                <v:shape id="_x0000_i1029" o:spt="75" type="#_x0000_t75" style="height:410.25pt;width:416.25pt;" o:ole="t" filled="f" o:preferrelative="t" stroked="f" coordsize="21600,21600">
                  <v:path/>
                  <v:fill on="f" focussize="0,0"/>
                  <v:stroke on="f"/>
                  <v:imagedata r:id="rId18" o:title=""/>
                  <o:lock v:ext="edit" aspectratio="f"/>
                  <w10:wrap type="none"/>
                  <w10:anchorlock/>
                </v:shape>
                <o:OLEObject Type="Embed" ProgID="Visio.Drawing.11" ShapeID="_x0000_i1029" DrawAspect="Content" ObjectID="_1468075729" r:id="rId17">
                  <o:LockedField>false</o:LockedField>
                </o:OLEObject>
              </w:object>
            </w:r>
          </w:p>
          <w:p w14:paraId="3FBE8DD7">
            <w:pPr>
              <w:adjustRightInd w:val="0"/>
              <w:snapToGrid w:val="0"/>
              <w:spacing w:line="360" w:lineRule="auto"/>
              <w:jc w:val="center"/>
              <w:rPr>
                <w:rFonts w:cs="宋体"/>
                <w:b/>
                <w:color w:val="auto"/>
              </w:rPr>
            </w:pPr>
            <w:r>
              <w:rPr>
                <w:rFonts w:hint="eastAsia" w:cs="宋体"/>
                <w:b/>
                <w:color w:val="auto"/>
              </w:rPr>
              <w:t>图2-</w:t>
            </w:r>
            <w:r>
              <w:rPr>
                <w:rFonts w:hint="eastAsia" w:cs="宋体"/>
                <w:b/>
                <w:color w:val="auto"/>
                <w:lang w:val="en-US" w:eastAsia="zh-CN"/>
              </w:rPr>
              <w:t>4</w:t>
            </w:r>
            <w:r>
              <w:rPr>
                <w:rFonts w:hint="eastAsia" w:cs="宋体"/>
                <w:b/>
                <w:color w:val="auto"/>
              </w:rPr>
              <w:t xml:space="preserve">   </w:t>
            </w:r>
            <w:r>
              <w:rPr>
                <w:rFonts w:hint="eastAsia"/>
                <w:b/>
                <w:bCs/>
                <w:color w:val="auto"/>
                <w:kern w:val="0"/>
                <w:sz w:val="21"/>
                <w:lang w:val="en-US" w:eastAsia="zh-CN"/>
              </w:rPr>
              <w:t>风电主轴、风电轴承座、风电机架和轮毂</w:t>
            </w:r>
            <w:r>
              <w:rPr>
                <w:rFonts w:hint="eastAsia" w:cs="宋体"/>
                <w:b/>
                <w:color w:val="auto"/>
              </w:rPr>
              <w:t>生产工艺流程图</w:t>
            </w:r>
          </w:p>
          <w:p w14:paraId="07D27298">
            <w:pPr>
              <w:adjustRightInd w:val="0"/>
              <w:snapToGrid w:val="0"/>
              <w:spacing w:line="360" w:lineRule="auto"/>
              <w:ind w:firstLine="422" w:firstLineChars="200"/>
              <w:rPr>
                <w:b/>
                <w:color w:val="auto"/>
              </w:rPr>
            </w:pPr>
            <w:r>
              <w:rPr>
                <w:rFonts w:hint="eastAsia"/>
                <w:b/>
                <w:color w:val="auto"/>
              </w:rPr>
              <w:t>具体工艺简述如下：</w:t>
            </w:r>
          </w:p>
          <w:p w14:paraId="5875ED4A">
            <w:pPr>
              <w:adjustRightInd w:val="0"/>
              <w:snapToGrid w:val="0"/>
              <w:spacing w:line="360" w:lineRule="auto"/>
              <w:ind w:firstLine="422" w:firstLineChars="200"/>
              <w:rPr>
                <w:b/>
                <w:color w:val="auto"/>
              </w:rPr>
            </w:pPr>
            <w:r>
              <w:rPr>
                <w:rFonts w:hint="eastAsia"/>
                <w:b/>
                <w:color w:val="auto"/>
              </w:rPr>
              <w:t>（1）</w:t>
            </w:r>
            <w:r>
              <w:rPr>
                <w:rFonts w:hint="eastAsia"/>
                <w:b/>
                <w:color w:val="auto"/>
                <w:lang w:val="en-US" w:eastAsia="zh-CN"/>
              </w:rPr>
              <w:t>龙门铣精加工</w:t>
            </w:r>
            <w:r>
              <w:rPr>
                <w:rFonts w:hint="eastAsia"/>
                <w:b/>
                <w:color w:val="auto"/>
              </w:rPr>
              <w:t>：</w:t>
            </w:r>
          </w:p>
          <w:p w14:paraId="2B591C63">
            <w:pPr>
              <w:adjustRightInd w:val="0"/>
              <w:snapToGrid w:val="0"/>
              <w:spacing w:line="360" w:lineRule="auto"/>
              <w:ind w:firstLine="420" w:firstLineChars="200"/>
              <w:rPr>
                <w:rFonts w:hint="default" w:eastAsia="宋体"/>
                <w:b w:val="0"/>
                <w:bCs/>
                <w:color w:val="auto"/>
                <w:lang w:val="en-US" w:eastAsia="zh-CN"/>
              </w:rPr>
            </w:pPr>
            <w:r>
              <w:rPr>
                <w:rFonts w:hint="eastAsia"/>
                <w:b w:val="0"/>
                <w:bCs/>
                <w:color w:val="auto"/>
                <w:lang w:val="en-US" w:eastAsia="zh-CN"/>
              </w:rPr>
              <w:t>用龙门铣床对金属结构件表面进行铣削、钻眼、攻丝等加工，由于此工序采用切削液进行湿式机加工，故无粉尘产生。此工序会产生废金属屑S1、废切削液S2。</w:t>
            </w:r>
          </w:p>
          <w:p w14:paraId="625AC58D">
            <w:pPr>
              <w:adjustRightInd w:val="0"/>
              <w:snapToGrid w:val="0"/>
              <w:spacing w:line="360" w:lineRule="auto"/>
              <w:ind w:firstLine="422" w:firstLineChars="200"/>
              <w:rPr>
                <w:b/>
                <w:color w:val="auto"/>
              </w:rPr>
            </w:pPr>
            <w:r>
              <w:rPr>
                <w:rFonts w:hint="eastAsia"/>
                <w:b/>
                <w:color w:val="auto"/>
              </w:rPr>
              <w:t>（2）</w:t>
            </w:r>
            <w:r>
              <w:rPr>
                <w:rFonts w:hint="eastAsia"/>
                <w:b/>
                <w:color w:val="auto"/>
                <w:lang w:val="en-US" w:eastAsia="zh-CN"/>
              </w:rPr>
              <w:t>蒸汽清洗油污</w:t>
            </w:r>
            <w:r>
              <w:rPr>
                <w:rFonts w:hint="eastAsia"/>
                <w:b/>
                <w:color w:val="auto"/>
              </w:rPr>
              <w:t>：</w:t>
            </w:r>
          </w:p>
          <w:p w14:paraId="3424B57A">
            <w:pPr>
              <w:pStyle w:val="708"/>
              <w:ind w:firstLine="420"/>
              <w:rPr>
                <w:rFonts w:hint="default" w:ascii="Times New Roman" w:hAnsi="Times New Roman" w:cs="Times New Roman"/>
                <w:bCs/>
                <w:color w:val="auto"/>
                <w:sz w:val="21"/>
              </w:rPr>
            </w:pPr>
            <w:r>
              <w:rPr>
                <w:rFonts w:hint="default" w:ascii="Times New Roman" w:hAnsi="Times New Roman" w:cs="Times New Roman"/>
                <w:bCs/>
                <w:color w:val="auto"/>
                <w:sz w:val="21"/>
                <w:lang w:val="en-US" w:eastAsia="zh-CN"/>
              </w:rPr>
              <w:t>使用高温蒸汽清洗机将自来水加热至高温（电加热，</w:t>
            </w:r>
            <w:r>
              <w:rPr>
                <w:rFonts w:hint="eastAsia" w:cs="Times New Roman"/>
                <w:bCs/>
                <w:color w:val="auto"/>
                <w:sz w:val="21"/>
                <w:lang w:val="en-US" w:eastAsia="zh-CN"/>
              </w:rPr>
              <w:t>100</w:t>
            </w:r>
            <w:r>
              <w:rPr>
                <w:rFonts w:hint="default" w:ascii="Times New Roman" w:hAnsi="Times New Roman" w:cs="Times New Roman"/>
                <w:bCs/>
                <w:color w:val="auto"/>
                <w:sz w:val="21"/>
                <w:lang w:val="en-US" w:eastAsia="zh-CN"/>
              </w:rPr>
              <w:t>℃），加热后的水转换成蒸汽，并通过增压系统进一步加压，高压蒸汽通过喷嘴聚焦后喷射到待清洁表面。蒸汽的高温可迅速软化油脂、溶解污垢分子间的结合力，同时高压冲击力直接汽化或剥离污渍。此工序会产生清洗废液S3</w:t>
            </w:r>
            <w:r>
              <w:rPr>
                <w:rFonts w:hint="default" w:ascii="Times New Roman" w:hAnsi="Times New Roman" w:cs="Times New Roman"/>
                <w:color w:val="auto"/>
                <w:sz w:val="21"/>
              </w:rPr>
              <w:t>。</w:t>
            </w:r>
          </w:p>
          <w:p w14:paraId="310A7EF7">
            <w:pPr>
              <w:adjustRightInd w:val="0"/>
              <w:snapToGrid w:val="0"/>
              <w:spacing w:line="360" w:lineRule="auto"/>
              <w:ind w:firstLine="422" w:firstLineChars="200"/>
              <w:rPr>
                <w:rFonts w:hint="default" w:eastAsia="宋体"/>
                <w:b/>
                <w:color w:val="auto"/>
                <w:lang w:val="en-US" w:eastAsia="zh-CN"/>
              </w:rPr>
            </w:pPr>
            <w:r>
              <w:rPr>
                <w:rFonts w:hint="eastAsia"/>
                <w:b/>
                <w:color w:val="auto"/>
                <w:lang w:eastAsia="zh-CN"/>
              </w:rPr>
              <w:t>（</w:t>
            </w:r>
            <w:r>
              <w:rPr>
                <w:rFonts w:hint="eastAsia"/>
                <w:b/>
                <w:color w:val="auto"/>
                <w:lang w:val="en-US" w:eastAsia="zh-CN"/>
              </w:rPr>
              <w:t>3</w:t>
            </w:r>
            <w:r>
              <w:rPr>
                <w:rFonts w:hint="eastAsia"/>
                <w:b/>
                <w:color w:val="auto"/>
                <w:lang w:eastAsia="zh-CN"/>
              </w:rPr>
              <w:t>）</w:t>
            </w:r>
            <w:r>
              <w:rPr>
                <w:rFonts w:hint="eastAsia"/>
                <w:b/>
                <w:color w:val="auto"/>
                <w:lang w:val="en-US" w:eastAsia="zh-CN"/>
              </w:rPr>
              <w:t>喷砂：</w:t>
            </w:r>
            <w:r>
              <w:rPr>
                <w:rFonts w:hint="eastAsia"/>
                <w:b w:val="0"/>
                <w:bCs/>
                <w:color w:val="auto"/>
                <w:lang w:val="en-US" w:eastAsia="zh-CN"/>
              </w:rPr>
              <w:t>清洗后的工件放入密闭的喷砂房，利用喷砂机将钢砂高速抛射到工件表面，对工件表面进行冲击和刮削，以去除表面的杂质、毛刺等。此工序会产生喷砂粉尘G1。</w:t>
            </w:r>
          </w:p>
          <w:p w14:paraId="3DD93B23">
            <w:pPr>
              <w:adjustRightInd w:val="0"/>
              <w:snapToGrid w:val="0"/>
              <w:spacing w:line="360" w:lineRule="auto"/>
              <w:ind w:firstLine="422" w:firstLineChars="200"/>
              <w:rPr>
                <w:b/>
                <w:color w:val="auto"/>
              </w:rPr>
            </w:pPr>
            <w:r>
              <w:rPr>
                <w:rFonts w:hint="eastAsia"/>
                <w:b/>
                <w:color w:val="auto"/>
              </w:rPr>
              <w:t>（</w:t>
            </w:r>
            <w:r>
              <w:rPr>
                <w:rFonts w:hint="eastAsia"/>
                <w:b/>
                <w:color w:val="auto"/>
                <w:lang w:val="en-US" w:eastAsia="zh-CN"/>
              </w:rPr>
              <w:t>4</w:t>
            </w:r>
            <w:r>
              <w:rPr>
                <w:rFonts w:hint="eastAsia"/>
                <w:b/>
                <w:color w:val="auto"/>
              </w:rPr>
              <w:t>）</w:t>
            </w:r>
            <w:r>
              <w:rPr>
                <w:rFonts w:hint="eastAsia"/>
                <w:b/>
                <w:color w:val="auto"/>
                <w:lang w:val="en-US" w:eastAsia="zh-CN"/>
              </w:rPr>
              <w:t>热喷锌</w:t>
            </w:r>
            <w:r>
              <w:rPr>
                <w:rFonts w:hint="eastAsia"/>
                <w:b/>
                <w:color w:val="auto"/>
              </w:rPr>
              <w:t>：</w:t>
            </w:r>
          </w:p>
          <w:p w14:paraId="2B76A22B">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20" w:firstLineChars="20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val="0"/>
                <w:bCs w:val="0"/>
                <w:color w:val="auto"/>
                <w:kern w:val="0"/>
                <w:sz w:val="21"/>
                <w:szCs w:val="21"/>
                <w:lang w:val="en-US" w:eastAsia="zh-CN" w:bidi="ar"/>
              </w:rPr>
              <w:t>使用</w:t>
            </w:r>
            <w:r>
              <w:rPr>
                <w:rFonts w:hint="eastAsia" w:ascii="Times New Roman" w:hAnsi="Times New Roman" w:eastAsia="宋体" w:cs="Times New Roman"/>
                <w:b w:val="0"/>
                <w:bCs w:val="0"/>
                <w:color w:val="auto"/>
                <w:kern w:val="0"/>
                <w:sz w:val="21"/>
                <w:szCs w:val="21"/>
                <w:lang w:val="en-US" w:eastAsia="zh-CN" w:bidi="ar"/>
              </w:rPr>
              <w:t>电弧喷涂机</w:t>
            </w:r>
            <w:r>
              <w:rPr>
                <w:rFonts w:hint="default" w:ascii="Times New Roman" w:hAnsi="Times New Roman" w:eastAsia="宋体" w:cs="Times New Roman"/>
                <w:b w:val="0"/>
                <w:bCs w:val="0"/>
                <w:color w:val="auto"/>
                <w:kern w:val="0"/>
                <w:sz w:val="21"/>
                <w:szCs w:val="21"/>
                <w:lang w:val="en-US" w:eastAsia="zh-CN" w:bidi="ar"/>
              </w:rPr>
              <w:t>对工件进行热喷锌。工件喷砂完成2-3小时内应完成喷锌工作，以免影响镀层与基体的结合强度。本项目喷锌工序设置在密闭的</w:t>
            </w:r>
            <w:r>
              <w:rPr>
                <w:rFonts w:hint="eastAsia" w:ascii="Times New Roman" w:hAnsi="Times New Roman" w:eastAsia="宋体" w:cs="Times New Roman"/>
                <w:b w:val="0"/>
                <w:bCs w:val="0"/>
                <w:color w:val="auto"/>
                <w:kern w:val="0"/>
                <w:sz w:val="21"/>
                <w:szCs w:val="21"/>
                <w:lang w:val="en-US" w:eastAsia="zh-CN" w:bidi="ar"/>
              </w:rPr>
              <w:t>喷锌房</w:t>
            </w:r>
            <w:r>
              <w:rPr>
                <w:rFonts w:hint="default" w:ascii="Times New Roman" w:hAnsi="Times New Roman" w:eastAsia="宋体" w:cs="Times New Roman"/>
                <w:b w:val="0"/>
                <w:bCs w:val="0"/>
                <w:color w:val="auto"/>
                <w:kern w:val="0"/>
                <w:sz w:val="21"/>
                <w:szCs w:val="21"/>
                <w:lang w:val="en-US" w:eastAsia="zh-CN" w:bidi="ar"/>
              </w:rPr>
              <w:t>，将锌丝由后手管放入喷枪并伸出枪嘴8mm，同时使用两根锌丝通过短路熔融</w:t>
            </w:r>
            <w:r>
              <w:rPr>
                <w:rFonts w:hint="eastAsia" w:cs="Times New Roman"/>
                <w:b w:val="0"/>
                <w:bCs w:val="0"/>
                <w:color w:val="auto"/>
                <w:kern w:val="0"/>
                <w:sz w:val="21"/>
                <w:szCs w:val="21"/>
                <w:lang w:val="en-US" w:eastAsia="zh-CN" w:bidi="ar"/>
              </w:rPr>
              <w:t>产生高温电弧（5000-600</w:t>
            </w:r>
            <w:r>
              <w:rPr>
                <w:rFonts w:hint="default" w:ascii="Times New Roman" w:hAnsi="Times New Roman" w:cs="Times New Roman"/>
                <w:b w:val="0"/>
                <w:bCs w:val="0"/>
                <w:color w:val="auto"/>
                <w:kern w:val="0"/>
                <w:sz w:val="21"/>
                <w:szCs w:val="21"/>
                <w:lang w:val="en-US" w:eastAsia="zh-CN" w:bidi="ar"/>
              </w:rPr>
              <w:t>0℃）</w:t>
            </w:r>
            <w:r>
              <w:rPr>
                <w:rFonts w:hint="default" w:ascii="Times New Roman" w:hAnsi="Times New Roman" w:eastAsia="宋体" w:cs="Times New Roman"/>
                <w:b w:val="0"/>
                <w:bCs w:val="0"/>
                <w:color w:val="auto"/>
                <w:kern w:val="0"/>
                <w:sz w:val="21"/>
                <w:szCs w:val="21"/>
                <w:lang w:val="en-US" w:eastAsia="zh-CN" w:bidi="ar"/>
              </w:rPr>
              <w:t>喷附在基底上，同时，通过压缩空气，推动锌丝前进，并使熔融的部分形成一种雾状喷射到基体金属表面上，形成均匀镀层。喷涂时压缩空气气量控制在0.8-0.85</w:t>
            </w:r>
            <w:r>
              <w:rPr>
                <w:rFonts w:hint="eastAsia" w:cs="Times New Roman"/>
                <w:b w:val="0"/>
                <w:bCs w:val="0"/>
                <w:color w:val="auto"/>
                <w:kern w:val="0"/>
                <w:sz w:val="21"/>
                <w:szCs w:val="21"/>
                <w:lang w:val="en-US" w:eastAsia="zh-CN" w:bidi="ar"/>
              </w:rPr>
              <w:t>k</w:t>
            </w:r>
            <w:r>
              <w:rPr>
                <w:rFonts w:hint="default" w:ascii="Times New Roman" w:hAnsi="Times New Roman" w:eastAsia="宋体" w:cs="Times New Roman"/>
                <w:b w:val="0"/>
                <w:bCs w:val="0"/>
                <w:color w:val="auto"/>
                <w:kern w:val="0"/>
                <w:sz w:val="21"/>
                <w:szCs w:val="21"/>
                <w:lang w:val="en-US" w:eastAsia="zh-CN" w:bidi="ar"/>
              </w:rPr>
              <w:t>g/m</w:t>
            </w:r>
            <w:r>
              <w:rPr>
                <w:rFonts w:hint="default" w:ascii="Times New Roman" w:hAnsi="Times New Roman" w:eastAsia="宋体" w:cs="Times New Roman"/>
                <w:b w:val="0"/>
                <w:bCs w:val="0"/>
                <w:color w:val="auto"/>
                <w:kern w:val="0"/>
                <w:sz w:val="21"/>
                <w:szCs w:val="21"/>
                <w:vertAlign w:val="superscript"/>
                <w:lang w:val="en-US" w:eastAsia="zh-CN" w:bidi="ar"/>
              </w:rPr>
              <w:t>3</w:t>
            </w:r>
            <w:r>
              <w:rPr>
                <w:rFonts w:hint="default" w:ascii="Times New Roman" w:hAnsi="Times New Roman" w:eastAsia="宋体" w:cs="Times New Roman"/>
                <w:b w:val="0"/>
                <w:bCs w:val="0"/>
                <w:color w:val="auto"/>
                <w:kern w:val="0"/>
                <w:sz w:val="21"/>
                <w:szCs w:val="21"/>
                <w:lang w:val="en-US" w:eastAsia="zh-CN" w:bidi="ar"/>
              </w:rPr>
              <w:t>。喷锌工序会产生</w:t>
            </w:r>
            <w:r>
              <w:rPr>
                <w:rFonts w:hint="eastAsia" w:cs="Times New Roman"/>
                <w:b w:val="0"/>
                <w:bCs w:val="0"/>
                <w:color w:val="auto"/>
                <w:kern w:val="0"/>
                <w:sz w:val="21"/>
                <w:szCs w:val="21"/>
                <w:lang w:val="en-US" w:eastAsia="zh-CN" w:bidi="ar"/>
              </w:rPr>
              <w:t>喷锌粉尘</w:t>
            </w:r>
            <w:r>
              <w:rPr>
                <w:rFonts w:hint="default" w:ascii="Times New Roman" w:hAnsi="Times New Roman" w:eastAsia="宋体" w:cs="Times New Roman"/>
                <w:b w:val="0"/>
                <w:bCs w:val="0"/>
                <w:color w:val="auto"/>
                <w:kern w:val="0"/>
                <w:sz w:val="21"/>
                <w:szCs w:val="21"/>
                <w:lang w:val="en-US" w:eastAsia="zh-CN" w:bidi="ar"/>
              </w:rPr>
              <w:t>G</w:t>
            </w:r>
            <w:r>
              <w:rPr>
                <w:rFonts w:hint="eastAsia" w:ascii="Times New Roman" w:hAnsi="Times New Roman" w:eastAsia="宋体" w:cs="Times New Roman"/>
                <w:b w:val="0"/>
                <w:bCs w:val="0"/>
                <w:color w:val="auto"/>
                <w:kern w:val="0"/>
                <w:sz w:val="21"/>
                <w:szCs w:val="21"/>
                <w:lang w:val="en-US" w:eastAsia="zh-CN" w:bidi="ar"/>
              </w:rPr>
              <w:t>2</w:t>
            </w:r>
            <w:r>
              <w:rPr>
                <w:rFonts w:hint="default" w:ascii="Times New Roman" w:hAnsi="Times New Roman" w:eastAsia="宋体" w:cs="Times New Roman"/>
                <w:b w:val="0"/>
                <w:bCs w:val="0"/>
                <w:color w:val="auto"/>
                <w:kern w:val="0"/>
                <w:sz w:val="21"/>
                <w:szCs w:val="21"/>
                <w:lang w:val="en-US" w:eastAsia="zh-CN" w:bidi="ar"/>
              </w:rPr>
              <w:t>、锌粉S</w:t>
            </w:r>
            <w:r>
              <w:rPr>
                <w:rFonts w:hint="eastAsia" w:ascii="Times New Roman" w:hAnsi="Times New Roman" w:eastAsia="宋体" w:cs="Times New Roman"/>
                <w:b w:val="0"/>
                <w:bCs w:val="0"/>
                <w:color w:val="auto"/>
                <w:kern w:val="0"/>
                <w:sz w:val="21"/>
                <w:szCs w:val="21"/>
                <w:lang w:val="en-US" w:eastAsia="zh-CN" w:bidi="ar"/>
              </w:rPr>
              <w:t>4。</w:t>
            </w:r>
          </w:p>
          <w:p w14:paraId="122FB882">
            <w:pPr>
              <w:adjustRightInd w:val="0"/>
              <w:snapToGrid w:val="0"/>
              <w:spacing w:line="360" w:lineRule="auto"/>
              <w:ind w:firstLine="422" w:firstLineChars="200"/>
              <w:rPr>
                <w:rFonts w:hint="default" w:eastAsia="宋体"/>
                <w:b/>
                <w:color w:val="auto"/>
                <w:lang w:val="en-US" w:eastAsia="zh-CN"/>
              </w:rPr>
            </w:pPr>
            <w:r>
              <w:rPr>
                <w:rFonts w:hint="eastAsia"/>
                <w:b/>
                <w:color w:val="auto"/>
                <w:lang w:eastAsia="zh-CN"/>
              </w:rPr>
              <w:t>（</w:t>
            </w:r>
            <w:r>
              <w:rPr>
                <w:rFonts w:hint="eastAsia"/>
                <w:b/>
                <w:color w:val="auto"/>
                <w:lang w:val="en-US" w:eastAsia="zh-CN"/>
              </w:rPr>
              <w:t>5</w:t>
            </w:r>
            <w:r>
              <w:rPr>
                <w:rFonts w:hint="eastAsia"/>
                <w:b/>
                <w:color w:val="auto"/>
                <w:lang w:eastAsia="zh-CN"/>
              </w:rPr>
              <w:t>）</w:t>
            </w:r>
            <w:r>
              <w:rPr>
                <w:rFonts w:hint="eastAsia"/>
                <w:b/>
                <w:color w:val="auto"/>
                <w:lang w:val="en-US" w:eastAsia="zh-CN"/>
              </w:rPr>
              <w:t>调漆：</w:t>
            </w:r>
            <w:r>
              <w:rPr>
                <w:rFonts w:hint="eastAsia"/>
                <w:b w:val="0"/>
                <w:bCs/>
                <w:color w:val="auto"/>
                <w:lang w:val="en-US" w:eastAsia="zh-CN"/>
              </w:rPr>
              <w:t>本项目仅溶剂型涂料在喷涂前需先添加稀释剂、固化剂进行调漆，调漆在喷漆房中进行，调漆工段会产生少量的调漆废气G3。</w:t>
            </w:r>
          </w:p>
          <w:p w14:paraId="617FB985">
            <w:pPr>
              <w:adjustRightInd w:val="0"/>
              <w:snapToGrid w:val="0"/>
              <w:spacing w:line="360" w:lineRule="auto"/>
              <w:ind w:firstLine="422" w:firstLineChars="200"/>
              <w:rPr>
                <w:b/>
                <w:color w:val="auto"/>
              </w:rPr>
            </w:pPr>
            <w:r>
              <w:rPr>
                <w:rFonts w:hint="eastAsia"/>
                <w:b/>
                <w:color w:val="auto"/>
              </w:rPr>
              <w:t>（</w:t>
            </w:r>
            <w:r>
              <w:rPr>
                <w:rFonts w:hint="eastAsia"/>
                <w:b/>
                <w:color w:val="auto"/>
                <w:lang w:val="en-US" w:eastAsia="zh-CN"/>
              </w:rPr>
              <w:t>6</w:t>
            </w:r>
            <w:r>
              <w:rPr>
                <w:rFonts w:hint="eastAsia"/>
                <w:b/>
                <w:color w:val="auto"/>
              </w:rPr>
              <w:t>）</w:t>
            </w:r>
            <w:r>
              <w:rPr>
                <w:rFonts w:hint="eastAsia"/>
                <w:b/>
                <w:color w:val="auto"/>
                <w:lang w:val="en-US" w:eastAsia="zh-CN"/>
              </w:rPr>
              <w:t>喷漆</w:t>
            </w:r>
            <w:r>
              <w:rPr>
                <w:rFonts w:hint="eastAsia"/>
                <w:b/>
                <w:color w:val="auto"/>
              </w:rPr>
              <w:t>：</w:t>
            </w:r>
          </w:p>
          <w:p w14:paraId="049F590F">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20" w:firstLineChars="200"/>
              <w:jc w:val="both"/>
              <w:textAlignment w:val="auto"/>
              <w:rPr>
                <w:rFonts w:hint="default" w:ascii="Times New Roman" w:hAnsi="Times New Roman" w:eastAsia="宋体" w:cs="Times New Roman"/>
                <w:b w:val="0"/>
                <w:bCs w:val="0"/>
                <w:color w:val="auto"/>
                <w:kern w:val="0"/>
                <w:sz w:val="21"/>
                <w:szCs w:val="21"/>
                <w:lang w:val="en-US" w:eastAsia="zh-CN" w:bidi="ar"/>
              </w:rPr>
            </w:pPr>
            <w:r>
              <w:rPr>
                <w:rFonts w:hint="eastAsia" w:ascii="Times New Roman" w:hAnsi="Times New Roman" w:eastAsia="宋体" w:cs="Times New Roman"/>
                <w:b w:val="0"/>
                <w:bCs w:val="0"/>
                <w:color w:val="auto"/>
                <w:kern w:val="0"/>
                <w:sz w:val="21"/>
                <w:szCs w:val="21"/>
                <w:lang w:val="en-US" w:eastAsia="zh-CN" w:bidi="ar"/>
              </w:rPr>
              <w:t>①一次喷漆、晾干：</w:t>
            </w:r>
            <w:r>
              <w:rPr>
                <w:rFonts w:hint="default" w:ascii="Times New Roman" w:hAnsi="Times New Roman" w:eastAsia="宋体" w:cs="Times New Roman"/>
                <w:b w:val="0"/>
                <w:bCs w:val="0"/>
                <w:color w:val="auto"/>
                <w:kern w:val="0"/>
                <w:sz w:val="21"/>
                <w:szCs w:val="21"/>
                <w:lang w:val="en-US" w:eastAsia="zh-CN" w:bidi="ar"/>
              </w:rPr>
              <w:t>喷漆工序在喷漆房内</w:t>
            </w:r>
            <w:r>
              <w:rPr>
                <w:rFonts w:hint="eastAsia" w:ascii="Times New Roman" w:hAnsi="Times New Roman" w:eastAsia="宋体" w:cs="Times New Roman"/>
                <w:b w:val="0"/>
                <w:bCs w:val="0"/>
                <w:color w:val="auto"/>
                <w:kern w:val="0"/>
                <w:sz w:val="21"/>
                <w:szCs w:val="21"/>
                <w:lang w:val="en-US" w:eastAsia="zh-CN" w:bidi="ar"/>
              </w:rPr>
              <w:t>于常温下进行</w:t>
            </w:r>
            <w:r>
              <w:rPr>
                <w:rFonts w:hint="default" w:ascii="Times New Roman" w:hAnsi="Times New Roman" w:eastAsia="宋体" w:cs="Times New Roman"/>
                <w:b w:val="0"/>
                <w:bCs w:val="0"/>
                <w:color w:val="auto"/>
                <w:kern w:val="0"/>
                <w:sz w:val="21"/>
                <w:szCs w:val="21"/>
                <w:lang w:val="en-US" w:eastAsia="zh-CN" w:bidi="ar"/>
              </w:rPr>
              <w:t>，本项目喷漆采用静电喷涂，利用电晕放电原理使雾化的漆在高压直流电场作用下产生负电荷，并吸附于正电荷基底表面放电，从而得到较均匀的涂层。喷枪与被喷表面的距离在200~300mm范围，压缩空气压力控制在2~4kg/cm</w:t>
            </w:r>
            <w:r>
              <w:rPr>
                <w:rFonts w:hint="default" w:ascii="Times New Roman" w:hAnsi="Times New Roman" w:eastAsia="宋体" w:cs="Times New Roman"/>
                <w:b w:val="0"/>
                <w:bCs w:val="0"/>
                <w:color w:val="auto"/>
                <w:kern w:val="0"/>
                <w:sz w:val="21"/>
                <w:szCs w:val="21"/>
                <w:vertAlign w:val="superscript"/>
                <w:lang w:val="en-US" w:eastAsia="zh-CN" w:bidi="ar"/>
              </w:rPr>
              <w:t>2</w:t>
            </w:r>
            <w:r>
              <w:rPr>
                <w:rFonts w:hint="default" w:ascii="Times New Roman" w:hAnsi="Times New Roman" w:eastAsia="宋体" w:cs="Times New Roman"/>
                <w:b w:val="0"/>
                <w:bCs w:val="0"/>
                <w:color w:val="auto"/>
                <w:kern w:val="0"/>
                <w:sz w:val="21"/>
                <w:szCs w:val="21"/>
                <w:lang w:val="en-US" w:eastAsia="zh-CN" w:bidi="ar"/>
              </w:rPr>
              <w:t>。生产用漆</w:t>
            </w:r>
            <w:r>
              <w:rPr>
                <w:rFonts w:hint="eastAsia" w:ascii="Times New Roman" w:hAnsi="Times New Roman" w:eastAsia="宋体" w:cs="Times New Roman"/>
                <w:b w:val="0"/>
                <w:bCs w:val="0"/>
                <w:color w:val="auto"/>
                <w:kern w:val="0"/>
                <w:sz w:val="21"/>
                <w:szCs w:val="21"/>
                <w:lang w:val="en-US" w:eastAsia="zh-CN" w:bidi="ar"/>
              </w:rPr>
              <w:t>在</w:t>
            </w:r>
            <w:r>
              <w:rPr>
                <w:rFonts w:hint="default" w:ascii="Times New Roman" w:hAnsi="Times New Roman" w:eastAsia="宋体" w:cs="Times New Roman"/>
                <w:b w:val="0"/>
                <w:bCs w:val="0"/>
                <w:color w:val="auto"/>
                <w:kern w:val="0"/>
                <w:sz w:val="21"/>
                <w:szCs w:val="21"/>
                <w:lang w:val="en-US" w:eastAsia="zh-CN" w:bidi="ar"/>
              </w:rPr>
              <w:t>正常室温下即可满足风干要求。本项目金属结构件尺寸较大，因此工件在喷漆房内进行晾干。</w:t>
            </w:r>
          </w:p>
          <w:p w14:paraId="0EDAFFEE">
            <w:pPr>
              <w:adjustRightInd w:val="0"/>
              <w:snapToGrid w:val="0"/>
              <w:spacing w:line="360" w:lineRule="auto"/>
              <w:ind w:firstLine="420" w:firstLineChars="200"/>
              <w:rPr>
                <w:rFonts w:hint="default" w:ascii="Times New Roman" w:hAnsi="Times New Roman" w:eastAsia="宋体" w:cs="Times New Roman"/>
                <w:b w:val="0"/>
                <w:bCs w:val="0"/>
                <w:color w:val="auto"/>
                <w:kern w:val="0"/>
                <w:sz w:val="21"/>
                <w:szCs w:val="21"/>
                <w:lang w:val="en-US" w:eastAsia="zh-CN" w:bidi="ar"/>
              </w:rPr>
            </w:pPr>
            <w:r>
              <w:rPr>
                <w:rFonts w:hint="eastAsia"/>
                <w:b w:val="0"/>
                <w:bCs/>
                <w:color w:val="auto"/>
                <w:lang w:val="en-US" w:eastAsia="zh-CN"/>
              </w:rPr>
              <w:t>②二次喷漆、晾干：</w:t>
            </w:r>
            <w:r>
              <w:rPr>
                <w:rFonts w:hint="default" w:ascii="Times New Roman" w:hAnsi="Times New Roman" w:eastAsia="宋体" w:cs="Times New Roman"/>
                <w:b w:val="0"/>
                <w:bCs w:val="0"/>
                <w:color w:val="auto"/>
                <w:kern w:val="0"/>
                <w:sz w:val="21"/>
                <w:szCs w:val="21"/>
                <w:lang w:val="en-US" w:eastAsia="zh-CN" w:bidi="ar"/>
              </w:rPr>
              <w:t>晾干后，对工件再次喷底漆。生产工件经喷漆处理后，采用自然晾干</w:t>
            </w:r>
            <w:r>
              <w:rPr>
                <w:rFonts w:hint="eastAsia"/>
                <w:color w:val="auto"/>
                <w:lang w:eastAsia="zh-CN"/>
              </w:rPr>
              <w:t>（</w:t>
            </w:r>
            <w:r>
              <w:rPr>
                <w:rFonts w:hint="eastAsia"/>
                <w:color w:val="auto"/>
                <w:lang w:val="en-US" w:eastAsia="zh-CN"/>
              </w:rPr>
              <w:t>10h</w:t>
            </w:r>
            <w:r>
              <w:rPr>
                <w:rFonts w:hint="eastAsia"/>
                <w:color w:val="auto"/>
                <w:lang w:eastAsia="zh-CN"/>
              </w:rPr>
              <w:t>）</w:t>
            </w:r>
            <w:r>
              <w:rPr>
                <w:rFonts w:hint="default" w:ascii="Times New Roman" w:hAnsi="Times New Roman" w:eastAsia="宋体" w:cs="Times New Roman"/>
                <w:b w:val="0"/>
                <w:bCs w:val="0"/>
                <w:color w:val="auto"/>
                <w:kern w:val="0"/>
                <w:sz w:val="21"/>
                <w:szCs w:val="21"/>
                <w:lang w:val="en-US" w:eastAsia="zh-CN" w:bidi="ar"/>
              </w:rPr>
              <w:t>的方式对工件表面漆料进行风干。</w:t>
            </w:r>
          </w:p>
          <w:p w14:paraId="3EC349AE">
            <w:pPr>
              <w:adjustRightInd w:val="0"/>
              <w:snapToGrid w:val="0"/>
              <w:spacing w:line="360" w:lineRule="auto"/>
              <w:ind w:firstLine="420" w:firstLineChars="200"/>
              <w:rPr>
                <w:rFonts w:hint="eastAsia"/>
                <w:b/>
                <w:color w:val="auto"/>
              </w:rPr>
            </w:pPr>
            <w:r>
              <w:rPr>
                <w:rFonts w:hint="default" w:ascii="Times New Roman" w:hAnsi="Times New Roman" w:eastAsia="宋体" w:cs="Times New Roman"/>
                <w:b w:val="0"/>
                <w:bCs w:val="0"/>
                <w:color w:val="auto"/>
                <w:kern w:val="0"/>
                <w:sz w:val="21"/>
                <w:szCs w:val="21"/>
                <w:lang w:val="en-US" w:eastAsia="zh-CN" w:bidi="ar"/>
              </w:rPr>
              <w:t>本项目喷漆、晾干均在喷漆房内进行。此工序产会产生为漆雾颗粒G</w:t>
            </w:r>
            <w:r>
              <w:rPr>
                <w:rFonts w:hint="eastAsia" w:cs="Times New Roman"/>
                <w:b w:val="0"/>
                <w:bCs w:val="0"/>
                <w:color w:val="auto"/>
                <w:kern w:val="0"/>
                <w:sz w:val="21"/>
                <w:szCs w:val="21"/>
                <w:lang w:val="en-US" w:eastAsia="zh-CN" w:bidi="ar"/>
              </w:rPr>
              <w:t>4</w:t>
            </w:r>
            <w:r>
              <w:rPr>
                <w:rFonts w:hint="default" w:ascii="Times New Roman" w:hAnsi="Times New Roman" w:eastAsia="宋体" w:cs="Times New Roman"/>
                <w:b w:val="0"/>
                <w:bCs w:val="0"/>
                <w:color w:val="auto"/>
                <w:kern w:val="0"/>
                <w:sz w:val="21"/>
                <w:szCs w:val="21"/>
                <w:lang w:val="en-US" w:eastAsia="zh-CN" w:bidi="ar"/>
              </w:rPr>
              <w:t>，有机废气G</w:t>
            </w:r>
            <w:r>
              <w:rPr>
                <w:rFonts w:hint="eastAsia" w:cs="Times New Roman"/>
                <w:b w:val="0"/>
                <w:bCs w:val="0"/>
                <w:color w:val="auto"/>
                <w:kern w:val="0"/>
                <w:sz w:val="21"/>
                <w:szCs w:val="21"/>
                <w:lang w:val="en-US" w:eastAsia="zh-CN" w:bidi="ar"/>
              </w:rPr>
              <w:t>5</w:t>
            </w:r>
            <w:r>
              <w:rPr>
                <w:rFonts w:hint="default" w:ascii="Times New Roman" w:hAnsi="Times New Roman" w:eastAsia="宋体" w:cs="Times New Roman"/>
                <w:b w:val="0"/>
                <w:bCs w:val="0"/>
                <w:color w:val="auto"/>
                <w:kern w:val="0"/>
                <w:sz w:val="21"/>
                <w:szCs w:val="21"/>
                <w:lang w:val="en-US" w:eastAsia="zh-CN" w:bidi="ar"/>
              </w:rPr>
              <w:t>和漆渣S</w:t>
            </w:r>
            <w:r>
              <w:rPr>
                <w:rFonts w:hint="eastAsia" w:ascii="Times New Roman" w:hAnsi="Times New Roman" w:eastAsia="宋体" w:cs="Times New Roman"/>
                <w:b w:val="0"/>
                <w:bCs w:val="0"/>
                <w:color w:val="auto"/>
                <w:kern w:val="0"/>
                <w:sz w:val="21"/>
                <w:szCs w:val="21"/>
                <w:lang w:val="en-US" w:eastAsia="zh-CN" w:bidi="ar"/>
              </w:rPr>
              <w:t>5</w:t>
            </w:r>
            <w:r>
              <w:rPr>
                <w:rFonts w:hint="default" w:ascii="Times New Roman" w:hAnsi="Times New Roman" w:eastAsia="宋体" w:cs="Times New Roman"/>
                <w:b w:val="0"/>
                <w:bCs w:val="0"/>
                <w:color w:val="auto"/>
                <w:kern w:val="0"/>
                <w:sz w:val="21"/>
                <w:szCs w:val="21"/>
                <w:lang w:val="en-US" w:eastAsia="zh-CN" w:bidi="ar"/>
              </w:rPr>
              <w:t>。喷漆房内配套喷枪使用后需用</w:t>
            </w:r>
            <w:r>
              <w:rPr>
                <w:rFonts w:hint="eastAsia" w:ascii="Times New Roman" w:hAnsi="Times New Roman" w:eastAsia="宋体" w:cs="Times New Roman"/>
                <w:b w:val="0"/>
                <w:bCs w:val="0"/>
                <w:color w:val="auto"/>
                <w:kern w:val="0"/>
                <w:sz w:val="21"/>
                <w:szCs w:val="21"/>
                <w:lang w:val="en-US" w:eastAsia="zh-CN" w:bidi="ar"/>
              </w:rPr>
              <w:t>稀释剂</w:t>
            </w:r>
            <w:r>
              <w:rPr>
                <w:rFonts w:hint="default" w:ascii="Times New Roman" w:hAnsi="Times New Roman" w:eastAsia="宋体" w:cs="Times New Roman"/>
                <w:b w:val="0"/>
                <w:bCs w:val="0"/>
                <w:color w:val="auto"/>
                <w:kern w:val="0"/>
                <w:sz w:val="21"/>
                <w:szCs w:val="21"/>
                <w:lang w:val="en-US" w:eastAsia="zh-CN" w:bidi="ar"/>
              </w:rPr>
              <w:t>定期清洗，喷枪</w:t>
            </w:r>
            <w:r>
              <w:rPr>
                <w:rFonts w:hint="eastAsia" w:cs="Times New Roman"/>
                <w:b w:val="0"/>
                <w:bCs w:val="0"/>
                <w:color w:val="auto"/>
                <w:kern w:val="0"/>
                <w:sz w:val="21"/>
                <w:szCs w:val="21"/>
                <w:lang w:val="en-US" w:eastAsia="zh-CN" w:bidi="ar"/>
              </w:rPr>
              <w:t>每天</w:t>
            </w:r>
            <w:r>
              <w:rPr>
                <w:rFonts w:hint="default" w:ascii="Times New Roman" w:hAnsi="Times New Roman" w:eastAsia="宋体" w:cs="Times New Roman"/>
                <w:b w:val="0"/>
                <w:bCs w:val="0"/>
                <w:color w:val="auto"/>
                <w:kern w:val="0"/>
                <w:sz w:val="21"/>
                <w:szCs w:val="21"/>
                <w:lang w:val="en-US" w:eastAsia="zh-CN" w:bidi="ar"/>
              </w:rPr>
              <w:t>清洗一次，产生</w:t>
            </w:r>
            <w:r>
              <w:rPr>
                <w:rFonts w:hint="eastAsia" w:cs="Times New Roman"/>
                <w:b w:val="0"/>
                <w:bCs w:val="0"/>
                <w:color w:val="auto"/>
                <w:kern w:val="0"/>
                <w:sz w:val="21"/>
                <w:szCs w:val="21"/>
                <w:lang w:val="en-US" w:eastAsia="zh-CN" w:bidi="ar"/>
              </w:rPr>
              <w:t>喷枪清洗废气G6、</w:t>
            </w:r>
            <w:r>
              <w:rPr>
                <w:rFonts w:hint="default" w:ascii="Times New Roman" w:hAnsi="Times New Roman" w:eastAsia="宋体" w:cs="Times New Roman"/>
                <w:b w:val="0"/>
                <w:bCs w:val="0"/>
                <w:color w:val="auto"/>
                <w:kern w:val="0"/>
                <w:sz w:val="21"/>
                <w:szCs w:val="21"/>
                <w:lang w:val="en-US" w:eastAsia="zh-CN" w:bidi="ar"/>
              </w:rPr>
              <w:t>洗枪废液</w:t>
            </w:r>
            <w:r>
              <w:rPr>
                <w:rFonts w:hint="eastAsia" w:ascii="Times New Roman" w:hAnsi="Times New Roman" w:eastAsia="宋体" w:cs="Times New Roman"/>
                <w:b w:val="0"/>
                <w:bCs w:val="0"/>
                <w:color w:val="auto"/>
                <w:kern w:val="0"/>
                <w:sz w:val="21"/>
                <w:szCs w:val="21"/>
                <w:lang w:val="en-US" w:eastAsia="zh-CN" w:bidi="ar"/>
              </w:rPr>
              <w:t>S6</w:t>
            </w:r>
            <w:r>
              <w:rPr>
                <w:rFonts w:hint="default" w:ascii="Times New Roman" w:hAnsi="Times New Roman" w:eastAsia="宋体" w:cs="Times New Roman"/>
                <w:b w:val="0"/>
                <w:bCs w:val="0"/>
                <w:color w:val="auto"/>
                <w:kern w:val="0"/>
                <w:sz w:val="21"/>
                <w:szCs w:val="21"/>
                <w:lang w:val="en-US" w:eastAsia="zh-CN" w:bidi="ar"/>
              </w:rPr>
              <w:t>。</w:t>
            </w:r>
          </w:p>
          <w:p w14:paraId="053885FD">
            <w:pPr>
              <w:adjustRightInd w:val="0"/>
              <w:snapToGrid w:val="0"/>
              <w:spacing w:line="360" w:lineRule="auto"/>
              <w:ind w:firstLine="422" w:firstLineChars="200"/>
              <w:rPr>
                <w:b/>
                <w:color w:val="auto"/>
              </w:rPr>
            </w:pPr>
            <w:r>
              <w:rPr>
                <w:rFonts w:hint="eastAsia"/>
                <w:b/>
                <w:color w:val="auto"/>
              </w:rPr>
              <w:t>（</w:t>
            </w:r>
            <w:r>
              <w:rPr>
                <w:rFonts w:hint="eastAsia"/>
                <w:b/>
                <w:color w:val="auto"/>
                <w:lang w:val="en-US" w:eastAsia="zh-CN"/>
              </w:rPr>
              <w:t>7</w:t>
            </w:r>
            <w:r>
              <w:rPr>
                <w:rFonts w:hint="eastAsia"/>
                <w:b/>
                <w:color w:val="auto"/>
              </w:rPr>
              <w:t>）</w:t>
            </w:r>
            <w:r>
              <w:rPr>
                <w:rFonts w:hint="eastAsia"/>
                <w:b/>
                <w:color w:val="auto"/>
                <w:lang w:val="en-US" w:eastAsia="zh-CN"/>
              </w:rPr>
              <w:t>成品包装</w:t>
            </w:r>
            <w:r>
              <w:rPr>
                <w:rFonts w:hint="eastAsia"/>
                <w:b/>
                <w:color w:val="auto"/>
              </w:rPr>
              <w:t>：</w:t>
            </w:r>
          </w:p>
          <w:p w14:paraId="111E4C65">
            <w:pPr>
              <w:adjustRightInd w:val="0"/>
              <w:snapToGrid w:val="0"/>
              <w:spacing w:line="360" w:lineRule="auto"/>
              <w:ind w:firstLine="420" w:firstLineChars="200"/>
              <w:rPr>
                <w:b/>
                <w:color w:val="auto"/>
              </w:rPr>
            </w:pPr>
            <w:r>
              <w:rPr>
                <w:rFonts w:hint="eastAsia"/>
                <w:bCs/>
                <w:color w:val="auto"/>
                <w:lang w:val="en-US" w:eastAsia="zh-CN"/>
              </w:rPr>
              <w:t>通过喷漆的成品包装储存于成品区</w:t>
            </w:r>
            <w:r>
              <w:rPr>
                <w:rFonts w:hint="eastAsia"/>
                <w:bCs/>
                <w:color w:val="auto"/>
              </w:rPr>
              <w:t>。</w:t>
            </w:r>
          </w:p>
          <w:p w14:paraId="1F29A52B">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default"/>
                <w:color w:val="auto"/>
                <w:lang w:val="en-US" w:eastAsia="zh-CN"/>
              </w:rPr>
            </w:pPr>
          </w:p>
        </w:tc>
      </w:tr>
      <w:tr w14:paraId="2BA5328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3426" w:hRule="atLeast"/>
          <w:jc w:val="center"/>
        </w:trPr>
        <w:tc>
          <w:tcPr>
            <w:tcW w:w="521" w:type="dxa"/>
            <w:vAlign w:val="center"/>
          </w:tcPr>
          <w:p w14:paraId="03B6881F">
            <w:pPr>
              <w:pStyle w:val="55"/>
              <w:rPr>
                <w:color w:val="auto"/>
                <w:sz w:val="21"/>
                <w:szCs w:val="21"/>
              </w:rPr>
            </w:pPr>
            <w:r>
              <w:rPr>
                <w:color w:val="auto"/>
                <w:sz w:val="21"/>
                <w:szCs w:val="21"/>
              </w:rPr>
              <w:t>与项目有关的原有环境污染问题</w:t>
            </w:r>
          </w:p>
        </w:tc>
        <w:tc>
          <w:tcPr>
            <w:tcW w:w="8765" w:type="dxa"/>
          </w:tcPr>
          <w:p w14:paraId="77E896E0">
            <w:pPr>
              <w:adjustRightInd w:val="0"/>
              <w:snapToGrid w:val="0"/>
              <w:spacing w:line="360" w:lineRule="auto"/>
              <w:ind w:firstLine="420" w:firstLineChars="200"/>
              <w:rPr>
                <w:rFonts w:hint="eastAsia"/>
                <w:color w:val="auto"/>
                <w:kern w:val="0"/>
              </w:rPr>
            </w:pPr>
            <w:r>
              <w:rPr>
                <w:color w:val="auto"/>
                <w:kern w:val="0"/>
              </w:rPr>
              <w:t>本项目租赁</w:t>
            </w:r>
            <w:r>
              <w:rPr>
                <w:rFonts w:hint="eastAsia"/>
                <w:color w:val="auto"/>
                <w:kern w:val="0"/>
                <w:lang w:val="en-US" w:eastAsia="zh-CN"/>
              </w:rPr>
              <w:t>江苏富卓新材料科技有限公司G车间</w:t>
            </w:r>
            <w:r>
              <w:rPr>
                <w:color w:val="auto"/>
                <w:kern w:val="0"/>
              </w:rPr>
              <w:t>厂房</w:t>
            </w:r>
            <w:r>
              <w:rPr>
                <w:rFonts w:hint="eastAsia"/>
                <w:color w:val="auto"/>
                <w:kern w:val="0"/>
                <w:lang w:val="en-US" w:eastAsia="zh-CN"/>
              </w:rPr>
              <w:t>进行生产</w:t>
            </w:r>
            <w:r>
              <w:rPr>
                <w:color w:val="auto"/>
                <w:kern w:val="0"/>
              </w:rPr>
              <w:t>，</w:t>
            </w:r>
            <w:r>
              <w:rPr>
                <w:rFonts w:hint="eastAsia"/>
                <w:color w:val="auto"/>
                <w:kern w:val="0"/>
              </w:rPr>
              <w:t>厂房</w:t>
            </w:r>
            <w:r>
              <w:rPr>
                <w:rFonts w:hint="eastAsia"/>
                <w:color w:val="auto"/>
                <w:kern w:val="0"/>
                <w:lang w:val="en-US" w:eastAsia="zh-CN"/>
              </w:rPr>
              <w:t>内为闲置</w:t>
            </w:r>
            <w:r>
              <w:rPr>
                <w:rFonts w:hint="eastAsia"/>
                <w:color w:val="auto"/>
                <w:kern w:val="0"/>
              </w:rPr>
              <w:t>状态</w:t>
            </w:r>
            <w:r>
              <w:rPr>
                <w:rFonts w:hint="eastAsia"/>
                <w:color w:val="auto"/>
                <w:kern w:val="0"/>
                <w:lang w:eastAsia="zh-CN"/>
              </w:rPr>
              <w:t>。</w:t>
            </w:r>
          </w:p>
          <w:p w14:paraId="4078861B">
            <w:pPr>
              <w:adjustRightInd w:val="0"/>
              <w:snapToGrid w:val="0"/>
              <w:spacing w:line="360" w:lineRule="auto"/>
              <w:ind w:firstLine="420" w:firstLineChars="200"/>
              <w:rPr>
                <w:rFonts w:hint="eastAsia"/>
                <w:color w:val="auto"/>
                <w:kern w:val="0"/>
                <w:lang w:val="en-US" w:eastAsia="zh-CN"/>
              </w:rPr>
            </w:pPr>
            <w:r>
              <w:rPr>
                <w:rFonts w:hint="eastAsia"/>
                <w:color w:val="auto"/>
                <w:kern w:val="0"/>
                <w:lang w:val="en-US" w:eastAsia="zh-CN"/>
              </w:rPr>
              <w:t>江苏富卓新材料科技有限公司地块原属于江苏亿和新材料有限公司，江苏亿和新材料有限公司成立于2010年10月19日，《新建年产10万吨铝新材料生产线项目环境影响评价报告书》（坛环开审[2017]39号）已建成，但已停产，G车间所在厂房原使用于进行铝型材的产品预组和包装工段，该工段仅产生一般固废和设备噪声，无危险废物和废气产生，故不会对土壤和地下水造成污染。</w:t>
            </w:r>
          </w:p>
          <w:p w14:paraId="271617E2">
            <w:pPr>
              <w:adjustRightInd w:val="0"/>
              <w:snapToGrid w:val="0"/>
              <w:spacing w:line="360" w:lineRule="auto"/>
              <w:ind w:firstLine="420" w:firstLineChars="200"/>
              <w:rPr>
                <w:rFonts w:hint="eastAsia"/>
                <w:color w:val="auto"/>
                <w:kern w:val="0"/>
                <w:lang w:val="en-US" w:eastAsia="zh-CN"/>
              </w:rPr>
            </w:pPr>
            <w:r>
              <w:rPr>
                <w:rFonts w:hint="eastAsia"/>
                <w:color w:val="auto"/>
                <w:kern w:val="0"/>
                <w:lang w:val="en-US" w:eastAsia="zh-CN"/>
              </w:rPr>
              <w:t>江苏富卓新材料科技有限公司于2024年06月14日取得不动产权证书（苏（2024）金坛区不动产权第0096644号），地块宗地面积98108平方米，地块用途为工业用地。</w:t>
            </w:r>
          </w:p>
          <w:p w14:paraId="2D69F6BC">
            <w:pPr>
              <w:adjustRightInd w:val="0"/>
              <w:snapToGrid w:val="0"/>
              <w:spacing w:line="360" w:lineRule="auto"/>
              <w:ind w:firstLine="420" w:firstLineChars="200"/>
              <w:rPr>
                <w:rFonts w:hint="default"/>
                <w:color w:val="auto"/>
                <w:kern w:val="0"/>
                <w:lang w:val="en-US" w:eastAsia="zh-CN"/>
              </w:rPr>
            </w:pPr>
            <w:r>
              <w:rPr>
                <w:rFonts w:hint="default"/>
                <w:color w:val="auto"/>
                <w:kern w:val="0"/>
                <w:lang w:val="en-US" w:eastAsia="zh-CN"/>
              </w:rPr>
              <w:t>厂区已按照</w:t>
            </w:r>
            <w:r>
              <w:rPr>
                <w:rFonts w:hint="eastAsia"/>
                <w:color w:val="auto"/>
                <w:kern w:val="0"/>
                <w:lang w:val="en-US" w:eastAsia="zh-CN"/>
              </w:rPr>
              <w:t>“</w:t>
            </w:r>
            <w:r>
              <w:rPr>
                <w:rFonts w:hint="default"/>
                <w:color w:val="auto"/>
                <w:kern w:val="0"/>
                <w:lang w:val="en-US" w:eastAsia="zh-CN"/>
              </w:rPr>
              <w:t>雨污分流</w:t>
            </w:r>
            <w:r>
              <w:rPr>
                <w:rFonts w:hint="eastAsia"/>
                <w:color w:val="auto"/>
                <w:kern w:val="0"/>
                <w:lang w:val="en-US" w:eastAsia="zh-CN"/>
              </w:rPr>
              <w:t>”</w:t>
            </w:r>
            <w:r>
              <w:rPr>
                <w:rFonts w:hint="default"/>
                <w:color w:val="auto"/>
                <w:kern w:val="0"/>
                <w:lang w:val="en-US" w:eastAsia="zh-CN"/>
              </w:rPr>
              <w:t>原则布置厂区给排水管网，共设雨水排放口1</w:t>
            </w:r>
            <w:r>
              <w:rPr>
                <w:rFonts w:hint="eastAsia"/>
                <w:color w:val="auto"/>
                <w:kern w:val="0"/>
                <w:lang w:val="en-US" w:eastAsia="zh-CN"/>
              </w:rPr>
              <w:t>个</w:t>
            </w:r>
            <w:r>
              <w:rPr>
                <w:rFonts w:hint="default"/>
                <w:color w:val="auto"/>
                <w:kern w:val="0"/>
                <w:lang w:val="en-US" w:eastAsia="zh-CN"/>
              </w:rPr>
              <w:t>，污水接管口1</w:t>
            </w:r>
            <w:r>
              <w:rPr>
                <w:rFonts w:hint="eastAsia"/>
                <w:color w:val="auto"/>
                <w:kern w:val="0"/>
                <w:lang w:val="en-US" w:eastAsia="zh-CN"/>
              </w:rPr>
              <w:t>个</w:t>
            </w:r>
            <w:r>
              <w:rPr>
                <w:rFonts w:hint="default"/>
                <w:color w:val="auto"/>
                <w:kern w:val="0"/>
                <w:lang w:val="en-US" w:eastAsia="zh-CN"/>
              </w:rPr>
              <w:t>。</w:t>
            </w:r>
          </w:p>
          <w:p w14:paraId="3ED6F279">
            <w:pPr>
              <w:adjustRightInd w:val="0"/>
              <w:snapToGrid w:val="0"/>
              <w:spacing w:line="360" w:lineRule="auto"/>
              <w:ind w:firstLine="420" w:firstLineChars="200"/>
              <w:rPr>
                <w:rFonts w:hint="default"/>
                <w:color w:val="auto"/>
                <w:kern w:val="0"/>
                <w:lang w:val="en-US" w:eastAsia="zh-CN"/>
              </w:rPr>
            </w:pPr>
            <w:r>
              <w:rPr>
                <w:rFonts w:hint="default"/>
                <w:color w:val="auto"/>
                <w:kern w:val="0"/>
                <w:lang w:val="en-US" w:eastAsia="zh-CN"/>
              </w:rPr>
              <w:t>本项目租赁江苏富卓新材料科技有限公司空置厂房，依托江苏富卓新材料科技有限公司内已建的供水管网、供电线路、雨水管网及雨水排口、污水管网及污水排口。若雨水排放口及污水排放口出现超标排放情况，由江苏富卓新材料科技有限公司承担相应的环保责任。</w:t>
            </w:r>
            <w:r>
              <w:rPr>
                <w:rFonts w:hint="eastAsia"/>
                <w:color w:val="auto"/>
                <w:kern w:val="0"/>
                <w:lang w:val="en-US" w:eastAsia="zh-CN"/>
              </w:rPr>
              <w:t>常州市永峰风能设备制造有限公司</w:t>
            </w:r>
            <w:r>
              <w:rPr>
                <w:rFonts w:hint="default"/>
                <w:color w:val="auto"/>
                <w:kern w:val="0"/>
                <w:lang w:val="en-US" w:eastAsia="zh-CN"/>
              </w:rPr>
              <w:t>需设置单独计量口，且不得向污水管网、雨水管网内排放生产废水、废液等。</w:t>
            </w:r>
          </w:p>
        </w:tc>
      </w:tr>
    </w:tbl>
    <w:p w14:paraId="1C90DA80">
      <w:pPr>
        <w:pStyle w:val="55"/>
        <w:rPr>
          <w:color w:val="auto"/>
        </w:rPr>
      </w:pPr>
      <w:bookmarkStart w:id="12" w:name="_Toc137559021"/>
      <w:bookmarkStart w:id="13" w:name="_Toc9917"/>
      <w:r>
        <w:rPr>
          <w:color w:val="auto"/>
        </w:rPr>
        <w:br w:type="page"/>
      </w:r>
      <w:bookmarkStart w:id="14" w:name="_Toc21144"/>
      <w:r>
        <w:rPr>
          <w:color w:val="auto"/>
        </w:rPr>
        <w:t>三、区域环境质量现状、环境保护目标及评价标准</w:t>
      </w:r>
      <w:bookmarkEnd w:id="12"/>
      <w:bookmarkEnd w:id="13"/>
      <w:bookmarkEnd w:id="14"/>
    </w:p>
    <w:tbl>
      <w:tblPr>
        <w:tblStyle w:val="5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56"/>
        <w:gridCol w:w="8945"/>
      </w:tblGrid>
      <w:tr w14:paraId="17A3624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50" w:hRule="atLeast"/>
          <w:jc w:val="center"/>
        </w:trPr>
        <w:tc>
          <w:tcPr>
            <w:tcW w:w="456" w:type="dxa"/>
            <w:vAlign w:val="center"/>
          </w:tcPr>
          <w:p w14:paraId="5D361EE0">
            <w:pPr>
              <w:adjustRightInd w:val="0"/>
              <w:snapToGrid w:val="0"/>
              <w:jc w:val="center"/>
              <w:rPr>
                <w:b/>
                <w:color w:val="auto"/>
                <w:kern w:val="0"/>
              </w:rPr>
            </w:pPr>
            <w:r>
              <w:rPr>
                <w:b/>
                <w:color w:val="auto"/>
                <w:kern w:val="0"/>
              </w:rPr>
              <w:t>区域环境质量现状</w:t>
            </w:r>
          </w:p>
        </w:tc>
        <w:tc>
          <w:tcPr>
            <w:tcW w:w="8945" w:type="dxa"/>
            <w:vAlign w:val="center"/>
          </w:tcPr>
          <w:p w14:paraId="4E512656">
            <w:pPr>
              <w:widowControl/>
              <w:adjustRightInd w:val="0"/>
              <w:snapToGrid w:val="0"/>
              <w:spacing w:line="360" w:lineRule="auto"/>
              <w:ind w:firstLine="422" w:firstLineChars="200"/>
              <w:jc w:val="left"/>
              <w:rPr>
                <w:b/>
                <w:bCs/>
                <w:color w:val="auto"/>
              </w:rPr>
            </w:pPr>
            <w:r>
              <w:rPr>
                <w:rFonts w:hint="eastAsia"/>
                <w:b/>
                <w:bCs/>
                <w:color w:val="auto"/>
              </w:rPr>
              <w:t>1.大气环境质量现状</w:t>
            </w:r>
          </w:p>
          <w:p w14:paraId="7C8C507D">
            <w:pPr>
              <w:adjustRightInd w:val="0"/>
              <w:snapToGrid w:val="0"/>
              <w:spacing w:line="360" w:lineRule="auto"/>
              <w:ind w:firstLine="422" w:firstLineChars="200"/>
              <w:rPr>
                <w:b/>
                <w:color w:val="auto"/>
              </w:rPr>
            </w:pPr>
            <w:r>
              <w:rPr>
                <w:rFonts w:hint="eastAsia"/>
                <w:b/>
                <w:color w:val="auto"/>
              </w:rPr>
              <w:t>（1）常规污染物环境质量现状</w:t>
            </w:r>
          </w:p>
          <w:p w14:paraId="26047E60">
            <w:pPr>
              <w:adjustRightInd w:val="0"/>
              <w:snapToGrid w:val="0"/>
              <w:spacing w:line="360" w:lineRule="auto"/>
              <w:ind w:firstLine="420" w:firstLineChars="200"/>
              <w:rPr>
                <w:bCs/>
                <w:color w:val="auto"/>
                <w:kern w:val="0"/>
                <w:sz w:val="21"/>
              </w:rPr>
            </w:pPr>
            <w:r>
              <w:rPr>
                <w:rFonts w:hint="eastAsia"/>
                <w:bCs/>
                <w:color w:val="auto"/>
                <w:kern w:val="0"/>
                <w:sz w:val="21"/>
              </w:rPr>
              <w:t>根据《环境影响评价技术导则 大气环境》（HJ2.2-2018），项目所在区域达标情况判定优先采用国家或地方生态环境主管部门公开发布的环境质量公告或环境质量报告中的数据和结论。</w:t>
            </w:r>
          </w:p>
          <w:p w14:paraId="11720D8B">
            <w:pPr>
              <w:adjustRightInd w:val="0"/>
              <w:snapToGrid w:val="0"/>
              <w:spacing w:line="360" w:lineRule="auto"/>
              <w:ind w:firstLine="420" w:firstLineChars="200"/>
              <w:rPr>
                <w:bCs/>
                <w:color w:val="auto"/>
                <w:kern w:val="0"/>
                <w:sz w:val="21"/>
              </w:rPr>
            </w:pPr>
            <w:r>
              <w:rPr>
                <w:rFonts w:hint="eastAsia"/>
                <w:bCs/>
                <w:color w:val="auto"/>
                <w:kern w:val="0"/>
                <w:sz w:val="21"/>
              </w:rPr>
              <w:t>根据《202</w:t>
            </w:r>
            <w:r>
              <w:rPr>
                <w:rFonts w:hint="eastAsia"/>
                <w:bCs/>
                <w:color w:val="auto"/>
                <w:kern w:val="0"/>
                <w:sz w:val="21"/>
                <w:lang w:val="en-US" w:eastAsia="zh-CN"/>
              </w:rPr>
              <w:t>4</w:t>
            </w:r>
            <w:r>
              <w:rPr>
                <w:rFonts w:hint="eastAsia"/>
                <w:bCs/>
                <w:color w:val="auto"/>
                <w:kern w:val="0"/>
                <w:sz w:val="21"/>
              </w:rPr>
              <w:t>年常州市生态环境状况公报》，判定项目所在区域环境空气质量的达标情况，具体见下表。</w:t>
            </w:r>
          </w:p>
          <w:p w14:paraId="77339BC3">
            <w:pPr>
              <w:adjustRightInd w:val="0"/>
              <w:snapToGrid w:val="0"/>
              <w:jc w:val="center"/>
              <w:rPr>
                <w:b/>
                <w:color w:val="auto"/>
              </w:rPr>
            </w:pPr>
            <w:r>
              <w:rPr>
                <w:b/>
                <w:color w:val="auto"/>
              </w:rPr>
              <w:t>表3-1   大气环境质量现状</w:t>
            </w:r>
          </w:p>
          <w:tbl>
            <w:tblPr>
              <w:tblStyle w:val="59"/>
              <w:tblW w:w="5000"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996"/>
              <w:gridCol w:w="2884"/>
              <w:gridCol w:w="1297"/>
              <w:gridCol w:w="1235"/>
              <w:gridCol w:w="1070"/>
              <w:gridCol w:w="1247"/>
            </w:tblGrid>
            <w:tr w14:paraId="005ABBA7">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972" w:type="dxa"/>
                  <w:tcBorders>
                    <w:tl2br w:val="nil"/>
                    <w:tr2bl w:val="nil"/>
                  </w:tcBorders>
                  <w:noWrap w:val="0"/>
                  <w:vAlign w:val="center"/>
                </w:tcPr>
                <w:p w14:paraId="76F948F7">
                  <w:pPr>
                    <w:keepNext w:val="0"/>
                    <w:keepLines w:val="0"/>
                    <w:pageBreakBefore w:val="0"/>
                    <w:kinsoku/>
                    <w:wordWrap/>
                    <w:overflowPunct/>
                    <w:topLinePunct w:val="0"/>
                    <w:autoSpaceDE/>
                    <w:autoSpaceDN/>
                    <w:bidi w:val="0"/>
                    <w:adjustRightInd w:val="0"/>
                    <w:snapToGrid w:val="0"/>
                    <w:jc w:val="center"/>
                    <w:rPr>
                      <w:rFonts w:ascii="Times New Roman" w:hAnsi="Times New Roman"/>
                      <w:b/>
                      <w:color w:val="auto"/>
                      <w:kern w:val="0"/>
                      <w:szCs w:val="21"/>
                    </w:rPr>
                  </w:pPr>
                  <w:r>
                    <w:rPr>
                      <w:rFonts w:ascii="Times New Roman" w:hAnsi="Times New Roman"/>
                      <w:b/>
                      <w:color w:val="auto"/>
                      <w:kern w:val="0"/>
                      <w:szCs w:val="21"/>
                    </w:rPr>
                    <w:t>污染物</w:t>
                  </w:r>
                </w:p>
              </w:tc>
              <w:tc>
                <w:tcPr>
                  <w:tcW w:w="2816" w:type="dxa"/>
                  <w:tcBorders>
                    <w:tl2br w:val="nil"/>
                    <w:tr2bl w:val="nil"/>
                  </w:tcBorders>
                  <w:noWrap w:val="0"/>
                  <w:vAlign w:val="center"/>
                </w:tcPr>
                <w:p w14:paraId="775732D8">
                  <w:pPr>
                    <w:keepNext w:val="0"/>
                    <w:keepLines w:val="0"/>
                    <w:pageBreakBefore w:val="0"/>
                    <w:kinsoku/>
                    <w:wordWrap/>
                    <w:overflowPunct/>
                    <w:topLinePunct w:val="0"/>
                    <w:autoSpaceDE/>
                    <w:autoSpaceDN/>
                    <w:bidi w:val="0"/>
                    <w:adjustRightInd w:val="0"/>
                    <w:snapToGrid w:val="0"/>
                    <w:jc w:val="center"/>
                    <w:rPr>
                      <w:rFonts w:ascii="Times New Roman" w:hAnsi="Times New Roman"/>
                      <w:b/>
                      <w:color w:val="auto"/>
                      <w:kern w:val="0"/>
                      <w:szCs w:val="21"/>
                    </w:rPr>
                  </w:pPr>
                  <w:r>
                    <w:rPr>
                      <w:rFonts w:ascii="Times New Roman" w:hAnsi="Times New Roman"/>
                      <w:b/>
                      <w:color w:val="auto"/>
                      <w:kern w:val="0"/>
                      <w:szCs w:val="21"/>
                    </w:rPr>
                    <w:t>年平均指标</w:t>
                  </w:r>
                </w:p>
              </w:tc>
              <w:tc>
                <w:tcPr>
                  <w:tcW w:w="1266" w:type="dxa"/>
                  <w:tcBorders>
                    <w:tl2br w:val="nil"/>
                    <w:tr2bl w:val="nil"/>
                  </w:tcBorders>
                  <w:noWrap w:val="0"/>
                  <w:vAlign w:val="center"/>
                </w:tcPr>
                <w:p w14:paraId="498D0FD0">
                  <w:pPr>
                    <w:keepNext w:val="0"/>
                    <w:keepLines w:val="0"/>
                    <w:pageBreakBefore w:val="0"/>
                    <w:kinsoku/>
                    <w:wordWrap/>
                    <w:overflowPunct/>
                    <w:topLinePunct w:val="0"/>
                    <w:autoSpaceDE/>
                    <w:autoSpaceDN/>
                    <w:bidi w:val="0"/>
                    <w:adjustRightInd w:val="0"/>
                    <w:snapToGrid w:val="0"/>
                    <w:jc w:val="center"/>
                    <w:rPr>
                      <w:rFonts w:ascii="Times New Roman" w:hAnsi="Times New Roman"/>
                      <w:b/>
                      <w:color w:val="auto"/>
                      <w:kern w:val="0"/>
                      <w:szCs w:val="21"/>
                    </w:rPr>
                  </w:pPr>
                  <w:r>
                    <w:rPr>
                      <w:rFonts w:ascii="Times New Roman" w:hAnsi="Times New Roman"/>
                      <w:b/>
                      <w:color w:val="auto"/>
                      <w:kern w:val="0"/>
                      <w:szCs w:val="21"/>
                    </w:rPr>
                    <w:t>现状浓度</w:t>
                  </w:r>
                </w:p>
                <w:p w14:paraId="25657CC3">
                  <w:pPr>
                    <w:keepNext w:val="0"/>
                    <w:keepLines w:val="0"/>
                    <w:pageBreakBefore w:val="0"/>
                    <w:kinsoku/>
                    <w:wordWrap/>
                    <w:overflowPunct/>
                    <w:topLinePunct w:val="0"/>
                    <w:autoSpaceDE/>
                    <w:autoSpaceDN/>
                    <w:bidi w:val="0"/>
                    <w:adjustRightInd w:val="0"/>
                    <w:snapToGrid w:val="0"/>
                    <w:jc w:val="center"/>
                    <w:rPr>
                      <w:rFonts w:ascii="Times New Roman" w:hAnsi="Times New Roman"/>
                      <w:b/>
                      <w:color w:val="auto"/>
                      <w:szCs w:val="21"/>
                    </w:rPr>
                  </w:pPr>
                  <w:r>
                    <w:rPr>
                      <w:rFonts w:ascii="Times New Roman" w:hAnsi="Times New Roman"/>
                      <w:b/>
                      <w:color w:val="auto"/>
                      <w:kern w:val="0"/>
                      <w:szCs w:val="21"/>
                    </w:rPr>
                    <w:t>μg/m</w:t>
                  </w:r>
                  <w:r>
                    <w:rPr>
                      <w:rFonts w:ascii="Times New Roman" w:hAnsi="Times New Roman"/>
                      <w:b/>
                      <w:color w:val="auto"/>
                      <w:kern w:val="0"/>
                      <w:szCs w:val="21"/>
                      <w:vertAlign w:val="superscript"/>
                    </w:rPr>
                    <w:t>3</w:t>
                  </w:r>
                </w:p>
              </w:tc>
              <w:tc>
                <w:tcPr>
                  <w:tcW w:w="1206" w:type="dxa"/>
                  <w:tcBorders>
                    <w:tl2br w:val="nil"/>
                    <w:tr2bl w:val="nil"/>
                  </w:tcBorders>
                  <w:noWrap w:val="0"/>
                  <w:vAlign w:val="center"/>
                </w:tcPr>
                <w:p w14:paraId="21653A0C">
                  <w:pPr>
                    <w:keepNext w:val="0"/>
                    <w:keepLines w:val="0"/>
                    <w:pageBreakBefore w:val="0"/>
                    <w:kinsoku/>
                    <w:wordWrap/>
                    <w:overflowPunct/>
                    <w:topLinePunct w:val="0"/>
                    <w:autoSpaceDE/>
                    <w:autoSpaceDN/>
                    <w:bidi w:val="0"/>
                    <w:adjustRightInd w:val="0"/>
                    <w:snapToGrid w:val="0"/>
                    <w:jc w:val="center"/>
                    <w:rPr>
                      <w:rFonts w:ascii="Times New Roman" w:hAnsi="Times New Roman"/>
                      <w:b/>
                      <w:color w:val="auto"/>
                      <w:kern w:val="0"/>
                      <w:szCs w:val="21"/>
                    </w:rPr>
                  </w:pPr>
                  <w:r>
                    <w:rPr>
                      <w:rFonts w:ascii="Times New Roman" w:hAnsi="Times New Roman"/>
                      <w:b/>
                      <w:color w:val="auto"/>
                      <w:kern w:val="0"/>
                      <w:szCs w:val="21"/>
                    </w:rPr>
                    <w:t>标准限值</w:t>
                  </w:r>
                </w:p>
                <w:p w14:paraId="48FBEDED">
                  <w:pPr>
                    <w:keepNext w:val="0"/>
                    <w:keepLines w:val="0"/>
                    <w:pageBreakBefore w:val="0"/>
                    <w:kinsoku/>
                    <w:wordWrap/>
                    <w:overflowPunct/>
                    <w:topLinePunct w:val="0"/>
                    <w:autoSpaceDE/>
                    <w:autoSpaceDN/>
                    <w:bidi w:val="0"/>
                    <w:adjustRightInd w:val="0"/>
                    <w:snapToGrid w:val="0"/>
                    <w:jc w:val="center"/>
                    <w:rPr>
                      <w:rFonts w:ascii="Times New Roman" w:hAnsi="Times New Roman"/>
                      <w:b/>
                      <w:color w:val="auto"/>
                      <w:szCs w:val="21"/>
                    </w:rPr>
                  </w:pPr>
                  <w:r>
                    <w:rPr>
                      <w:rFonts w:ascii="Times New Roman" w:hAnsi="Times New Roman"/>
                      <w:b/>
                      <w:color w:val="auto"/>
                      <w:kern w:val="0"/>
                      <w:szCs w:val="21"/>
                    </w:rPr>
                    <w:t>μg/m</w:t>
                  </w:r>
                  <w:r>
                    <w:rPr>
                      <w:rFonts w:ascii="Times New Roman" w:hAnsi="Times New Roman"/>
                      <w:b/>
                      <w:color w:val="auto"/>
                      <w:kern w:val="0"/>
                      <w:szCs w:val="21"/>
                      <w:vertAlign w:val="superscript"/>
                    </w:rPr>
                    <w:t>3</w:t>
                  </w:r>
                </w:p>
              </w:tc>
              <w:tc>
                <w:tcPr>
                  <w:tcW w:w="1045" w:type="dxa"/>
                  <w:tcBorders>
                    <w:tl2br w:val="nil"/>
                    <w:tr2bl w:val="nil"/>
                  </w:tcBorders>
                  <w:noWrap w:val="0"/>
                  <w:vAlign w:val="center"/>
                </w:tcPr>
                <w:p w14:paraId="75FC3144">
                  <w:pPr>
                    <w:keepNext w:val="0"/>
                    <w:keepLines w:val="0"/>
                    <w:pageBreakBefore w:val="0"/>
                    <w:kinsoku/>
                    <w:wordWrap/>
                    <w:overflowPunct/>
                    <w:topLinePunct w:val="0"/>
                    <w:autoSpaceDE/>
                    <w:autoSpaceDN/>
                    <w:bidi w:val="0"/>
                    <w:adjustRightInd w:val="0"/>
                    <w:snapToGrid w:val="0"/>
                    <w:jc w:val="center"/>
                    <w:rPr>
                      <w:rFonts w:ascii="Times New Roman" w:hAnsi="Times New Roman"/>
                      <w:b/>
                      <w:color w:val="auto"/>
                      <w:kern w:val="0"/>
                      <w:szCs w:val="21"/>
                    </w:rPr>
                  </w:pPr>
                  <w:r>
                    <w:rPr>
                      <w:rFonts w:ascii="Times New Roman" w:hAnsi="Times New Roman"/>
                      <w:b/>
                      <w:color w:val="auto"/>
                      <w:kern w:val="0"/>
                      <w:szCs w:val="21"/>
                    </w:rPr>
                    <w:t>达标率</w:t>
                  </w:r>
                </w:p>
                <w:p w14:paraId="56B88CE1">
                  <w:pPr>
                    <w:keepNext w:val="0"/>
                    <w:keepLines w:val="0"/>
                    <w:pageBreakBefore w:val="0"/>
                    <w:kinsoku/>
                    <w:wordWrap/>
                    <w:overflowPunct/>
                    <w:topLinePunct w:val="0"/>
                    <w:autoSpaceDE/>
                    <w:autoSpaceDN/>
                    <w:bidi w:val="0"/>
                    <w:adjustRightInd w:val="0"/>
                    <w:snapToGrid w:val="0"/>
                    <w:jc w:val="center"/>
                    <w:rPr>
                      <w:rFonts w:ascii="Times New Roman" w:hAnsi="Times New Roman"/>
                      <w:b/>
                      <w:color w:val="auto"/>
                      <w:kern w:val="0"/>
                      <w:szCs w:val="21"/>
                    </w:rPr>
                  </w:pPr>
                  <w:r>
                    <w:rPr>
                      <w:rFonts w:ascii="Times New Roman" w:hAnsi="Times New Roman"/>
                      <w:b/>
                      <w:color w:val="auto"/>
                      <w:kern w:val="0"/>
                      <w:szCs w:val="21"/>
                    </w:rPr>
                    <w:t>%</w:t>
                  </w:r>
                </w:p>
              </w:tc>
              <w:tc>
                <w:tcPr>
                  <w:tcW w:w="1217" w:type="dxa"/>
                  <w:tcBorders>
                    <w:tl2br w:val="nil"/>
                    <w:tr2bl w:val="nil"/>
                  </w:tcBorders>
                  <w:noWrap w:val="0"/>
                  <w:vAlign w:val="center"/>
                </w:tcPr>
                <w:p w14:paraId="7A59CBB2">
                  <w:pPr>
                    <w:keepNext w:val="0"/>
                    <w:keepLines w:val="0"/>
                    <w:pageBreakBefore w:val="0"/>
                    <w:kinsoku/>
                    <w:wordWrap/>
                    <w:overflowPunct/>
                    <w:topLinePunct w:val="0"/>
                    <w:autoSpaceDE/>
                    <w:autoSpaceDN/>
                    <w:bidi w:val="0"/>
                    <w:adjustRightInd w:val="0"/>
                    <w:snapToGrid w:val="0"/>
                    <w:jc w:val="center"/>
                    <w:rPr>
                      <w:rFonts w:ascii="Times New Roman" w:hAnsi="Times New Roman"/>
                      <w:b/>
                      <w:color w:val="auto"/>
                      <w:kern w:val="0"/>
                      <w:szCs w:val="21"/>
                    </w:rPr>
                  </w:pPr>
                  <w:r>
                    <w:rPr>
                      <w:rFonts w:ascii="Times New Roman" w:hAnsi="Times New Roman"/>
                      <w:b/>
                      <w:color w:val="auto"/>
                      <w:kern w:val="0"/>
                      <w:szCs w:val="21"/>
                    </w:rPr>
                    <w:t>达标情况</w:t>
                  </w:r>
                </w:p>
              </w:tc>
            </w:tr>
            <w:tr w14:paraId="08AD3F4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972" w:type="dxa"/>
                  <w:vMerge w:val="restart"/>
                  <w:tcBorders>
                    <w:tl2br w:val="nil"/>
                    <w:tr2bl w:val="nil"/>
                  </w:tcBorders>
                  <w:noWrap w:val="0"/>
                  <w:vAlign w:val="center"/>
                </w:tcPr>
                <w:p w14:paraId="26AD3785">
                  <w:pPr>
                    <w:keepNext w:val="0"/>
                    <w:keepLines w:val="0"/>
                    <w:pageBreakBefore w:val="0"/>
                    <w:kinsoku/>
                    <w:wordWrap/>
                    <w:overflowPunct/>
                    <w:topLinePunct w:val="0"/>
                    <w:autoSpaceDE/>
                    <w:autoSpaceDN/>
                    <w:bidi w:val="0"/>
                    <w:adjustRightInd w:val="0"/>
                    <w:snapToGrid w:val="0"/>
                    <w:jc w:val="center"/>
                    <w:rPr>
                      <w:rFonts w:ascii="Times New Roman" w:hAnsi="Times New Roman"/>
                      <w:color w:val="auto"/>
                      <w:kern w:val="0"/>
                      <w:szCs w:val="21"/>
                    </w:rPr>
                  </w:pPr>
                  <w:r>
                    <w:rPr>
                      <w:rFonts w:ascii="Times New Roman" w:hAnsi="Times New Roman"/>
                      <w:color w:val="auto"/>
                      <w:kern w:val="0"/>
                      <w:szCs w:val="21"/>
                    </w:rPr>
                    <w:t>PM</w:t>
                  </w:r>
                  <w:r>
                    <w:rPr>
                      <w:rFonts w:ascii="Times New Roman" w:hAnsi="Times New Roman"/>
                      <w:color w:val="auto"/>
                      <w:kern w:val="0"/>
                      <w:szCs w:val="21"/>
                      <w:vertAlign w:val="subscript"/>
                    </w:rPr>
                    <w:t>2.5</w:t>
                  </w:r>
                </w:p>
              </w:tc>
              <w:tc>
                <w:tcPr>
                  <w:tcW w:w="2816" w:type="dxa"/>
                  <w:tcBorders>
                    <w:tl2br w:val="nil"/>
                    <w:tr2bl w:val="nil"/>
                  </w:tcBorders>
                  <w:noWrap w:val="0"/>
                  <w:vAlign w:val="center"/>
                </w:tcPr>
                <w:p w14:paraId="29AFECCF">
                  <w:pPr>
                    <w:keepNext w:val="0"/>
                    <w:keepLines w:val="0"/>
                    <w:pageBreakBefore w:val="0"/>
                    <w:kinsoku/>
                    <w:wordWrap/>
                    <w:overflowPunct/>
                    <w:topLinePunct w:val="0"/>
                    <w:autoSpaceDE/>
                    <w:autoSpaceDN/>
                    <w:bidi w:val="0"/>
                    <w:adjustRightInd w:val="0"/>
                    <w:snapToGrid w:val="0"/>
                    <w:jc w:val="center"/>
                    <w:rPr>
                      <w:rFonts w:ascii="Times New Roman" w:hAnsi="Times New Roman"/>
                      <w:color w:val="auto"/>
                      <w:kern w:val="0"/>
                      <w:szCs w:val="21"/>
                    </w:rPr>
                  </w:pPr>
                  <w:r>
                    <w:rPr>
                      <w:rFonts w:ascii="Times New Roman" w:hAnsi="Times New Roman"/>
                      <w:color w:val="auto"/>
                      <w:kern w:val="0"/>
                      <w:szCs w:val="21"/>
                    </w:rPr>
                    <w:t>年平均质量浓度</w:t>
                  </w:r>
                </w:p>
              </w:tc>
              <w:tc>
                <w:tcPr>
                  <w:tcW w:w="1266" w:type="dxa"/>
                  <w:tcBorders>
                    <w:tl2br w:val="nil"/>
                    <w:tr2bl w:val="nil"/>
                  </w:tcBorders>
                  <w:noWrap w:val="0"/>
                  <w:vAlign w:val="center"/>
                </w:tcPr>
                <w:p w14:paraId="1C661C0C">
                  <w:pPr>
                    <w:keepNext w:val="0"/>
                    <w:keepLines w:val="0"/>
                    <w:pageBreakBefore w:val="0"/>
                    <w:kinsoku/>
                    <w:wordWrap/>
                    <w:overflowPunct/>
                    <w:topLinePunct w:val="0"/>
                    <w:autoSpaceDE/>
                    <w:autoSpaceDN/>
                    <w:bidi w:val="0"/>
                    <w:adjustRightInd w:val="0"/>
                    <w:snapToGrid w:val="0"/>
                    <w:jc w:val="center"/>
                    <w:rPr>
                      <w:rFonts w:hint="eastAsia" w:ascii="Times New Roman" w:hAnsi="Times New Roman" w:eastAsia="宋体"/>
                      <w:color w:val="auto"/>
                      <w:kern w:val="0"/>
                      <w:szCs w:val="21"/>
                      <w:lang w:val="en-US" w:eastAsia="zh-CN"/>
                    </w:rPr>
                  </w:pPr>
                  <w:r>
                    <w:rPr>
                      <w:rFonts w:ascii="Times New Roman" w:hAnsi="Times New Roman"/>
                      <w:color w:val="auto"/>
                      <w:kern w:val="0"/>
                      <w:szCs w:val="21"/>
                    </w:rPr>
                    <w:t>3</w:t>
                  </w:r>
                  <w:r>
                    <w:rPr>
                      <w:rFonts w:hint="eastAsia" w:ascii="Times New Roman" w:hAnsi="Times New Roman"/>
                      <w:color w:val="auto"/>
                      <w:kern w:val="0"/>
                      <w:szCs w:val="21"/>
                      <w:lang w:val="en-US" w:eastAsia="zh-CN"/>
                    </w:rPr>
                    <w:t>2</w:t>
                  </w:r>
                </w:p>
              </w:tc>
              <w:tc>
                <w:tcPr>
                  <w:tcW w:w="1206" w:type="dxa"/>
                  <w:tcBorders>
                    <w:tl2br w:val="nil"/>
                    <w:tr2bl w:val="nil"/>
                  </w:tcBorders>
                  <w:noWrap w:val="0"/>
                  <w:vAlign w:val="center"/>
                </w:tcPr>
                <w:p w14:paraId="318A3141">
                  <w:pPr>
                    <w:keepNext w:val="0"/>
                    <w:keepLines w:val="0"/>
                    <w:pageBreakBefore w:val="0"/>
                    <w:kinsoku/>
                    <w:wordWrap/>
                    <w:overflowPunct/>
                    <w:topLinePunct w:val="0"/>
                    <w:autoSpaceDE/>
                    <w:autoSpaceDN/>
                    <w:bidi w:val="0"/>
                    <w:adjustRightInd w:val="0"/>
                    <w:snapToGrid w:val="0"/>
                    <w:jc w:val="center"/>
                    <w:rPr>
                      <w:rFonts w:ascii="Times New Roman" w:hAnsi="Times New Roman"/>
                      <w:color w:val="auto"/>
                      <w:kern w:val="0"/>
                      <w:szCs w:val="21"/>
                    </w:rPr>
                  </w:pPr>
                  <w:r>
                    <w:rPr>
                      <w:rFonts w:ascii="Times New Roman" w:hAnsi="Times New Roman"/>
                      <w:color w:val="auto"/>
                      <w:kern w:val="0"/>
                      <w:szCs w:val="21"/>
                    </w:rPr>
                    <w:t>35</w:t>
                  </w:r>
                </w:p>
              </w:tc>
              <w:tc>
                <w:tcPr>
                  <w:tcW w:w="1045" w:type="dxa"/>
                  <w:tcBorders>
                    <w:tl2br w:val="nil"/>
                    <w:tr2bl w:val="nil"/>
                  </w:tcBorders>
                  <w:noWrap w:val="0"/>
                  <w:vAlign w:val="center"/>
                </w:tcPr>
                <w:p w14:paraId="01022A2A">
                  <w:pPr>
                    <w:keepNext w:val="0"/>
                    <w:keepLines w:val="0"/>
                    <w:pageBreakBefore w:val="0"/>
                    <w:widowControl/>
                    <w:kinsoku/>
                    <w:wordWrap/>
                    <w:overflowPunct/>
                    <w:topLinePunct w:val="0"/>
                    <w:autoSpaceDE/>
                    <w:autoSpaceDN/>
                    <w:bidi w:val="0"/>
                    <w:adjustRightInd w:val="0"/>
                    <w:snapToGrid w:val="0"/>
                    <w:jc w:val="center"/>
                    <w:textAlignment w:val="center"/>
                    <w:rPr>
                      <w:rFonts w:ascii="Times New Roman" w:hAnsi="Times New Roman"/>
                      <w:color w:val="auto"/>
                      <w:szCs w:val="21"/>
                    </w:rPr>
                  </w:pPr>
                  <w:r>
                    <w:rPr>
                      <w:rFonts w:ascii="Times New Roman" w:hAnsi="Times New Roman"/>
                      <w:color w:val="auto"/>
                      <w:kern w:val="0"/>
                      <w:szCs w:val="21"/>
                    </w:rPr>
                    <w:t>100</w:t>
                  </w:r>
                </w:p>
              </w:tc>
              <w:tc>
                <w:tcPr>
                  <w:tcW w:w="1217" w:type="dxa"/>
                  <w:vMerge w:val="restart"/>
                  <w:tcBorders>
                    <w:tl2br w:val="nil"/>
                    <w:tr2bl w:val="nil"/>
                  </w:tcBorders>
                  <w:noWrap w:val="0"/>
                  <w:vAlign w:val="center"/>
                </w:tcPr>
                <w:p w14:paraId="5446D8B2">
                  <w:pPr>
                    <w:keepNext w:val="0"/>
                    <w:keepLines w:val="0"/>
                    <w:pageBreakBefore w:val="0"/>
                    <w:kinsoku/>
                    <w:wordWrap/>
                    <w:overflowPunct/>
                    <w:topLinePunct w:val="0"/>
                    <w:autoSpaceDE/>
                    <w:autoSpaceDN/>
                    <w:bidi w:val="0"/>
                    <w:adjustRightInd w:val="0"/>
                    <w:snapToGrid w:val="0"/>
                    <w:jc w:val="center"/>
                    <w:rPr>
                      <w:rFonts w:ascii="Times New Roman" w:hAnsi="Times New Roman"/>
                      <w:color w:val="auto"/>
                      <w:kern w:val="0"/>
                      <w:szCs w:val="21"/>
                    </w:rPr>
                  </w:pPr>
                  <w:r>
                    <w:rPr>
                      <w:rFonts w:ascii="Times New Roman" w:hAnsi="Times New Roman"/>
                      <w:color w:val="auto"/>
                      <w:kern w:val="0"/>
                      <w:szCs w:val="21"/>
                    </w:rPr>
                    <w:t>不达标</w:t>
                  </w:r>
                </w:p>
              </w:tc>
            </w:tr>
            <w:tr w14:paraId="5D68C60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972" w:type="dxa"/>
                  <w:vMerge w:val="continue"/>
                  <w:tcBorders>
                    <w:tl2br w:val="nil"/>
                    <w:tr2bl w:val="nil"/>
                  </w:tcBorders>
                  <w:noWrap w:val="0"/>
                  <w:vAlign w:val="center"/>
                </w:tcPr>
                <w:p w14:paraId="23983A16">
                  <w:pPr>
                    <w:keepNext w:val="0"/>
                    <w:keepLines w:val="0"/>
                    <w:pageBreakBefore w:val="0"/>
                    <w:kinsoku/>
                    <w:wordWrap/>
                    <w:overflowPunct/>
                    <w:topLinePunct w:val="0"/>
                    <w:autoSpaceDE/>
                    <w:autoSpaceDN/>
                    <w:bidi w:val="0"/>
                    <w:adjustRightInd w:val="0"/>
                    <w:snapToGrid w:val="0"/>
                    <w:jc w:val="center"/>
                    <w:rPr>
                      <w:rFonts w:ascii="Times New Roman" w:hAnsi="Times New Roman"/>
                      <w:color w:val="auto"/>
                      <w:kern w:val="0"/>
                      <w:szCs w:val="21"/>
                    </w:rPr>
                  </w:pPr>
                </w:p>
              </w:tc>
              <w:tc>
                <w:tcPr>
                  <w:tcW w:w="2816" w:type="dxa"/>
                  <w:tcBorders>
                    <w:tl2br w:val="nil"/>
                    <w:tr2bl w:val="nil"/>
                  </w:tcBorders>
                  <w:noWrap w:val="0"/>
                  <w:vAlign w:val="center"/>
                </w:tcPr>
                <w:p w14:paraId="1DCEF08F">
                  <w:pPr>
                    <w:keepNext w:val="0"/>
                    <w:keepLines w:val="0"/>
                    <w:pageBreakBefore w:val="0"/>
                    <w:kinsoku/>
                    <w:wordWrap/>
                    <w:overflowPunct/>
                    <w:topLinePunct w:val="0"/>
                    <w:autoSpaceDE/>
                    <w:autoSpaceDN/>
                    <w:bidi w:val="0"/>
                    <w:adjustRightInd w:val="0"/>
                    <w:snapToGrid w:val="0"/>
                    <w:jc w:val="center"/>
                    <w:rPr>
                      <w:rFonts w:ascii="Times New Roman" w:hAnsi="Times New Roman"/>
                      <w:color w:val="auto"/>
                      <w:kern w:val="0"/>
                      <w:szCs w:val="21"/>
                    </w:rPr>
                  </w:pPr>
                  <w:r>
                    <w:rPr>
                      <w:rFonts w:ascii="Times New Roman" w:hAnsi="Times New Roman"/>
                      <w:color w:val="auto"/>
                      <w:kern w:val="0"/>
                      <w:szCs w:val="21"/>
                    </w:rPr>
                    <w:t>日平均质量浓度范围</w:t>
                  </w:r>
                </w:p>
              </w:tc>
              <w:tc>
                <w:tcPr>
                  <w:tcW w:w="1266" w:type="dxa"/>
                  <w:tcBorders>
                    <w:tl2br w:val="nil"/>
                    <w:tr2bl w:val="nil"/>
                  </w:tcBorders>
                  <w:noWrap w:val="0"/>
                  <w:vAlign w:val="center"/>
                </w:tcPr>
                <w:p w14:paraId="0AA067FD">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olor w:val="auto"/>
                      <w:kern w:val="0"/>
                      <w:szCs w:val="21"/>
                      <w:lang w:val="en-US" w:eastAsia="zh-CN"/>
                    </w:rPr>
                  </w:pPr>
                  <w:r>
                    <w:rPr>
                      <w:rFonts w:hint="eastAsia" w:ascii="Times New Roman" w:hAnsi="Times New Roman"/>
                      <w:color w:val="auto"/>
                      <w:kern w:val="0"/>
                      <w:szCs w:val="21"/>
                      <w:lang w:val="en-US" w:eastAsia="zh-CN"/>
                    </w:rPr>
                    <w:t>5~158</w:t>
                  </w:r>
                </w:p>
              </w:tc>
              <w:tc>
                <w:tcPr>
                  <w:tcW w:w="1206" w:type="dxa"/>
                  <w:tcBorders>
                    <w:tl2br w:val="nil"/>
                    <w:tr2bl w:val="nil"/>
                  </w:tcBorders>
                  <w:noWrap w:val="0"/>
                  <w:vAlign w:val="center"/>
                </w:tcPr>
                <w:p w14:paraId="48733FCD">
                  <w:pPr>
                    <w:keepNext w:val="0"/>
                    <w:keepLines w:val="0"/>
                    <w:pageBreakBefore w:val="0"/>
                    <w:kinsoku/>
                    <w:wordWrap/>
                    <w:overflowPunct/>
                    <w:topLinePunct w:val="0"/>
                    <w:autoSpaceDE/>
                    <w:autoSpaceDN/>
                    <w:bidi w:val="0"/>
                    <w:adjustRightInd w:val="0"/>
                    <w:snapToGrid w:val="0"/>
                    <w:jc w:val="center"/>
                    <w:rPr>
                      <w:rFonts w:ascii="Times New Roman" w:hAnsi="Times New Roman"/>
                      <w:color w:val="auto"/>
                      <w:kern w:val="0"/>
                      <w:szCs w:val="21"/>
                    </w:rPr>
                  </w:pPr>
                  <w:r>
                    <w:rPr>
                      <w:rFonts w:ascii="Times New Roman" w:hAnsi="Times New Roman"/>
                      <w:color w:val="auto"/>
                      <w:kern w:val="0"/>
                      <w:szCs w:val="21"/>
                    </w:rPr>
                    <w:t>75</w:t>
                  </w:r>
                </w:p>
              </w:tc>
              <w:tc>
                <w:tcPr>
                  <w:tcW w:w="1045" w:type="dxa"/>
                  <w:tcBorders>
                    <w:tl2br w:val="nil"/>
                    <w:tr2bl w:val="nil"/>
                  </w:tcBorders>
                  <w:noWrap w:val="0"/>
                  <w:vAlign w:val="center"/>
                </w:tcPr>
                <w:p w14:paraId="2FC21C6E">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Times New Roman" w:hAnsi="Times New Roman" w:eastAsia="宋体"/>
                      <w:color w:val="auto"/>
                      <w:szCs w:val="21"/>
                      <w:lang w:val="en-US" w:eastAsia="zh-CN"/>
                    </w:rPr>
                  </w:pPr>
                  <w:r>
                    <w:rPr>
                      <w:rFonts w:ascii="Times New Roman" w:hAnsi="Times New Roman"/>
                      <w:color w:val="auto"/>
                      <w:kern w:val="0"/>
                      <w:szCs w:val="21"/>
                    </w:rPr>
                    <w:t>93.</w:t>
                  </w:r>
                  <w:r>
                    <w:rPr>
                      <w:rFonts w:hint="eastAsia" w:ascii="Times New Roman" w:hAnsi="Times New Roman"/>
                      <w:color w:val="auto"/>
                      <w:kern w:val="0"/>
                      <w:szCs w:val="21"/>
                      <w:lang w:val="en-US" w:eastAsia="zh-CN"/>
                    </w:rPr>
                    <w:t>2</w:t>
                  </w:r>
                </w:p>
              </w:tc>
              <w:tc>
                <w:tcPr>
                  <w:tcW w:w="1217" w:type="dxa"/>
                  <w:vMerge w:val="continue"/>
                  <w:tcBorders>
                    <w:tl2br w:val="nil"/>
                    <w:tr2bl w:val="nil"/>
                  </w:tcBorders>
                  <w:noWrap w:val="0"/>
                  <w:vAlign w:val="center"/>
                </w:tcPr>
                <w:p w14:paraId="6837119E">
                  <w:pPr>
                    <w:keepNext w:val="0"/>
                    <w:keepLines w:val="0"/>
                    <w:pageBreakBefore w:val="0"/>
                    <w:kinsoku/>
                    <w:wordWrap/>
                    <w:overflowPunct/>
                    <w:topLinePunct w:val="0"/>
                    <w:autoSpaceDE/>
                    <w:autoSpaceDN/>
                    <w:bidi w:val="0"/>
                    <w:adjustRightInd w:val="0"/>
                    <w:snapToGrid w:val="0"/>
                    <w:jc w:val="center"/>
                    <w:rPr>
                      <w:rFonts w:ascii="Times New Roman" w:hAnsi="Times New Roman"/>
                      <w:color w:val="auto"/>
                      <w:kern w:val="0"/>
                      <w:szCs w:val="21"/>
                    </w:rPr>
                  </w:pPr>
                </w:p>
              </w:tc>
            </w:tr>
            <w:tr w14:paraId="522FDD4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972" w:type="dxa"/>
                  <w:vMerge w:val="restart"/>
                  <w:tcBorders>
                    <w:tl2br w:val="nil"/>
                    <w:tr2bl w:val="nil"/>
                  </w:tcBorders>
                  <w:noWrap w:val="0"/>
                  <w:vAlign w:val="center"/>
                </w:tcPr>
                <w:p w14:paraId="620E7B67">
                  <w:pPr>
                    <w:keepNext w:val="0"/>
                    <w:keepLines w:val="0"/>
                    <w:pageBreakBefore w:val="0"/>
                    <w:kinsoku/>
                    <w:wordWrap/>
                    <w:overflowPunct/>
                    <w:topLinePunct w:val="0"/>
                    <w:autoSpaceDE/>
                    <w:autoSpaceDN/>
                    <w:bidi w:val="0"/>
                    <w:adjustRightInd w:val="0"/>
                    <w:snapToGrid w:val="0"/>
                    <w:jc w:val="center"/>
                    <w:rPr>
                      <w:rFonts w:ascii="Times New Roman" w:hAnsi="Times New Roman"/>
                      <w:color w:val="auto"/>
                      <w:kern w:val="0"/>
                      <w:szCs w:val="21"/>
                    </w:rPr>
                  </w:pPr>
                  <w:r>
                    <w:rPr>
                      <w:rFonts w:ascii="Times New Roman" w:hAnsi="Times New Roman"/>
                      <w:color w:val="auto"/>
                      <w:kern w:val="0"/>
                      <w:szCs w:val="21"/>
                    </w:rPr>
                    <w:t>PM</w:t>
                  </w:r>
                  <w:r>
                    <w:rPr>
                      <w:rFonts w:ascii="Times New Roman" w:hAnsi="Times New Roman"/>
                      <w:color w:val="auto"/>
                      <w:kern w:val="0"/>
                      <w:szCs w:val="21"/>
                      <w:vertAlign w:val="subscript"/>
                    </w:rPr>
                    <w:t>10</w:t>
                  </w:r>
                </w:p>
              </w:tc>
              <w:tc>
                <w:tcPr>
                  <w:tcW w:w="2816" w:type="dxa"/>
                  <w:tcBorders>
                    <w:tl2br w:val="nil"/>
                    <w:tr2bl w:val="nil"/>
                  </w:tcBorders>
                  <w:noWrap w:val="0"/>
                  <w:vAlign w:val="center"/>
                </w:tcPr>
                <w:p w14:paraId="2A5BD637">
                  <w:pPr>
                    <w:keepNext w:val="0"/>
                    <w:keepLines w:val="0"/>
                    <w:pageBreakBefore w:val="0"/>
                    <w:kinsoku/>
                    <w:wordWrap/>
                    <w:overflowPunct/>
                    <w:topLinePunct w:val="0"/>
                    <w:autoSpaceDE/>
                    <w:autoSpaceDN/>
                    <w:bidi w:val="0"/>
                    <w:adjustRightInd w:val="0"/>
                    <w:snapToGrid w:val="0"/>
                    <w:jc w:val="center"/>
                    <w:rPr>
                      <w:rFonts w:ascii="Times New Roman" w:hAnsi="Times New Roman"/>
                      <w:color w:val="auto"/>
                      <w:kern w:val="0"/>
                      <w:szCs w:val="21"/>
                    </w:rPr>
                  </w:pPr>
                  <w:r>
                    <w:rPr>
                      <w:rFonts w:ascii="Times New Roman" w:hAnsi="Times New Roman"/>
                      <w:color w:val="auto"/>
                      <w:kern w:val="0"/>
                      <w:szCs w:val="21"/>
                    </w:rPr>
                    <w:t>年平均质量浓度</w:t>
                  </w:r>
                </w:p>
              </w:tc>
              <w:tc>
                <w:tcPr>
                  <w:tcW w:w="1266" w:type="dxa"/>
                  <w:tcBorders>
                    <w:tl2br w:val="nil"/>
                    <w:tr2bl w:val="nil"/>
                  </w:tcBorders>
                  <w:noWrap w:val="0"/>
                  <w:vAlign w:val="center"/>
                </w:tcPr>
                <w:p w14:paraId="2057B78B">
                  <w:pPr>
                    <w:keepNext w:val="0"/>
                    <w:keepLines w:val="0"/>
                    <w:pageBreakBefore w:val="0"/>
                    <w:kinsoku/>
                    <w:wordWrap/>
                    <w:overflowPunct/>
                    <w:topLinePunct w:val="0"/>
                    <w:autoSpaceDE/>
                    <w:autoSpaceDN/>
                    <w:bidi w:val="0"/>
                    <w:adjustRightInd w:val="0"/>
                    <w:snapToGrid w:val="0"/>
                    <w:jc w:val="center"/>
                    <w:rPr>
                      <w:rFonts w:hint="eastAsia" w:ascii="Times New Roman" w:hAnsi="Times New Roman" w:eastAsia="宋体"/>
                      <w:color w:val="auto"/>
                      <w:kern w:val="0"/>
                      <w:szCs w:val="21"/>
                      <w:lang w:val="en-US" w:eastAsia="zh-CN"/>
                    </w:rPr>
                  </w:pPr>
                  <w:r>
                    <w:rPr>
                      <w:rFonts w:ascii="Times New Roman" w:hAnsi="Times New Roman"/>
                      <w:color w:val="auto"/>
                      <w:kern w:val="0"/>
                      <w:szCs w:val="21"/>
                    </w:rPr>
                    <w:t>5</w:t>
                  </w:r>
                  <w:r>
                    <w:rPr>
                      <w:rFonts w:hint="eastAsia" w:ascii="Times New Roman" w:hAnsi="Times New Roman"/>
                      <w:color w:val="auto"/>
                      <w:kern w:val="0"/>
                      <w:szCs w:val="21"/>
                      <w:lang w:val="en-US" w:eastAsia="zh-CN"/>
                    </w:rPr>
                    <w:t>2</w:t>
                  </w:r>
                </w:p>
              </w:tc>
              <w:tc>
                <w:tcPr>
                  <w:tcW w:w="1206" w:type="dxa"/>
                  <w:tcBorders>
                    <w:tl2br w:val="nil"/>
                    <w:tr2bl w:val="nil"/>
                  </w:tcBorders>
                  <w:noWrap w:val="0"/>
                  <w:vAlign w:val="center"/>
                </w:tcPr>
                <w:p w14:paraId="7146019F">
                  <w:pPr>
                    <w:keepNext w:val="0"/>
                    <w:keepLines w:val="0"/>
                    <w:pageBreakBefore w:val="0"/>
                    <w:kinsoku/>
                    <w:wordWrap/>
                    <w:overflowPunct/>
                    <w:topLinePunct w:val="0"/>
                    <w:autoSpaceDE/>
                    <w:autoSpaceDN/>
                    <w:bidi w:val="0"/>
                    <w:adjustRightInd w:val="0"/>
                    <w:snapToGrid w:val="0"/>
                    <w:jc w:val="center"/>
                    <w:rPr>
                      <w:rFonts w:ascii="Times New Roman" w:hAnsi="Times New Roman"/>
                      <w:color w:val="auto"/>
                      <w:kern w:val="0"/>
                      <w:szCs w:val="21"/>
                    </w:rPr>
                  </w:pPr>
                  <w:r>
                    <w:rPr>
                      <w:rFonts w:ascii="Times New Roman" w:hAnsi="Times New Roman"/>
                      <w:color w:val="auto"/>
                      <w:kern w:val="0"/>
                      <w:szCs w:val="21"/>
                    </w:rPr>
                    <w:t>70</w:t>
                  </w:r>
                </w:p>
              </w:tc>
              <w:tc>
                <w:tcPr>
                  <w:tcW w:w="1045" w:type="dxa"/>
                  <w:tcBorders>
                    <w:tl2br w:val="nil"/>
                    <w:tr2bl w:val="nil"/>
                  </w:tcBorders>
                  <w:noWrap w:val="0"/>
                  <w:vAlign w:val="center"/>
                </w:tcPr>
                <w:p w14:paraId="633477AE">
                  <w:pPr>
                    <w:keepNext w:val="0"/>
                    <w:keepLines w:val="0"/>
                    <w:pageBreakBefore w:val="0"/>
                    <w:widowControl/>
                    <w:kinsoku/>
                    <w:wordWrap/>
                    <w:overflowPunct/>
                    <w:topLinePunct w:val="0"/>
                    <w:autoSpaceDE/>
                    <w:autoSpaceDN/>
                    <w:bidi w:val="0"/>
                    <w:adjustRightInd w:val="0"/>
                    <w:snapToGrid w:val="0"/>
                    <w:jc w:val="center"/>
                    <w:textAlignment w:val="center"/>
                    <w:rPr>
                      <w:rFonts w:ascii="Times New Roman" w:hAnsi="Times New Roman"/>
                      <w:color w:val="auto"/>
                      <w:szCs w:val="21"/>
                    </w:rPr>
                  </w:pPr>
                  <w:r>
                    <w:rPr>
                      <w:rFonts w:ascii="Times New Roman" w:hAnsi="Times New Roman"/>
                      <w:color w:val="auto"/>
                      <w:kern w:val="0"/>
                      <w:szCs w:val="21"/>
                    </w:rPr>
                    <w:t>100</w:t>
                  </w:r>
                </w:p>
              </w:tc>
              <w:tc>
                <w:tcPr>
                  <w:tcW w:w="1217" w:type="dxa"/>
                  <w:vMerge w:val="restart"/>
                  <w:tcBorders>
                    <w:tl2br w:val="nil"/>
                    <w:tr2bl w:val="nil"/>
                  </w:tcBorders>
                  <w:noWrap w:val="0"/>
                  <w:vAlign w:val="center"/>
                </w:tcPr>
                <w:p w14:paraId="7F86BEA8">
                  <w:pPr>
                    <w:keepNext w:val="0"/>
                    <w:keepLines w:val="0"/>
                    <w:pageBreakBefore w:val="0"/>
                    <w:kinsoku/>
                    <w:wordWrap/>
                    <w:overflowPunct/>
                    <w:topLinePunct w:val="0"/>
                    <w:autoSpaceDE/>
                    <w:autoSpaceDN/>
                    <w:bidi w:val="0"/>
                    <w:adjustRightInd w:val="0"/>
                    <w:snapToGrid w:val="0"/>
                    <w:jc w:val="center"/>
                    <w:rPr>
                      <w:rFonts w:ascii="Times New Roman" w:hAnsi="Times New Roman"/>
                      <w:color w:val="auto"/>
                      <w:kern w:val="0"/>
                      <w:szCs w:val="21"/>
                    </w:rPr>
                  </w:pPr>
                  <w:r>
                    <w:rPr>
                      <w:rFonts w:ascii="Times New Roman" w:hAnsi="Times New Roman"/>
                      <w:color w:val="auto"/>
                      <w:kern w:val="0"/>
                      <w:szCs w:val="21"/>
                    </w:rPr>
                    <w:t>达标</w:t>
                  </w:r>
                </w:p>
              </w:tc>
            </w:tr>
            <w:tr w14:paraId="38D79F5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972" w:type="dxa"/>
                  <w:vMerge w:val="continue"/>
                  <w:tcBorders>
                    <w:tl2br w:val="nil"/>
                    <w:tr2bl w:val="nil"/>
                  </w:tcBorders>
                  <w:noWrap w:val="0"/>
                  <w:vAlign w:val="center"/>
                </w:tcPr>
                <w:p w14:paraId="0300C728">
                  <w:pPr>
                    <w:keepNext w:val="0"/>
                    <w:keepLines w:val="0"/>
                    <w:pageBreakBefore w:val="0"/>
                    <w:kinsoku/>
                    <w:wordWrap/>
                    <w:overflowPunct/>
                    <w:topLinePunct w:val="0"/>
                    <w:autoSpaceDE/>
                    <w:autoSpaceDN/>
                    <w:bidi w:val="0"/>
                    <w:adjustRightInd w:val="0"/>
                    <w:snapToGrid w:val="0"/>
                    <w:jc w:val="center"/>
                    <w:rPr>
                      <w:rFonts w:ascii="Times New Roman" w:hAnsi="Times New Roman"/>
                      <w:color w:val="auto"/>
                      <w:kern w:val="0"/>
                      <w:szCs w:val="21"/>
                    </w:rPr>
                  </w:pPr>
                </w:p>
              </w:tc>
              <w:tc>
                <w:tcPr>
                  <w:tcW w:w="2816" w:type="dxa"/>
                  <w:tcBorders>
                    <w:tl2br w:val="nil"/>
                    <w:tr2bl w:val="nil"/>
                  </w:tcBorders>
                  <w:noWrap w:val="0"/>
                  <w:vAlign w:val="center"/>
                </w:tcPr>
                <w:p w14:paraId="13D4B7CE">
                  <w:pPr>
                    <w:keepNext w:val="0"/>
                    <w:keepLines w:val="0"/>
                    <w:pageBreakBefore w:val="0"/>
                    <w:kinsoku/>
                    <w:wordWrap/>
                    <w:overflowPunct/>
                    <w:topLinePunct w:val="0"/>
                    <w:autoSpaceDE/>
                    <w:autoSpaceDN/>
                    <w:bidi w:val="0"/>
                    <w:adjustRightInd w:val="0"/>
                    <w:snapToGrid w:val="0"/>
                    <w:jc w:val="center"/>
                    <w:rPr>
                      <w:rFonts w:ascii="Times New Roman" w:hAnsi="Times New Roman"/>
                      <w:color w:val="auto"/>
                      <w:kern w:val="0"/>
                      <w:szCs w:val="21"/>
                    </w:rPr>
                  </w:pPr>
                  <w:r>
                    <w:rPr>
                      <w:rFonts w:ascii="Times New Roman" w:hAnsi="Times New Roman"/>
                      <w:color w:val="auto"/>
                      <w:kern w:val="0"/>
                      <w:szCs w:val="21"/>
                    </w:rPr>
                    <w:t>日平均质量浓度范围</w:t>
                  </w:r>
                </w:p>
              </w:tc>
              <w:tc>
                <w:tcPr>
                  <w:tcW w:w="1266" w:type="dxa"/>
                  <w:tcBorders>
                    <w:tl2br w:val="nil"/>
                    <w:tr2bl w:val="nil"/>
                  </w:tcBorders>
                  <w:noWrap w:val="0"/>
                  <w:vAlign w:val="center"/>
                </w:tcPr>
                <w:p w14:paraId="6E5C3743">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olor w:val="auto"/>
                      <w:kern w:val="0"/>
                      <w:szCs w:val="21"/>
                      <w:lang w:val="en-US" w:eastAsia="zh-CN"/>
                    </w:rPr>
                  </w:pPr>
                  <w:r>
                    <w:rPr>
                      <w:rFonts w:hint="eastAsia" w:ascii="Times New Roman" w:hAnsi="Times New Roman"/>
                      <w:color w:val="auto"/>
                      <w:kern w:val="0"/>
                      <w:szCs w:val="21"/>
                      <w:lang w:val="en-US" w:eastAsia="zh-CN"/>
                    </w:rPr>
                    <w:t>9</w:t>
                  </w:r>
                  <w:r>
                    <w:rPr>
                      <w:rFonts w:ascii="Times New Roman" w:hAnsi="Times New Roman"/>
                      <w:color w:val="auto"/>
                      <w:kern w:val="0"/>
                      <w:szCs w:val="21"/>
                    </w:rPr>
                    <w:t>~</w:t>
                  </w:r>
                  <w:r>
                    <w:rPr>
                      <w:rFonts w:hint="eastAsia" w:ascii="Times New Roman" w:hAnsi="Times New Roman"/>
                      <w:color w:val="auto"/>
                      <w:kern w:val="0"/>
                      <w:szCs w:val="21"/>
                      <w:lang w:val="en-US" w:eastAsia="zh-CN"/>
                    </w:rPr>
                    <w:t>206</w:t>
                  </w:r>
                </w:p>
              </w:tc>
              <w:tc>
                <w:tcPr>
                  <w:tcW w:w="1206" w:type="dxa"/>
                  <w:tcBorders>
                    <w:tl2br w:val="nil"/>
                    <w:tr2bl w:val="nil"/>
                  </w:tcBorders>
                  <w:noWrap w:val="0"/>
                  <w:vAlign w:val="center"/>
                </w:tcPr>
                <w:p w14:paraId="4D72BC35">
                  <w:pPr>
                    <w:keepNext w:val="0"/>
                    <w:keepLines w:val="0"/>
                    <w:pageBreakBefore w:val="0"/>
                    <w:kinsoku/>
                    <w:wordWrap/>
                    <w:overflowPunct/>
                    <w:topLinePunct w:val="0"/>
                    <w:autoSpaceDE/>
                    <w:autoSpaceDN/>
                    <w:bidi w:val="0"/>
                    <w:adjustRightInd w:val="0"/>
                    <w:snapToGrid w:val="0"/>
                    <w:jc w:val="center"/>
                    <w:rPr>
                      <w:rFonts w:ascii="Times New Roman" w:hAnsi="Times New Roman"/>
                      <w:color w:val="auto"/>
                      <w:kern w:val="0"/>
                      <w:szCs w:val="21"/>
                    </w:rPr>
                  </w:pPr>
                  <w:r>
                    <w:rPr>
                      <w:rFonts w:ascii="Times New Roman" w:hAnsi="Times New Roman"/>
                      <w:color w:val="auto"/>
                      <w:kern w:val="0"/>
                      <w:szCs w:val="21"/>
                    </w:rPr>
                    <w:t>150</w:t>
                  </w:r>
                </w:p>
              </w:tc>
              <w:tc>
                <w:tcPr>
                  <w:tcW w:w="1045" w:type="dxa"/>
                  <w:tcBorders>
                    <w:tl2br w:val="nil"/>
                    <w:tr2bl w:val="nil"/>
                  </w:tcBorders>
                  <w:noWrap w:val="0"/>
                  <w:vAlign w:val="center"/>
                </w:tcPr>
                <w:p w14:paraId="43D3BD79">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Times New Roman" w:hAnsi="Times New Roman" w:eastAsia="宋体"/>
                      <w:color w:val="auto"/>
                      <w:szCs w:val="21"/>
                      <w:lang w:val="en-US" w:eastAsia="zh-CN"/>
                    </w:rPr>
                  </w:pPr>
                  <w:r>
                    <w:rPr>
                      <w:rFonts w:ascii="Times New Roman" w:hAnsi="Times New Roman"/>
                      <w:color w:val="auto"/>
                      <w:kern w:val="0"/>
                      <w:szCs w:val="21"/>
                    </w:rPr>
                    <w:t>98.</w:t>
                  </w:r>
                  <w:r>
                    <w:rPr>
                      <w:rFonts w:hint="eastAsia" w:ascii="Times New Roman" w:hAnsi="Times New Roman"/>
                      <w:color w:val="auto"/>
                      <w:kern w:val="0"/>
                      <w:szCs w:val="21"/>
                      <w:lang w:val="en-US" w:eastAsia="zh-CN"/>
                    </w:rPr>
                    <w:t>3</w:t>
                  </w:r>
                </w:p>
              </w:tc>
              <w:tc>
                <w:tcPr>
                  <w:tcW w:w="1217" w:type="dxa"/>
                  <w:vMerge w:val="continue"/>
                  <w:tcBorders>
                    <w:tl2br w:val="nil"/>
                    <w:tr2bl w:val="nil"/>
                  </w:tcBorders>
                  <w:noWrap w:val="0"/>
                  <w:vAlign w:val="center"/>
                </w:tcPr>
                <w:p w14:paraId="25BB5096">
                  <w:pPr>
                    <w:keepNext w:val="0"/>
                    <w:keepLines w:val="0"/>
                    <w:pageBreakBefore w:val="0"/>
                    <w:kinsoku/>
                    <w:wordWrap/>
                    <w:overflowPunct/>
                    <w:topLinePunct w:val="0"/>
                    <w:autoSpaceDE/>
                    <w:autoSpaceDN/>
                    <w:bidi w:val="0"/>
                    <w:adjustRightInd w:val="0"/>
                    <w:snapToGrid w:val="0"/>
                    <w:jc w:val="center"/>
                    <w:rPr>
                      <w:rFonts w:ascii="Times New Roman" w:hAnsi="Times New Roman"/>
                      <w:color w:val="auto"/>
                      <w:kern w:val="0"/>
                      <w:szCs w:val="21"/>
                    </w:rPr>
                  </w:pPr>
                </w:p>
              </w:tc>
            </w:tr>
            <w:tr w14:paraId="564FBF2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972" w:type="dxa"/>
                  <w:vMerge w:val="restart"/>
                  <w:tcBorders>
                    <w:tl2br w:val="nil"/>
                    <w:tr2bl w:val="nil"/>
                  </w:tcBorders>
                  <w:noWrap w:val="0"/>
                  <w:vAlign w:val="center"/>
                </w:tcPr>
                <w:p w14:paraId="0EE7CDB8">
                  <w:pPr>
                    <w:keepNext w:val="0"/>
                    <w:keepLines w:val="0"/>
                    <w:pageBreakBefore w:val="0"/>
                    <w:kinsoku/>
                    <w:wordWrap/>
                    <w:overflowPunct/>
                    <w:topLinePunct w:val="0"/>
                    <w:autoSpaceDE/>
                    <w:autoSpaceDN/>
                    <w:bidi w:val="0"/>
                    <w:adjustRightInd w:val="0"/>
                    <w:snapToGrid w:val="0"/>
                    <w:jc w:val="center"/>
                    <w:rPr>
                      <w:rFonts w:ascii="Times New Roman" w:hAnsi="Times New Roman"/>
                      <w:color w:val="auto"/>
                      <w:kern w:val="0"/>
                      <w:szCs w:val="21"/>
                    </w:rPr>
                  </w:pPr>
                  <w:r>
                    <w:rPr>
                      <w:rFonts w:ascii="Times New Roman" w:hAnsi="Times New Roman"/>
                      <w:color w:val="auto"/>
                      <w:kern w:val="0"/>
                      <w:szCs w:val="21"/>
                    </w:rPr>
                    <w:t>SO</w:t>
                  </w:r>
                  <w:r>
                    <w:rPr>
                      <w:rFonts w:ascii="Times New Roman" w:hAnsi="Times New Roman"/>
                      <w:color w:val="auto"/>
                      <w:kern w:val="0"/>
                      <w:szCs w:val="21"/>
                      <w:vertAlign w:val="subscript"/>
                    </w:rPr>
                    <w:t>2</w:t>
                  </w:r>
                </w:p>
              </w:tc>
              <w:tc>
                <w:tcPr>
                  <w:tcW w:w="2816" w:type="dxa"/>
                  <w:tcBorders>
                    <w:tl2br w:val="nil"/>
                    <w:tr2bl w:val="nil"/>
                  </w:tcBorders>
                  <w:noWrap w:val="0"/>
                  <w:vAlign w:val="center"/>
                </w:tcPr>
                <w:p w14:paraId="17A278A8">
                  <w:pPr>
                    <w:keepNext w:val="0"/>
                    <w:keepLines w:val="0"/>
                    <w:pageBreakBefore w:val="0"/>
                    <w:kinsoku/>
                    <w:wordWrap/>
                    <w:overflowPunct/>
                    <w:topLinePunct w:val="0"/>
                    <w:autoSpaceDE/>
                    <w:autoSpaceDN/>
                    <w:bidi w:val="0"/>
                    <w:adjustRightInd w:val="0"/>
                    <w:snapToGrid w:val="0"/>
                    <w:jc w:val="center"/>
                    <w:rPr>
                      <w:rFonts w:ascii="Times New Roman" w:hAnsi="Times New Roman"/>
                      <w:color w:val="auto"/>
                      <w:kern w:val="0"/>
                      <w:szCs w:val="21"/>
                    </w:rPr>
                  </w:pPr>
                  <w:r>
                    <w:rPr>
                      <w:rFonts w:ascii="Times New Roman" w:hAnsi="Times New Roman"/>
                      <w:color w:val="auto"/>
                      <w:kern w:val="0"/>
                      <w:szCs w:val="21"/>
                    </w:rPr>
                    <w:t>年平均质量浓度</w:t>
                  </w:r>
                </w:p>
              </w:tc>
              <w:tc>
                <w:tcPr>
                  <w:tcW w:w="1266" w:type="dxa"/>
                  <w:tcBorders>
                    <w:tl2br w:val="nil"/>
                    <w:tr2bl w:val="nil"/>
                  </w:tcBorders>
                  <w:noWrap w:val="0"/>
                  <w:vAlign w:val="center"/>
                </w:tcPr>
                <w:p w14:paraId="2940DCC2">
                  <w:pPr>
                    <w:keepNext w:val="0"/>
                    <w:keepLines w:val="0"/>
                    <w:pageBreakBefore w:val="0"/>
                    <w:kinsoku/>
                    <w:wordWrap/>
                    <w:overflowPunct/>
                    <w:topLinePunct w:val="0"/>
                    <w:autoSpaceDE/>
                    <w:autoSpaceDN/>
                    <w:bidi w:val="0"/>
                    <w:adjustRightInd w:val="0"/>
                    <w:snapToGrid w:val="0"/>
                    <w:jc w:val="center"/>
                    <w:rPr>
                      <w:rFonts w:ascii="Times New Roman" w:hAnsi="Times New Roman"/>
                      <w:color w:val="auto"/>
                      <w:kern w:val="0"/>
                      <w:szCs w:val="21"/>
                    </w:rPr>
                  </w:pPr>
                  <w:r>
                    <w:rPr>
                      <w:rFonts w:ascii="Times New Roman" w:hAnsi="Times New Roman"/>
                      <w:color w:val="auto"/>
                      <w:kern w:val="0"/>
                      <w:szCs w:val="21"/>
                    </w:rPr>
                    <w:t>8</w:t>
                  </w:r>
                </w:p>
              </w:tc>
              <w:tc>
                <w:tcPr>
                  <w:tcW w:w="1206" w:type="dxa"/>
                  <w:tcBorders>
                    <w:tl2br w:val="nil"/>
                    <w:tr2bl w:val="nil"/>
                  </w:tcBorders>
                  <w:noWrap w:val="0"/>
                  <w:vAlign w:val="center"/>
                </w:tcPr>
                <w:p w14:paraId="03D7FA34">
                  <w:pPr>
                    <w:keepNext w:val="0"/>
                    <w:keepLines w:val="0"/>
                    <w:pageBreakBefore w:val="0"/>
                    <w:kinsoku/>
                    <w:wordWrap/>
                    <w:overflowPunct/>
                    <w:topLinePunct w:val="0"/>
                    <w:autoSpaceDE/>
                    <w:autoSpaceDN/>
                    <w:bidi w:val="0"/>
                    <w:adjustRightInd w:val="0"/>
                    <w:snapToGrid w:val="0"/>
                    <w:jc w:val="center"/>
                    <w:rPr>
                      <w:rFonts w:ascii="Times New Roman" w:hAnsi="Times New Roman"/>
                      <w:color w:val="auto"/>
                      <w:kern w:val="0"/>
                      <w:szCs w:val="21"/>
                    </w:rPr>
                  </w:pPr>
                  <w:r>
                    <w:rPr>
                      <w:rFonts w:ascii="Times New Roman" w:hAnsi="Times New Roman"/>
                      <w:color w:val="auto"/>
                      <w:kern w:val="0"/>
                      <w:szCs w:val="21"/>
                    </w:rPr>
                    <w:t>60</w:t>
                  </w:r>
                </w:p>
              </w:tc>
              <w:tc>
                <w:tcPr>
                  <w:tcW w:w="1045" w:type="dxa"/>
                  <w:tcBorders>
                    <w:tl2br w:val="nil"/>
                    <w:tr2bl w:val="nil"/>
                  </w:tcBorders>
                  <w:noWrap w:val="0"/>
                  <w:vAlign w:val="center"/>
                </w:tcPr>
                <w:p w14:paraId="2D0B644F">
                  <w:pPr>
                    <w:keepNext w:val="0"/>
                    <w:keepLines w:val="0"/>
                    <w:pageBreakBefore w:val="0"/>
                    <w:widowControl/>
                    <w:kinsoku/>
                    <w:wordWrap/>
                    <w:overflowPunct/>
                    <w:topLinePunct w:val="0"/>
                    <w:autoSpaceDE/>
                    <w:autoSpaceDN/>
                    <w:bidi w:val="0"/>
                    <w:adjustRightInd w:val="0"/>
                    <w:snapToGrid w:val="0"/>
                    <w:jc w:val="center"/>
                    <w:textAlignment w:val="center"/>
                    <w:rPr>
                      <w:rFonts w:ascii="Times New Roman" w:hAnsi="Times New Roman"/>
                      <w:color w:val="auto"/>
                      <w:szCs w:val="21"/>
                    </w:rPr>
                  </w:pPr>
                  <w:r>
                    <w:rPr>
                      <w:rFonts w:ascii="Times New Roman" w:hAnsi="Times New Roman"/>
                      <w:color w:val="auto"/>
                      <w:kern w:val="0"/>
                      <w:szCs w:val="21"/>
                    </w:rPr>
                    <w:t>100</w:t>
                  </w:r>
                </w:p>
              </w:tc>
              <w:tc>
                <w:tcPr>
                  <w:tcW w:w="1217" w:type="dxa"/>
                  <w:vMerge w:val="restart"/>
                  <w:tcBorders>
                    <w:tl2br w:val="nil"/>
                    <w:tr2bl w:val="nil"/>
                  </w:tcBorders>
                  <w:noWrap w:val="0"/>
                  <w:vAlign w:val="center"/>
                </w:tcPr>
                <w:p w14:paraId="2A6426AB">
                  <w:pPr>
                    <w:keepNext w:val="0"/>
                    <w:keepLines w:val="0"/>
                    <w:pageBreakBefore w:val="0"/>
                    <w:kinsoku/>
                    <w:wordWrap/>
                    <w:overflowPunct/>
                    <w:topLinePunct w:val="0"/>
                    <w:autoSpaceDE/>
                    <w:autoSpaceDN/>
                    <w:bidi w:val="0"/>
                    <w:adjustRightInd w:val="0"/>
                    <w:snapToGrid w:val="0"/>
                    <w:jc w:val="center"/>
                    <w:rPr>
                      <w:rFonts w:ascii="Times New Roman" w:hAnsi="Times New Roman"/>
                      <w:color w:val="auto"/>
                      <w:kern w:val="0"/>
                      <w:szCs w:val="21"/>
                    </w:rPr>
                  </w:pPr>
                  <w:r>
                    <w:rPr>
                      <w:rFonts w:ascii="Times New Roman" w:hAnsi="Times New Roman"/>
                      <w:color w:val="auto"/>
                      <w:kern w:val="0"/>
                      <w:szCs w:val="21"/>
                    </w:rPr>
                    <w:t>达标</w:t>
                  </w:r>
                </w:p>
              </w:tc>
            </w:tr>
            <w:tr w14:paraId="2434BC8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972" w:type="dxa"/>
                  <w:vMerge w:val="continue"/>
                  <w:tcBorders>
                    <w:tl2br w:val="nil"/>
                    <w:tr2bl w:val="nil"/>
                  </w:tcBorders>
                  <w:noWrap w:val="0"/>
                  <w:vAlign w:val="center"/>
                </w:tcPr>
                <w:p w14:paraId="5AF08193">
                  <w:pPr>
                    <w:keepNext w:val="0"/>
                    <w:keepLines w:val="0"/>
                    <w:pageBreakBefore w:val="0"/>
                    <w:kinsoku/>
                    <w:wordWrap/>
                    <w:overflowPunct/>
                    <w:topLinePunct w:val="0"/>
                    <w:autoSpaceDE/>
                    <w:autoSpaceDN/>
                    <w:bidi w:val="0"/>
                    <w:adjustRightInd w:val="0"/>
                    <w:snapToGrid w:val="0"/>
                    <w:jc w:val="center"/>
                    <w:rPr>
                      <w:rFonts w:ascii="Times New Roman" w:hAnsi="Times New Roman"/>
                      <w:color w:val="auto"/>
                      <w:kern w:val="0"/>
                      <w:szCs w:val="21"/>
                    </w:rPr>
                  </w:pPr>
                </w:p>
              </w:tc>
              <w:tc>
                <w:tcPr>
                  <w:tcW w:w="2816" w:type="dxa"/>
                  <w:tcBorders>
                    <w:tl2br w:val="nil"/>
                    <w:tr2bl w:val="nil"/>
                  </w:tcBorders>
                  <w:noWrap w:val="0"/>
                  <w:vAlign w:val="center"/>
                </w:tcPr>
                <w:p w14:paraId="40D3C875">
                  <w:pPr>
                    <w:keepNext w:val="0"/>
                    <w:keepLines w:val="0"/>
                    <w:pageBreakBefore w:val="0"/>
                    <w:kinsoku/>
                    <w:wordWrap/>
                    <w:overflowPunct/>
                    <w:topLinePunct w:val="0"/>
                    <w:autoSpaceDE/>
                    <w:autoSpaceDN/>
                    <w:bidi w:val="0"/>
                    <w:adjustRightInd w:val="0"/>
                    <w:snapToGrid w:val="0"/>
                    <w:jc w:val="center"/>
                    <w:rPr>
                      <w:rFonts w:ascii="Times New Roman" w:hAnsi="Times New Roman"/>
                      <w:color w:val="auto"/>
                      <w:kern w:val="0"/>
                      <w:szCs w:val="21"/>
                    </w:rPr>
                  </w:pPr>
                  <w:r>
                    <w:rPr>
                      <w:rFonts w:ascii="Times New Roman" w:hAnsi="Times New Roman"/>
                      <w:color w:val="auto"/>
                      <w:kern w:val="0"/>
                      <w:szCs w:val="21"/>
                    </w:rPr>
                    <w:t>日平均质量浓度范围</w:t>
                  </w:r>
                </w:p>
              </w:tc>
              <w:tc>
                <w:tcPr>
                  <w:tcW w:w="1266" w:type="dxa"/>
                  <w:tcBorders>
                    <w:tl2br w:val="nil"/>
                    <w:tr2bl w:val="nil"/>
                  </w:tcBorders>
                  <w:noWrap w:val="0"/>
                  <w:vAlign w:val="center"/>
                </w:tcPr>
                <w:p w14:paraId="53067F2F">
                  <w:pPr>
                    <w:keepNext w:val="0"/>
                    <w:keepLines w:val="0"/>
                    <w:pageBreakBefore w:val="0"/>
                    <w:kinsoku/>
                    <w:wordWrap/>
                    <w:overflowPunct/>
                    <w:topLinePunct w:val="0"/>
                    <w:autoSpaceDE/>
                    <w:autoSpaceDN/>
                    <w:bidi w:val="0"/>
                    <w:adjustRightInd w:val="0"/>
                    <w:snapToGrid w:val="0"/>
                    <w:jc w:val="center"/>
                    <w:rPr>
                      <w:rFonts w:hint="eastAsia" w:ascii="Times New Roman" w:hAnsi="Times New Roman" w:eastAsia="宋体"/>
                      <w:color w:val="auto"/>
                      <w:kern w:val="0"/>
                      <w:szCs w:val="21"/>
                      <w:lang w:eastAsia="zh-CN"/>
                    </w:rPr>
                  </w:pPr>
                  <w:r>
                    <w:rPr>
                      <w:rFonts w:hint="eastAsia" w:ascii="Times New Roman" w:hAnsi="Times New Roman"/>
                      <w:color w:val="auto"/>
                      <w:kern w:val="0"/>
                      <w:szCs w:val="21"/>
                      <w:lang w:val="en-US" w:eastAsia="zh-CN"/>
                    </w:rPr>
                    <w:t>5</w:t>
                  </w:r>
                  <w:r>
                    <w:rPr>
                      <w:rFonts w:ascii="Times New Roman" w:hAnsi="Times New Roman"/>
                      <w:color w:val="auto"/>
                      <w:kern w:val="0"/>
                      <w:szCs w:val="21"/>
                    </w:rPr>
                    <w:t>~1</w:t>
                  </w:r>
                  <w:r>
                    <w:rPr>
                      <w:rFonts w:hint="eastAsia" w:ascii="Times New Roman" w:hAnsi="Times New Roman"/>
                      <w:color w:val="auto"/>
                      <w:kern w:val="0"/>
                      <w:szCs w:val="21"/>
                      <w:lang w:val="en-US" w:eastAsia="zh-CN"/>
                    </w:rPr>
                    <w:t>5</w:t>
                  </w:r>
                </w:p>
              </w:tc>
              <w:tc>
                <w:tcPr>
                  <w:tcW w:w="1206" w:type="dxa"/>
                  <w:tcBorders>
                    <w:tl2br w:val="nil"/>
                    <w:tr2bl w:val="nil"/>
                  </w:tcBorders>
                  <w:noWrap w:val="0"/>
                  <w:vAlign w:val="center"/>
                </w:tcPr>
                <w:p w14:paraId="20C8B016">
                  <w:pPr>
                    <w:keepNext w:val="0"/>
                    <w:keepLines w:val="0"/>
                    <w:pageBreakBefore w:val="0"/>
                    <w:kinsoku/>
                    <w:wordWrap/>
                    <w:overflowPunct/>
                    <w:topLinePunct w:val="0"/>
                    <w:autoSpaceDE/>
                    <w:autoSpaceDN/>
                    <w:bidi w:val="0"/>
                    <w:adjustRightInd w:val="0"/>
                    <w:snapToGrid w:val="0"/>
                    <w:jc w:val="center"/>
                    <w:rPr>
                      <w:rFonts w:ascii="Times New Roman" w:hAnsi="Times New Roman"/>
                      <w:color w:val="auto"/>
                      <w:kern w:val="0"/>
                      <w:szCs w:val="21"/>
                    </w:rPr>
                  </w:pPr>
                  <w:r>
                    <w:rPr>
                      <w:rFonts w:ascii="Times New Roman" w:hAnsi="Times New Roman"/>
                      <w:color w:val="auto"/>
                      <w:kern w:val="0"/>
                      <w:szCs w:val="21"/>
                    </w:rPr>
                    <w:t>150</w:t>
                  </w:r>
                </w:p>
              </w:tc>
              <w:tc>
                <w:tcPr>
                  <w:tcW w:w="1045" w:type="dxa"/>
                  <w:tcBorders>
                    <w:tl2br w:val="nil"/>
                    <w:tr2bl w:val="nil"/>
                  </w:tcBorders>
                  <w:noWrap w:val="0"/>
                  <w:vAlign w:val="center"/>
                </w:tcPr>
                <w:p w14:paraId="289C33DA">
                  <w:pPr>
                    <w:keepNext w:val="0"/>
                    <w:keepLines w:val="0"/>
                    <w:pageBreakBefore w:val="0"/>
                    <w:widowControl/>
                    <w:kinsoku/>
                    <w:wordWrap/>
                    <w:overflowPunct/>
                    <w:topLinePunct w:val="0"/>
                    <w:autoSpaceDE/>
                    <w:autoSpaceDN/>
                    <w:bidi w:val="0"/>
                    <w:adjustRightInd w:val="0"/>
                    <w:snapToGrid w:val="0"/>
                    <w:jc w:val="center"/>
                    <w:textAlignment w:val="center"/>
                    <w:rPr>
                      <w:rFonts w:ascii="Times New Roman" w:hAnsi="Times New Roman"/>
                      <w:color w:val="auto"/>
                      <w:kern w:val="0"/>
                      <w:szCs w:val="21"/>
                      <w:lang w:bidi="ar"/>
                    </w:rPr>
                  </w:pPr>
                  <w:r>
                    <w:rPr>
                      <w:rFonts w:ascii="Times New Roman" w:hAnsi="Times New Roman"/>
                      <w:color w:val="auto"/>
                      <w:kern w:val="0"/>
                      <w:szCs w:val="21"/>
                    </w:rPr>
                    <w:t>100</w:t>
                  </w:r>
                </w:p>
              </w:tc>
              <w:tc>
                <w:tcPr>
                  <w:tcW w:w="1217" w:type="dxa"/>
                  <w:vMerge w:val="continue"/>
                  <w:tcBorders>
                    <w:tl2br w:val="nil"/>
                    <w:tr2bl w:val="nil"/>
                  </w:tcBorders>
                  <w:noWrap w:val="0"/>
                  <w:vAlign w:val="center"/>
                </w:tcPr>
                <w:p w14:paraId="205B6016">
                  <w:pPr>
                    <w:keepNext w:val="0"/>
                    <w:keepLines w:val="0"/>
                    <w:pageBreakBefore w:val="0"/>
                    <w:kinsoku/>
                    <w:wordWrap/>
                    <w:overflowPunct/>
                    <w:topLinePunct w:val="0"/>
                    <w:autoSpaceDE/>
                    <w:autoSpaceDN/>
                    <w:bidi w:val="0"/>
                    <w:adjustRightInd w:val="0"/>
                    <w:snapToGrid w:val="0"/>
                    <w:jc w:val="center"/>
                    <w:rPr>
                      <w:rFonts w:ascii="Times New Roman" w:hAnsi="Times New Roman"/>
                      <w:color w:val="auto"/>
                      <w:kern w:val="0"/>
                      <w:szCs w:val="21"/>
                    </w:rPr>
                  </w:pPr>
                </w:p>
              </w:tc>
            </w:tr>
            <w:tr w14:paraId="24E118F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972" w:type="dxa"/>
                  <w:vMerge w:val="restart"/>
                  <w:tcBorders>
                    <w:tl2br w:val="nil"/>
                    <w:tr2bl w:val="nil"/>
                  </w:tcBorders>
                  <w:noWrap w:val="0"/>
                  <w:vAlign w:val="center"/>
                </w:tcPr>
                <w:p w14:paraId="61243232">
                  <w:pPr>
                    <w:keepNext w:val="0"/>
                    <w:keepLines w:val="0"/>
                    <w:pageBreakBefore w:val="0"/>
                    <w:kinsoku/>
                    <w:wordWrap/>
                    <w:overflowPunct/>
                    <w:topLinePunct w:val="0"/>
                    <w:autoSpaceDE/>
                    <w:autoSpaceDN/>
                    <w:bidi w:val="0"/>
                    <w:adjustRightInd w:val="0"/>
                    <w:snapToGrid w:val="0"/>
                    <w:jc w:val="center"/>
                    <w:rPr>
                      <w:rFonts w:ascii="Times New Roman" w:hAnsi="Times New Roman"/>
                      <w:color w:val="auto"/>
                      <w:kern w:val="0"/>
                      <w:szCs w:val="21"/>
                    </w:rPr>
                  </w:pPr>
                  <w:r>
                    <w:rPr>
                      <w:rFonts w:ascii="Times New Roman" w:hAnsi="Times New Roman"/>
                      <w:color w:val="auto"/>
                      <w:kern w:val="0"/>
                      <w:szCs w:val="21"/>
                    </w:rPr>
                    <w:t>NO</w:t>
                  </w:r>
                  <w:r>
                    <w:rPr>
                      <w:rFonts w:ascii="Times New Roman" w:hAnsi="Times New Roman"/>
                      <w:color w:val="auto"/>
                      <w:kern w:val="0"/>
                      <w:szCs w:val="21"/>
                      <w:vertAlign w:val="subscript"/>
                    </w:rPr>
                    <w:t>2</w:t>
                  </w:r>
                </w:p>
              </w:tc>
              <w:tc>
                <w:tcPr>
                  <w:tcW w:w="2816" w:type="dxa"/>
                  <w:tcBorders>
                    <w:tl2br w:val="nil"/>
                    <w:tr2bl w:val="nil"/>
                  </w:tcBorders>
                  <w:noWrap w:val="0"/>
                  <w:vAlign w:val="center"/>
                </w:tcPr>
                <w:p w14:paraId="1332183D">
                  <w:pPr>
                    <w:keepNext w:val="0"/>
                    <w:keepLines w:val="0"/>
                    <w:pageBreakBefore w:val="0"/>
                    <w:kinsoku/>
                    <w:wordWrap/>
                    <w:overflowPunct/>
                    <w:topLinePunct w:val="0"/>
                    <w:autoSpaceDE/>
                    <w:autoSpaceDN/>
                    <w:bidi w:val="0"/>
                    <w:adjustRightInd w:val="0"/>
                    <w:snapToGrid w:val="0"/>
                    <w:jc w:val="center"/>
                    <w:rPr>
                      <w:rFonts w:ascii="Times New Roman" w:hAnsi="Times New Roman"/>
                      <w:color w:val="auto"/>
                      <w:kern w:val="0"/>
                      <w:szCs w:val="21"/>
                    </w:rPr>
                  </w:pPr>
                  <w:r>
                    <w:rPr>
                      <w:rFonts w:ascii="Times New Roman" w:hAnsi="Times New Roman"/>
                      <w:color w:val="auto"/>
                      <w:kern w:val="0"/>
                      <w:szCs w:val="21"/>
                    </w:rPr>
                    <w:t>年平均质量浓度</w:t>
                  </w:r>
                </w:p>
              </w:tc>
              <w:tc>
                <w:tcPr>
                  <w:tcW w:w="1266" w:type="dxa"/>
                  <w:tcBorders>
                    <w:tl2br w:val="nil"/>
                    <w:tr2bl w:val="nil"/>
                  </w:tcBorders>
                  <w:noWrap w:val="0"/>
                  <w:vAlign w:val="center"/>
                </w:tcPr>
                <w:p w14:paraId="09BE47A1">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olor w:val="auto"/>
                      <w:kern w:val="0"/>
                      <w:szCs w:val="21"/>
                      <w:lang w:val="en-US" w:eastAsia="zh-CN"/>
                    </w:rPr>
                  </w:pPr>
                  <w:r>
                    <w:rPr>
                      <w:rFonts w:hint="eastAsia" w:ascii="Times New Roman" w:hAnsi="Times New Roman"/>
                      <w:color w:val="auto"/>
                      <w:kern w:val="0"/>
                      <w:szCs w:val="21"/>
                      <w:lang w:val="en-US" w:eastAsia="zh-CN"/>
                    </w:rPr>
                    <w:t>26</w:t>
                  </w:r>
                </w:p>
              </w:tc>
              <w:tc>
                <w:tcPr>
                  <w:tcW w:w="1206" w:type="dxa"/>
                  <w:tcBorders>
                    <w:tl2br w:val="nil"/>
                    <w:tr2bl w:val="nil"/>
                  </w:tcBorders>
                  <w:noWrap w:val="0"/>
                  <w:vAlign w:val="center"/>
                </w:tcPr>
                <w:p w14:paraId="0E2C4F90">
                  <w:pPr>
                    <w:keepNext w:val="0"/>
                    <w:keepLines w:val="0"/>
                    <w:pageBreakBefore w:val="0"/>
                    <w:kinsoku/>
                    <w:wordWrap/>
                    <w:overflowPunct/>
                    <w:topLinePunct w:val="0"/>
                    <w:autoSpaceDE/>
                    <w:autoSpaceDN/>
                    <w:bidi w:val="0"/>
                    <w:adjustRightInd w:val="0"/>
                    <w:snapToGrid w:val="0"/>
                    <w:jc w:val="center"/>
                    <w:rPr>
                      <w:rFonts w:ascii="Times New Roman" w:hAnsi="Times New Roman"/>
                      <w:color w:val="auto"/>
                      <w:kern w:val="0"/>
                      <w:szCs w:val="21"/>
                    </w:rPr>
                  </w:pPr>
                  <w:r>
                    <w:rPr>
                      <w:rFonts w:ascii="Times New Roman" w:hAnsi="Times New Roman"/>
                      <w:color w:val="auto"/>
                      <w:kern w:val="0"/>
                      <w:szCs w:val="21"/>
                    </w:rPr>
                    <w:t>40</w:t>
                  </w:r>
                </w:p>
              </w:tc>
              <w:tc>
                <w:tcPr>
                  <w:tcW w:w="1045" w:type="dxa"/>
                  <w:tcBorders>
                    <w:tl2br w:val="nil"/>
                    <w:tr2bl w:val="nil"/>
                  </w:tcBorders>
                  <w:noWrap w:val="0"/>
                  <w:vAlign w:val="center"/>
                </w:tcPr>
                <w:p w14:paraId="1EF50271">
                  <w:pPr>
                    <w:keepNext w:val="0"/>
                    <w:keepLines w:val="0"/>
                    <w:pageBreakBefore w:val="0"/>
                    <w:widowControl/>
                    <w:kinsoku/>
                    <w:wordWrap/>
                    <w:overflowPunct/>
                    <w:topLinePunct w:val="0"/>
                    <w:autoSpaceDE/>
                    <w:autoSpaceDN/>
                    <w:bidi w:val="0"/>
                    <w:adjustRightInd w:val="0"/>
                    <w:snapToGrid w:val="0"/>
                    <w:jc w:val="center"/>
                    <w:textAlignment w:val="center"/>
                    <w:rPr>
                      <w:rFonts w:ascii="Times New Roman" w:hAnsi="Times New Roman"/>
                      <w:color w:val="auto"/>
                      <w:szCs w:val="21"/>
                    </w:rPr>
                  </w:pPr>
                  <w:r>
                    <w:rPr>
                      <w:rFonts w:ascii="Times New Roman" w:hAnsi="Times New Roman"/>
                      <w:color w:val="auto"/>
                      <w:kern w:val="0"/>
                      <w:szCs w:val="21"/>
                    </w:rPr>
                    <w:t>100</w:t>
                  </w:r>
                </w:p>
              </w:tc>
              <w:tc>
                <w:tcPr>
                  <w:tcW w:w="1217" w:type="dxa"/>
                  <w:vMerge w:val="restart"/>
                  <w:tcBorders>
                    <w:tl2br w:val="nil"/>
                    <w:tr2bl w:val="nil"/>
                  </w:tcBorders>
                  <w:noWrap w:val="0"/>
                  <w:vAlign w:val="center"/>
                </w:tcPr>
                <w:p w14:paraId="25451063">
                  <w:pPr>
                    <w:keepNext w:val="0"/>
                    <w:keepLines w:val="0"/>
                    <w:pageBreakBefore w:val="0"/>
                    <w:kinsoku/>
                    <w:wordWrap/>
                    <w:overflowPunct/>
                    <w:topLinePunct w:val="0"/>
                    <w:autoSpaceDE/>
                    <w:autoSpaceDN/>
                    <w:bidi w:val="0"/>
                    <w:adjustRightInd w:val="0"/>
                    <w:snapToGrid w:val="0"/>
                    <w:jc w:val="center"/>
                    <w:rPr>
                      <w:rFonts w:ascii="Times New Roman" w:hAnsi="Times New Roman"/>
                      <w:color w:val="auto"/>
                      <w:kern w:val="0"/>
                      <w:szCs w:val="21"/>
                    </w:rPr>
                  </w:pPr>
                  <w:r>
                    <w:rPr>
                      <w:rFonts w:ascii="Times New Roman" w:hAnsi="Times New Roman"/>
                      <w:color w:val="auto"/>
                      <w:kern w:val="0"/>
                      <w:szCs w:val="21"/>
                    </w:rPr>
                    <w:t>达标</w:t>
                  </w:r>
                </w:p>
              </w:tc>
            </w:tr>
            <w:tr w14:paraId="22E6827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972" w:type="dxa"/>
                  <w:vMerge w:val="continue"/>
                  <w:tcBorders>
                    <w:tl2br w:val="nil"/>
                    <w:tr2bl w:val="nil"/>
                  </w:tcBorders>
                  <w:noWrap w:val="0"/>
                  <w:vAlign w:val="center"/>
                </w:tcPr>
                <w:p w14:paraId="0F4E5DE6">
                  <w:pPr>
                    <w:keepNext w:val="0"/>
                    <w:keepLines w:val="0"/>
                    <w:pageBreakBefore w:val="0"/>
                    <w:kinsoku/>
                    <w:wordWrap/>
                    <w:overflowPunct/>
                    <w:topLinePunct w:val="0"/>
                    <w:autoSpaceDE/>
                    <w:autoSpaceDN/>
                    <w:bidi w:val="0"/>
                    <w:adjustRightInd w:val="0"/>
                    <w:snapToGrid w:val="0"/>
                    <w:jc w:val="center"/>
                    <w:rPr>
                      <w:rFonts w:ascii="Times New Roman" w:hAnsi="Times New Roman"/>
                      <w:color w:val="auto"/>
                      <w:kern w:val="0"/>
                      <w:szCs w:val="21"/>
                    </w:rPr>
                  </w:pPr>
                </w:p>
              </w:tc>
              <w:tc>
                <w:tcPr>
                  <w:tcW w:w="2816" w:type="dxa"/>
                  <w:tcBorders>
                    <w:tl2br w:val="nil"/>
                    <w:tr2bl w:val="nil"/>
                  </w:tcBorders>
                  <w:noWrap w:val="0"/>
                  <w:vAlign w:val="center"/>
                </w:tcPr>
                <w:p w14:paraId="31EAC17B">
                  <w:pPr>
                    <w:keepNext w:val="0"/>
                    <w:keepLines w:val="0"/>
                    <w:pageBreakBefore w:val="0"/>
                    <w:kinsoku/>
                    <w:wordWrap/>
                    <w:overflowPunct/>
                    <w:topLinePunct w:val="0"/>
                    <w:autoSpaceDE/>
                    <w:autoSpaceDN/>
                    <w:bidi w:val="0"/>
                    <w:adjustRightInd w:val="0"/>
                    <w:snapToGrid w:val="0"/>
                    <w:jc w:val="center"/>
                    <w:rPr>
                      <w:rFonts w:ascii="Times New Roman" w:hAnsi="Times New Roman"/>
                      <w:color w:val="auto"/>
                      <w:kern w:val="0"/>
                      <w:szCs w:val="21"/>
                      <w:lang w:bidi="zh-CN"/>
                    </w:rPr>
                  </w:pPr>
                  <w:r>
                    <w:rPr>
                      <w:rFonts w:ascii="Times New Roman" w:hAnsi="Times New Roman"/>
                      <w:color w:val="auto"/>
                      <w:kern w:val="0"/>
                      <w:szCs w:val="21"/>
                    </w:rPr>
                    <w:t>日平均质量浓度范围</w:t>
                  </w:r>
                </w:p>
              </w:tc>
              <w:tc>
                <w:tcPr>
                  <w:tcW w:w="1266" w:type="dxa"/>
                  <w:tcBorders>
                    <w:tl2br w:val="nil"/>
                    <w:tr2bl w:val="nil"/>
                  </w:tcBorders>
                  <w:noWrap w:val="0"/>
                  <w:vAlign w:val="center"/>
                </w:tcPr>
                <w:p w14:paraId="76FE8929">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olor w:val="auto"/>
                      <w:kern w:val="0"/>
                      <w:szCs w:val="21"/>
                      <w:lang w:val="en-US" w:eastAsia="zh-CN" w:bidi="zh-CN"/>
                    </w:rPr>
                  </w:pPr>
                  <w:r>
                    <w:rPr>
                      <w:rFonts w:hint="eastAsia" w:ascii="Times New Roman" w:hAnsi="Times New Roman"/>
                      <w:color w:val="auto"/>
                      <w:kern w:val="0"/>
                      <w:szCs w:val="21"/>
                      <w:lang w:val="en-US" w:eastAsia="zh-CN"/>
                    </w:rPr>
                    <w:t>5</w:t>
                  </w:r>
                  <w:r>
                    <w:rPr>
                      <w:rFonts w:ascii="Times New Roman" w:hAnsi="Times New Roman"/>
                      <w:color w:val="auto"/>
                      <w:kern w:val="0"/>
                      <w:szCs w:val="21"/>
                    </w:rPr>
                    <w:t>~</w:t>
                  </w:r>
                  <w:r>
                    <w:rPr>
                      <w:rFonts w:hint="eastAsia" w:ascii="Times New Roman" w:hAnsi="Times New Roman"/>
                      <w:color w:val="auto"/>
                      <w:kern w:val="0"/>
                      <w:szCs w:val="21"/>
                      <w:lang w:val="en-US" w:eastAsia="zh-CN"/>
                    </w:rPr>
                    <w:t>92</w:t>
                  </w:r>
                </w:p>
              </w:tc>
              <w:tc>
                <w:tcPr>
                  <w:tcW w:w="1206" w:type="dxa"/>
                  <w:tcBorders>
                    <w:tl2br w:val="nil"/>
                    <w:tr2bl w:val="nil"/>
                  </w:tcBorders>
                  <w:noWrap w:val="0"/>
                  <w:vAlign w:val="center"/>
                </w:tcPr>
                <w:p w14:paraId="16D79668">
                  <w:pPr>
                    <w:keepNext w:val="0"/>
                    <w:keepLines w:val="0"/>
                    <w:pageBreakBefore w:val="0"/>
                    <w:kinsoku/>
                    <w:wordWrap/>
                    <w:overflowPunct/>
                    <w:topLinePunct w:val="0"/>
                    <w:autoSpaceDE/>
                    <w:autoSpaceDN/>
                    <w:bidi w:val="0"/>
                    <w:adjustRightInd w:val="0"/>
                    <w:snapToGrid w:val="0"/>
                    <w:jc w:val="center"/>
                    <w:rPr>
                      <w:rFonts w:ascii="Times New Roman" w:hAnsi="Times New Roman"/>
                      <w:color w:val="auto"/>
                      <w:kern w:val="0"/>
                      <w:szCs w:val="21"/>
                    </w:rPr>
                  </w:pPr>
                  <w:r>
                    <w:rPr>
                      <w:rFonts w:ascii="Times New Roman" w:hAnsi="Times New Roman"/>
                      <w:color w:val="auto"/>
                      <w:kern w:val="0"/>
                      <w:szCs w:val="21"/>
                    </w:rPr>
                    <w:t>80</w:t>
                  </w:r>
                </w:p>
              </w:tc>
              <w:tc>
                <w:tcPr>
                  <w:tcW w:w="1045" w:type="dxa"/>
                  <w:tcBorders>
                    <w:tl2br w:val="nil"/>
                    <w:tr2bl w:val="nil"/>
                  </w:tcBorders>
                  <w:noWrap w:val="0"/>
                  <w:vAlign w:val="center"/>
                </w:tcPr>
                <w:p w14:paraId="0AC37156">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olor w:val="auto"/>
                      <w:szCs w:val="21"/>
                      <w:lang w:val="en-US" w:eastAsia="zh-CN"/>
                    </w:rPr>
                  </w:pPr>
                  <w:r>
                    <w:rPr>
                      <w:rFonts w:hint="eastAsia" w:ascii="Times New Roman" w:hAnsi="Times New Roman"/>
                      <w:color w:val="auto"/>
                      <w:kern w:val="0"/>
                      <w:szCs w:val="21"/>
                      <w:lang w:val="en-US" w:eastAsia="zh-CN"/>
                    </w:rPr>
                    <w:t>99.2</w:t>
                  </w:r>
                </w:p>
              </w:tc>
              <w:tc>
                <w:tcPr>
                  <w:tcW w:w="1217" w:type="dxa"/>
                  <w:vMerge w:val="continue"/>
                  <w:tcBorders>
                    <w:tl2br w:val="nil"/>
                    <w:tr2bl w:val="nil"/>
                  </w:tcBorders>
                  <w:noWrap w:val="0"/>
                  <w:vAlign w:val="center"/>
                </w:tcPr>
                <w:p w14:paraId="3A3C2E85">
                  <w:pPr>
                    <w:keepNext w:val="0"/>
                    <w:keepLines w:val="0"/>
                    <w:pageBreakBefore w:val="0"/>
                    <w:kinsoku/>
                    <w:wordWrap/>
                    <w:overflowPunct/>
                    <w:topLinePunct w:val="0"/>
                    <w:autoSpaceDE/>
                    <w:autoSpaceDN/>
                    <w:bidi w:val="0"/>
                    <w:adjustRightInd w:val="0"/>
                    <w:snapToGrid w:val="0"/>
                    <w:jc w:val="center"/>
                    <w:rPr>
                      <w:rFonts w:ascii="Times New Roman" w:hAnsi="Times New Roman"/>
                      <w:color w:val="auto"/>
                      <w:kern w:val="0"/>
                      <w:szCs w:val="21"/>
                    </w:rPr>
                  </w:pPr>
                </w:p>
              </w:tc>
            </w:tr>
            <w:tr w14:paraId="1F1AF9C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972" w:type="dxa"/>
                  <w:tcBorders>
                    <w:tl2br w:val="nil"/>
                    <w:tr2bl w:val="nil"/>
                  </w:tcBorders>
                  <w:noWrap w:val="0"/>
                  <w:vAlign w:val="center"/>
                </w:tcPr>
                <w:p w14:paraId="1D6AB480">
                  <w:pPr>
                    <w:keepNext w:val="0"/>
                    <w:keepLines w:val="0"/>
                    <w:pageBreakBefore w:val="0"/>
                    <w:kinsoku/>
                    <w:wordWrap/>
                    <w:overflowPunct/>
                    <w:topLinePunct w:val="0"/>
                    <w:autoSpaceDE/>
                    <w:autoSpaceDN/>
                    <w:bidi w:val="0"/>
                    <w:adjustRightInd w:val="0"/>
                    <w:snapToGrid w:val="0"/>
                    <w:jc w:val="center"/>
                    <w:rPr>
                      <w:rFonts w:ascii="Times New Roman" w:hAnsi="Times New Roman"/>
                      <w:color w:val="auto"/>
                      <w:kern w:val="0"/>
                      <w:szCs w:val="21"/>
                    </w:rPr>
                  </w:pPr>
                  <w:r>
                    <w:rPr>
                      <w:rFonts w:ascii="Times New Roman" w:hAnsi="Times New Roman"/>
                      <w:color w:val="auto"/>
                      <w:kern w:val="0"/>
                      <w:szCs w:val="21"/>
                    </w:rPr>
                    <w:t>CO</w:t>
                  </w:r>
                </w:p>
              </w:tc>
              <w:tc>
                <w:tcPr>
                  <w:tcW w:w="2816" w:type="dxa"/>
                  <w:tcBorders>
                    <w:tl2br w:val="nil"/>
                    <w:tr2bl w:val="nil"/>
                  </w:tcBorders>
                  <w:noWrap w:val="0"/>
                  <w:vAlign w:val="center"/>
                </w:tcPr>
                <w:p w14:paraId="4CBFACEC">
                  <w:pPr>
                    <w:keepNext w:val="0"/>
                    <w:keepLines w:val="0"/>
                    <w:pageBreakBefore w:val="0"/>
                    <w:kinsoku/>
                    <w:wordWrap/>
                    <w:overflowPunct/>
                    <w:topLinePunct w:val="0"/>
                    <w:autoSpaceDE/>
                    <w:autoSpaceDN/>
                    <w:bidi w:val="0"/>
                    <w:adjustRightInd w:val="0"/>
                    <w:snapToGrid w:val="0"/>
                    <w:jc w:val="center"/>
                    <w:rPr>
                      <w:rFonts w:ascii="Times New Roman" w:hAnsi="Times New Roman"/>
                      <w:color w:val="auto"/>
                      <w:kern w:val="0"/>
                      <w:szCs w:val="21"/>
                    </w:rPr>
                  </w:pPr>
                  <w:r>
                    <w:rPr>
                      <w:rFonts w:ascii="Times New Roman" w:hAnsi="Times New Roman"/>
                      <w:color w:val="auto"/>
                      <w:kern w:val="0"/>
                      <w:szCs w:val="21"/>
                    </w:rPr>
                    <w:t>日均值的第95百分位数</w:t>
                  </w:r>
                </w:p>
              </w:tc>
              <w:tc>
                <w:tcPr>
                  <w:tcW w:w="1266" w:type="dxa"/>
                  <w:tcBorders>
                    <w:tl2br w:val="nil"/>
                    <w:tr2bl w:val="nil"/>
                  </w:tcBorders>
                  <w:noWrap w:val="0"/>
                  <w:vAlign w:val="center"/>
                </w:tcPr>
                <w:p w14:paraId="3F29E51B">
                  <w:pPr>
                    <w:keepNext w:val="0"/>
                    <w:keepLines w:val="0"/>
                    <w:pageBreakBefore w:val="0"/>
                    <w:kinsoku/>
                    <w:wordWrap/>
                    <w:overflowPunct/>
                    <w:topLinePunct w:val="0"/>
                    <w:autoSpaceDE/>
                    <w:autoSpaceDN/>
                    <w:bidi w:val="0"/>
                    <w:adjustRightInd w:val="0"/>
                    <w:snapToGrid w:val="0"/>
                    <w:jc w:val="center"/>
                    <w:rPr>
                      <w:rFonts w:ascii="Times New Roman" w:hAnsi="Times New Roman"/>
                      <w:color w:val="auto"/>
                      <w:kern w:val="0"/>
                      <w:szCs w:val="21"/>
                    </w:rPr>
                  </w:pPr>
                  <w:r>
                    <w:rPr>
                      <w:rFonts w:ascii="Times New Roman" w:hAnsi="Times New Roman"/>
                      <w:color w:val="auto"/>
                      <w:kern w:val="0"/>
                      <w:szCs w:val="21"/>
                    </w:rPr>
                    <w:t>1100</w:t>
                  </w:r>
                </w:p>
              </w:tc>
              <w:tc>
                <w:tcPr>
                  <w:tcW w:w="1206" w:type="dxa"/>
                  <w:tcBorders>
                    <w:tl2br w:val="nil"/>
                    <w:tr2bl w:val="nil"/>
                  </w:tcBorders>
                  <w:noWrap w:val="0"/>
                  <w:vAlign w:val="center"/>
                </w:tcPr>
                <w:p w14:paraId="05BD6C12">
                  <w:pPr>
                    <w:keepNext w:val="0"/>
                    <w:keepLines w:val="0"/>
                    <w:pageBreakBefore w:val="0"/>
                    <w:kinsoku/>
                    <w:wordWrap/>
                    <w:overflowPunct/>
                    <w:topLinePunct w:val="0"/>
                    <w:autoSpaceDE/>
                    <w:autoSpaceDN/>
                    <w:bidi w:val="0"/>
                    <w:adjustRightInd w:val="0"/>
                    <w:snapToGrid w:val="0"/>
                    <w:jc w:val="center"/>
                    <w:rPr>
                      <w:rFonts w:ascii="Times New Roman" w:hAnsi="Times New Roman"/>
                      <w:color w:val="auto"/>
                      <w:kern w:val="0"/>
                      <w:szCs w:val="21"/>
                    </w:rPr>
                  </w:pPr>
                  <w:r>
                    <w:rPr>
                      <w:rFonts w:ascii="Times New Roman" w:hAnsi="Times New Roman"/>
                      <w:color w:val="auto"/>
                      <w:kern w:val="0"/>
                      <w:szCs w:val="21"/>
                    </w:rPr>
                    <w:t>4000</w:t>
                  </w:r>
                </w:p>
              </w:tc>
              <w:tc>
                <w:tcPr>
                  <w:tcW w:w="1045" w:type="dxa"/>
                  <w:tcBorders>
                    <w:tl2br w:val="nil"/>
                    <w:tr2bl w:val="nil"/>
                  </w:tcBorders>
                  <w:noWrap w:val="0"/>
                  <w:vAlign w:val="center"/>
                </w:tcPr>
                <w:p w14:paraId="0CF242E6">
                  <w:pPr>
                    <w:keepNext w:val="0"/>
                    <w:keepLines w:val="0"/>
                    <w:pageBreakBefore w:val="0"/>
                    <w:widowControl/>
                    <w:kinsoku/>
                    <w:wordWrap/>
                    <w:overflowPunct/>
                    <w:topLinePunct w:val="0"/>
                    <w:autoSpaceDE/>
                    <w:autoSpaceDN/>
                    <w:bidi w:val="0"/>
                    <w:adjustRightInd w:val="0"/>
                    <w:snapToGrid w:val="0"/>
                    <w:jc w:val="center"/>
                    <w:textAlignment w:val="center"/>
                    <w:rPr>
                      <w:rFonts w:ascii="Times New Roman" w:hAnsi="Times New Roman"/>
                      <w:color w:val="auto"/>
                      <w:szCs w:val="21"/>
                    </w:rPr>
                  </w:pPr>
                  <w:r>
                    <w:rPr>
                      <w:rFonts w:ascii="Times New Roman" w:hAnsi="Times New Roman"/>
                      <w:color w:val="auto"/>
                      <w:kern w:val="0"/>
                      <w:szCs w:val="21"/>
                    </w:rPr>
                    <w:t>100</w:t>
                  </w:r>
                </w:p>
              </w:tc>
              <w:tc>
                <w:tcPr>
                  <w:tcW w:w="1217" w:type="dxa"/>
                  <w:tcBorders>
                    <w:tl2br w:val="nil"/>
                    <w:tr2bl w:val="nil"/>
                  </w:tcBorders>
                  <w:noWrap w:val="0"/>
                  <w:vAlign w:val="center"/>
                </w:tcPr>
                <w:p w14:paraId="0A9DFC89">
                  <w:pPr>
                    <w:keepNext w:val="0"/>
                    <w:keepLines w:val="0"/>
                    <w:pageBreakBefore w:val="0"/>
                    <w:kinsoku/>
                    <w:wordWrap/>
                    <w:overflowPunct/>
                    <w:topLinePunct w:val="0"/>
                    <w:autoSpaceDE/>
                    <w:autoSpaceDN/>
                    <w:bidi w:val="0"/>
                    <w:adjustRightInd w:val="0"/>
                    <w:snapToGrid w:val="0"/>
                    <w:jc w:val="center"/>
                    <w:rPr>
                      <w:rFonts w:ascii="Times New Roman" w:hAnsi="Times New Roman"/>
                      <w:color w:val="auto"/>
                      <w:kern w:val="0"/>
                      <w:szCs w:val="21"/>
                    </w:rPr>
                  </w:pPr>
                  <w:r>
                    <w:rPr>
                      <w:rFonts w:ascii="Times New Roman" w:hAnsi="Times New Roman"/>
                      <w:color w:val="auto"/>
                      <w:kern w:val="0"/>
                      <w:szCs w:val="21"/>
                    </w:rPr>
                    <w:t>达标</w:t>
                  </w:r>
                </w:p>
              </w:tc>
            </w:tr>
            <w:tr w14:paraId="1B9DDE5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972" w:type="dxa"/>
                  <w:tcBorders>
                    <w:tl2br w:val="nil"/>
                    <w:tr2bl w:val="nil"/>
                  </w:tcBorders>
                  <w:noWrap w:val="0"/>
                  <w:vAlign w:val="center"/>
                </w:tcPr>
                <w:p w14:paraId="4C48AD03">
                  <w:pPr>
                    <w:keepNext w:val="0"/>
                    <w:keepLines w:val="0"/>
                    <w:pageBreakBefore w:val="0"/>
                    <w:kinsoku/>
                    <w:wordWrap/>
                    <w:overflowPunct/>
                    <w:topLinePunct w:val="0"/>
                    <w:autoSpaceDE/>
                    <w:autoSpaceDN/>
                    <w:bidi w:val="0"/>
                    <w:adjustRightInd w:val="0"/>
                    <w:snapToGrid w:val="0"/>
                    <w:jc w:val="center"/>
                    <w:rPr>
                      <w:rFonts w:ascii="Times New Roman" w:hAnsi="Times New Roman"/>
                      <w:color w:val="auto"/>
                      <w:kern w:val="0"/>
                      <w:szCs w:val="21"/>
                    </w:rPr>
                  </w:pPr>
                  <w:r>
                    <w:rPr>
                      <w:rFonts w:ascii="Times New Roman" w:hAnsi="Times New Roman"/>
                      <w:color w:val="auto"/>
                      <w:kern w:val="0"/>
                      <w:szCs w:val="21"/>
                    </w:rPr>
                    <w:t>O</w:t>
                  </w:r>
                  <w:r>
                    <w:rPr>
                      <w:rFonts w:ascii="Times New Roman" w:hAnsi="Times New Roman"/>
                      <w:color w:val="auto"/>
                      <w:kern w:val="0"/>
                      <w:szCs w:val="21"/>
                      <w:vertAlign w:val="subscript"/>
                    </w:rPr>
                    <w:t>3</w:t>
                  </w:r>
                </w:p>
              </w:tc>
              <w:tc>
                <w:tcPr>
                  <w:tcW w:w="2816" w:type="dxa"/>
                  <w:tcBorders>
                    <w:tl2br w:val="nil"/>
                    <w:tr2bl w:val="nil"/>
                  </w:tcBorders>
                  <w:noWrap w:val="0"/>
                  <w:vAlign w:val="center"/>
                </w:tcPr>
                <w:p w14:paraId="3CB2B70B">
                  <w:pPr>
                    <w:keepNext w:val="0"/>
                    <w:keepLines w:val="0"/>
                    <w:pageBreakBefore w:val="0"/>
                    <w:kinsoku/>
                    <w:wordWrap/>
                    <w:overflowPunct/>
                    <w:topLinePunct w:val="0"/>
                    <w:autoSpaceDE/>
                    <w:autoSpaceDN/>
                    <w:bidi w:val="0"/>
                    <w:adjustRightInd w:val="0"/>
                    <w:snapToGrid w:val="0"/>
                    <w:jc w:val="center"/>
                    <w:rPr>
                      <w:rFonts w:ascii="Times New Roman" w:hAnsi="Times New Roman"/>
                      <w:color w:val="auto"/>
                      <w:kern w:val="0"/>
                      <w:szCs w:val="21"/>
                    </w:rPr>
                  </w:pPr>
                  <w:r>
                    <w:rPr>
                      <w:rFonts w:ascii="Times New Roman" w:hAnsi="Times New Roman"/>
                      <w:color w:val="auto"/>
                      <w:kern w:val="0"/>
                      <w:szCs w:val="21"/>
                    </w:rPr>
                    <w:t>日最大8小时滑动平均值的第90百分位数</w:t>
                  </w:r>
                </w:p>
              </w:tc>
              <w:tc>
                <w:tcPr>
                  <w:tcW w:w="1266" w:type="dxa"/>
                  <w:tcBorders>
                    <w:tl2br w:val="nil"/>
                    <w:tr2bl w:val="nil"/>
                  </w:tcBorders>
                  <w:noWrap w:val="0"/>
                  <w:vAlign w:val="center"/>
                </w:tcPr>
                <w:p w14:paraId="0628C309">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olor w:val="auto"/>
                      <w:kern w:val="0"/>
                      <w:szCs w:val="21"/>
                      <w:lang w:val="en-US" w:eastAsia="zh-CN"/>
                    </w:rPr>
                  </w:pPr>
                  <w:r>
                    <w:rPr>
                      <w:rFonts w:ascii="Times New Roman" w:hAnsi="Times New Roman"/>
                      <w:color w:val="auto"/>
                      <w:kern w:val="0"/>
                      <w:szCs w:val="21"/>
                    </w:rPr>
                    <w:t>1</w:t>
                  </w:r>
                  <w:r>
                    <w:rPr>
                      <w:rFonts w:hint="eastAsia" w:ascii="Times New Roman" w:hAnsi="Times New Roman"/>
                      <w:color w:val="auto"/>
                      <w:kern w:val="0"/>
                      <w:szCs w:val="21"/>
                      <w:lang w:val="en-US" w:eastAsia="zh-CN"/>
                    </w:rPr>
                    <w:t>68</w:t>
                  </w:r>
                </w:p>
              </w:tc>
              <w:tc>
                <w:tcPr>
                  <w:tcW w:w="1206" w:type="dxa"/>
                  <w:tcBorders>
                    <w:tl2br w:val="nil"/>
                    <w:tr2bl w:val="nil"/>
                  </w:tcBorders>
                  <w:noWrap w:val="0"/>
                  <w:vAlign w:val="center"/>
                </w:tcPr>
                <w:p w14:paraId="229A5971">
                  <w:pPr>
                    <w:keepNext w:val="0"/>
                    <w:keepLines w:val="0"/>
                    <w:pageBreakBefore w:val="0"/>
                    <w:kinsoku/>
                    <w:wordWrap/>
                    <w:overflowPunct/>
                    <w:topLinePunct w:val="0"/>
                    <w:autoSpaceDE/>
                    <w:autoSpaceDN/>
                    <w:bidi w:val="0"/>
                    <w:adjustRightInd w:val="0"/>
                    <w:snapToGrid w:val="0"/>
                    <w:jc w:val="center"/>
                    <w:rPr>
                      <w:rFonts w:ascii="Times New Roman" w:hAnsi="Times New Roman"/>
                      <w:color w:val="auto"/>
                      <w:kern w:val="0"/>
                      <w:szCs w:val="21"/>
                    </w:rPr>
                  </w:pPr>
                  <w:r>
                    <w:rPr>
                      <w:rFonts w:ascii="Times New Roman" w:hAnsi="Times New Roman"/>
                      <w:color w:val="auto"/>
                      <w:kern w:val="0"/>
                      <w:szCs w:val="21"/>
                    </w:rPr>
                    <w:t>160</w:t>
                  </w:r>
                </w:p>
              </w:tc>
              <w:tc>
                <w:tcPr>
                  <w:tcW w:w="1045" w:type="dxa"/>
                  <w:tcBorders>
                    <w:tl2br w:val="nil"/>
                    <w:tr2bl w:val="nil"/>
                  </w:tcBorders>
                  <w:noWrap w:val="0"/>
                  <w:vAlign w:val="center"/>
                </w:tcPr>
                <w:p w14:paraId="34BA2925">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olor w:val="auto"/>
                      <w:szCs w:val="21"/>
                      <w:lang w:val="en-US" w:eastAsia="zh-CN"/>
                    </w:rPr>
                  </w:pPr>
                  <w:r>
                    <w:rPr>
                      <w:rFonts w:ascii="Times New Roman" w:hAnsi="Times New Roman"/>
                      <w:color w:val="auto"/>
                      <w:kern w:val="0"/>
                      <w:szCs w:val="21"/>
                    </w:rPr>
                    <w:t>8</w:t>
                  </w:r>
                  <w:r>
                    <w:rPr>
                      <w:rFonts w:hint="eastAsia" w:ascii="Times New Roman" w:hAnsi="Times New Roman"/>
                      <w:color w:val="auto"/>
                      <w:kern w:val="0"/>
                      <w:szCs w:val="21"/>
                      <w:lang w:val="en-US" w:eastAsia="zh-CN"/>
                    </w:rPr>
                    <w:t>6.3</w:t>
                  </w:r>
                </w:p>
              </w:tc>
              <w:tc>
                <w:tcPr>
                  <w:tcW w:w="1217" w:type="dxa"/>
                  <w:tcBorders>
                    <w:tl2br w:val="nil"/>
                    <w:tr2bl w:val="nil"/>
                  </w:tcBorders>
                  <w:noWrap w:val="0"/>
                  <w:vAlign w:val="center"/>
                </w:tcPr>
                <w:p w14:paraId="732A6F1A">
                  <w:pPr>
                    <w:keepNext w:val="0"/>
                    <w:keepLines w:val="0"/>
                    <w:pageBreakBefore w:val="0"/>
                    <w:kinsoku/>
                    <w:wordWrap/>
                    <w:overflowPunct/>
                    <w:topLinePunct w:val="0"/>
                    <w:autoSpaceDE/>
                    <w:autoSpaceDN/>
                    <w:bidi w:val="0"/>
                    <w:adjustRightInd w:val="0"/>
                    <w:snapToGrid w:val="0"/>
                    <w:jc w:val="center"/>
                    <w:rPr>
                      <w:rFonts w:ascii="Times New Roman" w:hAnsi="Times New Roman"/>
                      <w:color w:val="auto"/>
                      <w:kern w:val="0"/>
                      <w:szCs w:val="21"/>
                    </w:rPr>
                  </w:pPr>
                  <w:r>
                    <w:rPr>
                      <w:rFonts w:ascii="Times New Roman" w:hAnsi="Times New Roman"/>
                      <w:color w:val="auto"/>
                      <w:kern w:val="0"/>
                      <w:szCs w:val="21"/>
                    </w:rPr>
                    <w:t>不达标</w:t>
                  </w:r>
                </w:p>
              </w:tc>
            </w:tr>
          </w:tbl>
          <w:p w14:paraId="68E66511">
            <w:pPr>
              <w:widowControl/>
              <w:adjustRightInd w:val="0"/>
              <w:snapToGrid w:val="0"/>
              <w:spacing w:line="360" w:lineRule="auto"/>
              <w:ind w:firstLine="420" w:firstLineChars="200"/>
              <w:rPr>
                <w:color w:val="auto"/>
                <w:kern w:val="0"/>
              </w:rPr>
            </w:pPr>
            <w:r>
              <w:rPr>
                <w:bCs/>
                <w:color w:val="auto"/>
                <w:kern w:val="0"/>
              </w:rPr>
              <w:t>由上表可知，202</w:t>
            </w:r>
            <w:r>
              <w:rPr>
                <w:rFonts w:hint="eastAsia"/>
                <w:bCs/>
                <w:color w:val="auto"/>
                <w:kern w:val="0"/>
                <w:lang w:val="en-US" w:eastAsia="zh-CN"/>
              </w:rPr>
              <w:t>4</w:t>
            </w:r>
            <w:r>
              <w:rPr>
                <w:bCs/>
                <w:color w:val="auto"/>
                <w:kern w:val="0"/>
              </w:rPr>
              <w:t>年常州市环境空气中SO</w:t>
            </w:r>
            <w:r>
              <w:rPr>
                <w:bCs/>
                <w:color w:val="auto"/>
                <w:kern w:val="0"/>
                <w:vertAlign w:val="subscript"/>
              </w:rPr>
              <w:t>2</w:t>
            </w:r>
            <w:r>
              <w:rPr>
                <w:bCs/>
                <w:color w:val="auto"/>
                <w:kern w:val="0"/>
              </w:rPr>
              <w:t>、NO</w:t>
            </w:r>
            <w:r>
              <w:rPr>
                <w:bCs/>
                <w:color w:val="auto"/>
                <w:kern w:val="0"/>
                <w:vertAlign w:val="subscript"/>
              </w:rPr>
              <w:t>2</w:t>
            </w:r>
            <w:r>
              <w:rPr>
                <w:bCs/>
                <w:color w:val="auto"/>
                <w:kern w:val="0"/>
              </w:rPr>
              <w:t>、PM</w:t>
            </w:r>
            <w:r>
              <w:rPr>
                <w:bCs/>
                <w:color w:val="auto"/>
                <w:kern w:val="0"/>
                <w:vertAlign w:val="subscript"/>
              </w:rPr>
              <w:t>10</w:t>
            </w:r>
            <w:r>
              <w:rPr>
                <w:bCs/>
                <w:color w:val="auto"/>
                <w:kern w:val="0"/>
              </w:rPr>
              <w:t>和PM</w:t>
            </w:r>
            <w:r>
              <w:rPr>
                <w:rFonts w:hint="eastAsia"/>
                <w:bCs/>
                <w:color w:val="auto"/>
                <w:kern w:val="0"/>
                <w:vertAlign w:val="subscript"/>
              </w:rPr>
              <w:t>2.5</w:t>
            </w:r>
            <w:r>
              <w:rPr>
                <w:rFonts w:hint="eastAsia"/>
                <w:bCs/>
                <w:color w:val="auto"/>
                <w:kern w:val="0"/>
              </w:rPr>
              <w:t>年</w:t>
            </w:r>
            <w:r>
              <w:rPr>
                <w:bCs/>
                <w:color w:val="auto"/>
                <w:kern w:val="0"/>
              </w:rPr>
              <w:t>均值均达到《环境空气质量标准》</w:t>
            </w:r>
            <w:r>
              <w:rPr>
                <w:rFonts w:hint="eastAsia"/>
                <w:bCs/>
                <w:color w:val="auto"/>
                <w:kern w:val="0"/>
              </w:rPr>
              <w:t>（</w:t>
            </w:r>
            <w:r>
              <w:rPr>
                <w:bCs/>
                <w:color w:val="auto"/>
                <w:kern w:val="0"/>
              </w:rPr>
              <w:t>GB3095-2012</w:t>
            </w:r>
            <w:r>
              <w:rPr>
                <w:rFonts w:hint="eastAsia"/>
                <w:bCs/>
                <w:color w:val="auto"/>
                <w:kern w:val="0"/>
              </w:rPr>
              <w:t>）</w:t>
            </w:r>
            <w:r>
              <w:rPr>
                <w:bCs/>
                <w:color w:val="auto"/>
                <w:kern w:val="0"/>
              </w:rPr>
              <w:t>二级标准；SO</w:t>
            </w:r>
            <w:r>
              <w:rPr>
                <w:bCs/>
                <w:color w:val="auto"/>
                <w:kern w:val="0"/>
                <w:vertAlign w:val="subscript"/>
              </w:rPr>
              <w:t>2</w:t>
            </w:r>
            <w:r>
              <w:rPr>
                <w:rFonts w:hint="eastAsia"/>
                <w:bCs/>
                <w:color w:val="auto"/>
                <w:kern w:val="0"/>
              </w:rPr>
              <w:t>日均值以及</w:t>
            </w:r>
            <w:r>
              <w:rPr>
                <w:bCs/>
                <w:color w:val="auto"/>
                <w:kern w:val="0"/>
              </w:rPr>
              <w:t>一氧化碳</w:t>
            </w:r>
            <w:r>
              <w:rPr>
                <w:rFonts w:hint="eastAsia"/>
                <w:color w:val="auto"/>
                <w:kern w:val="0"/>
              </w:rPr>
              <w:t>日均值的第95百分位数</w:t>
            </w:r>
            <w:r>
              <w:rPr>
                <w:bCs/>
                <w:color w:val="auto"/>
                <w:kern w:val="0"/>
              </w:rPr>
              <w:t>均达到《环境空气质量标准》</w:t>
            </w:r>
            <w:r>
              <w:rPr>
                <w:rFonts w:hint="eastAsia"/>
                <w:bCs/>
                <w:color w:val="auto"/>
                <w:kern w:val="0"/>
              </w:rPr>
              <w:t>（</w:t>
            </w:r>
            <w:r>
              <w:rPr>
                <w:bCs/>
                <w:color w:val="auto"/>
                <w:kern w:val="0"/>
              </w:rPr>
              <w:t>GB3095-2012</w:t>
            </w:r>
            <w:r>
              <w:rPr>
                <w:rFonts w:hint="eastAsia"/>
                <w:bCs/>
                <w:color w:val="auto"/>
                <w:kern w:val="0"/>
              </w:rPr>
              <w:t>）</w:t>
            </w:r>
            <w:r>
              <w:rPr>
                <w:bCs/>
                <w:color w:val="auto"/>
                <w:kern w:val="0"/>
              </w:rPr>
              <w:t>二级标准；PM</w:t>
            </w:r>
            <w:r>
              <w:rPr>
                <w:bCs/>
                <w:color w:val="auto"/>
                <w:kern w:val="0"/>
                <w:vertAlign w:val="subscript"/>
              </w:rPr>
              <w:t>2.5</w:t>
            </w:r>
            <w:r>
              <w:rPr>
                <w:rFonts w:hint="eastAsia"/>
                <w:bCs/>
                <w:color w:val="auto"/>
                <w:kern w:val="0"/>
              </w:rPr>
              <w:t>日均浓度值、</w:t>
            </w:r>
            <w:r>
              <w:rPr>
                <w:bCs/>
                <w:color w:val="auto"/>
                <w:kern w:val="0"/>
              </w:rPr>
              <w:t>PM</w:t>
            </w:r>
            <w:r>
              <w:rPr>
                <w:rFonts w:hint="eastAsia"/>
                <w:bCs/>
                <w:color w:val="auto"/>
                <w:kern w:val="0"/>
                <w:vertAlign w:val="subscript"/>
              </w:rPr>
              <w:t>10</w:t>
            </w:r>
            <w:r>
              <w:rPr>
                <w:rFonts w:hint="eastAsia"/>
                <w:bCs/>
                <w:color w:val="auto"/>
                <w:kern w:val="0"/>
              </w:rPr>
              <w:t>日均浓度值、NO</w:t>
            </w:r>
            <w:r>
              <w:rPr>
                <w:rFonts w:hint="eastAsia"/>
                <w:bCs/>
                <w:color w:val="auto"/>
                <w:kern w:val="0"/>
                <w:vertAlign w:val="subscript"/>
              </w:rPr>
              <w:t>2</w:t>
            </w:r>
            <w:r>
              <w:rPr>
                <w:rFonts w:hint="eastAsia"/>
                <w:bCs/>
                <w:color w:val="auto"/>
                <w:kern w:val="0"/>
              </w:rPr>
              <w:t>日均浓度值</w:t>
            </w:r>
            <w:r>
              <w:rPr>
                <w:bCs/>
                <w:color w:val="auto"/>
                <w:kern w:val="0"/>
              </w:rPr>
              <w:t>和臭氧日最大8小时滑动均值均超过《环境空气质量标准》</w:t>
            </w:r>
            <w:r>
              <w:rPr>
                <w:rFonts w:hint="eastAsia"/>
                <w:bCs/>
                <w:color w:val="auto"/>
                <w:kern w:val="0"/>
              </w:rPr>
              <w:t>（</w:t>
            </w:r>
            <w:r>
              <w:rPr>
                <w:bCs/>
                <w:color w:val="auto"/>
                <w:kern w:val="0"/>
              </w:rPr>
              <w:t>GB3095-2012</w:t>
            </w:r>
            <w:r>
              <w:rPr>
                <w:rFonts w:hint="eastAsia"/>
                <w:bCs/>
                <w:color w:val="auto"/>
                <w:kern w:val="0"/>
              </w:rPr>
              <w:t>）</w:t>
            </w:r>
            <w:r>
              <w:rPr>
                <w:bCs/>
                <w:color w:val="auto"/>
                <w:kern w:val="0"/>
              </w:rPr>
              <w:t>二级标准，因此判定为非达标区</w:t>
            </w:r>
            <w:r>
              <w:rPr>
                <w:color w:val="auto"/>
                <w:kern w:val="0"/>
              </w:rPr>
              <w:t>。</w:t>
            </w:r>
          </w:p>
          <w:p w14:paraId="05AC2C33">
            <w:pPr>
              <w:spacing w:line="360" w:lineRule="auto"/>
              <w:ind w:firstLine="413" w:firstLineChars="196"/>
              <w:rPr>
                <w:b/>
                <w:bCs/>
                <w:color w:val="auto"/>
                <w:kern w:val="0"/>
              </w:rPr>
            </w:pPr>
            <w:r>
              <w:rPr>
                <w:rFonts w:hint="eastAsia"/>
                <w:b/>
                <w:bCs/>
                <w:color w:val="auto"/>
                <w:kern w:val="0"/>
              </w:rPr>
              <w:t>（2）特征污染物环境质量现状</w:t>
            </w:r>
          </w:p>
          <w:p w14:paraId="007C7DEC">
            <w:pPr>
              <w:spacing w:line="360" w:lineRule="auto"/>
              <w:ind w:firstLine="420" w:firstLineChars="200"/>
              <w:rPr>
                <w:color w:val="auto"/>
              </w:rPr>
            </w:pPr>
            <w:r>
              <w:rPr>
                <w:color w:val="auto"/>
              </w:rPr>
              <w:t>项目</w:t>
            </w:r>
            <w:r>
              <w:rPr>
                <w:rFonts w:hint="eastAsia"/>
                <w:color w:val="auto"/>
              </w:rPr>
              <w:t>大气</w:t>
            </w:r>
            <w:r>
              <w:rPr>
                <w:color w:val="auto"/>
              </w:rPr>
              <w:t>污染因子</w:t>
            </w:r>
            <w:r>
              <w:rPr>
                <w:rFonts w:hint="eastAsia"/>
                <w:color w:val="auto"/>
              </w:rPr>
              <w:t>主要为</w:t>
            </w:r>
            <w:r>
              <w:rPr>
                <w:color w:val="auto"/>
              </w:rPr>
              <w:t>非甲烷总烃</w:t>
            </w:r>
            <w:r>
              <w:rPr>
                <w:rFonts w:hint="eastAsia"/>
                <w:color w:val="auto"/>
                <w:lang w:eastAsia="zh-CN"/>
              </w:rPr>
              <w:t>、</w:t>
            </w:r>
            <w:r>
              <w:rPr>
                <w:rFonts w:hint="eastAsia"/>
                <w:color w:val="auto"/>
                <w:lang w:val="en-US" w:eastAsia="zh-CN"/>
              </w:rPr>
              <w:t>颗粒物</w:t>
            </w:r>
            <w:r>
              <w:rPr>
                <w:rFonts w:hint="eastAsia"/>
                <w:color w:val="auto"/>
              </w:rPr>
              <w:t>。根据《环境影响评价技术导则 大气环境》（HJ2.2-2018）环境空气质量现状调查与评价要求，本次调查评价范围内非甲烷总烃的环境质量现状。</w:t>
            </w:r>
          </w:p>
          <w:p w14:paraId="60D96BEA">
            <w:pPr>
              <w:widowControl/>
              <w:adjustRightInd w:val="0"/>
              <w:snapToGrid w:val="0"/>
              <w:spacing w:line="360" w:lineRule="auto"/>
              <w:ind w:firstLine="420" w:firstLineChars="200"/>
              <w:jc w:val="left"/>
              <w:rPr>
                <w:rStyle w:val="71"/>
                <w:color w:val="auto"/>
                <w:kern w:val="0"/>
              </w:rPr>
            </w:pPr>
            <w:r>
              <w:rPr>
                <w:rFonts w:hint="eastAsia"/>
                <w:color w:val="auto"/>
                <w:kern w:val="0"/>
              </w:rPr>
              <w:t>针对本期项目排放的特征因子非甲烷总烃，本项目引用江苏云居检测技术有限公司于2025年1月7日~9日对本项目西北侧4100m处G1珑庭花园监测点进行大气环境现状监测，监测报告编号：YJH25032707。</w:t>
            </w:r>
          </w:p>
          <w:p w14:paraId="277140E9">
            <w:pPr>
              <w:spacing w:line="360" w:lineRule="auto"/>
              <w:ind w:firstLine="441" w:firstLineChars="209"/>
              <w:rPr>
                <w:color w:val="auto"/>
              </w:rPr>
            </w:pPr>
            <w:r>
              <w:rPr>
                <w:b/>
                <w:color w:val="auto"/>
              </w:rPr>
              <w:t>监测数据引用的有效性分析：</w:t>
            </w:r>
          </w:p>
          <w:p w14:paraId="021A850D">
            <w:pPr>
              <w:pStyle w:val="16"/>
              <w:keepNext/>
              <w:spacing w:line="360" w:lineRule="auto"/>
              <w:ind w:firstLine="420" w:firstLineChars="200"/>
              <w:rPr>
                <w:rFonts w:ascii="Times New Roman" w:hAnsi="Times New Roman" w:eastAsia="宋体"/>
                <w:color w:val="auto"/>
                <w:kern w:val="0"/>
                <w:sz w:val="21"/>
                <w:szCs w:val="21"/>
              </w:rPr>
            </w:pPr>
            <w:r>
              <w:rPr>
                <w:rFonts w:hint="eastAsia" w:ascii="Times New Roman" w:hAnsi="Times New Roman" w:eastAsia="宋体"/>
                <w:color w:val="auto"/>
                <w:kern w:val="0"/>
                <w:sz w:val="21"/>
                <w:szCs w:val="21"/>
              </w:rPr>
              <w:t>本项目引用因子为非甲烷总烃，监测时间为2025年1月，监测数据距今尚在3年有效期内，引用点位位于本项目西北侧4100m，在评价范围内的侧风向，监测期间至今，区域内未新增明显的大气污染源，因此本次引用的大气环境质量数据符合引用原则。</w:t>
            </w:r>
          </w:p>
          <w:p w14:paraId="4B53E069">
            <w:pPr>
              <w:jc w:val="center"/>
              <w:rPr>
                <w:rFonts w:hint="eastAsia"/>
                <w:color w:val="auto"/>
              </w:rPr>
            </w:pPr>
            <w:r>
              <w:rPr>
                <w:color w:val="auto"/>
              </w:rPr>
              <w:drawing>
                <wp:anchor distT="0" distB="0" distL="114300" distR="114300" simplePos="0" relativeHeight="251666432" behindDoc="0" locked="0" layoutInCell="1" allowOverlap="1">
                  <wp:simplePos x="0" y="0"/>
                  <wp:positionH relativeFrom="column">
                    <wp:posOffset>4298315</wp:posOffset>
                  </wp:positionH>
                  <wp:positionV relativeFrom="paragraph">
                    <wp:posOffset>39370</wp:posOffset>
                  </wp:positionV>
                  <wp:extent cx="1028700" cy="1090295"/>
                  <wp:effectExtent l="0" t="0" r="0" b="14605"/>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9"/>
                          <a:stretch>
                            <a:fillRect/>
                          </a:stretch>
                        </pic:blipFill>
                        <pic:spPr>
                          <a:xfrm>
                            <a:off x="0" y="0"/>
                            <a:ext cx="1028700" cy="1090295"/>
                          </a:xfrm>
                          <a:prstGeom prst="rect">
                            <a:avLst/>
                          </a:prstGeom>
                          <a:noFill/>
                          <a:ln>
                            <a:noFill/>
                          </a:ln>
                        </pic:spPr>
                      </pic:pic>
                    </a:graphicData>
                  </a:graphic>
                </wp:anchor>
              </w:drawing>
            </w:r>
            <w:r>
              <w:rPr>
                <w:color w:val="auto"/>
                <w:sz w:val="21"/>
              </w:rPr>
              <mc:AlternateContent>
                <mc:Choice Requires="wps">
                  <w:drawing>
                    <wp:anchor distT="0" distB="0" distL="114300" distR="114300" simplePos="0" relativeHeight="251665408" behindDoc="0" locked="0" layoutInCell="1" allowOverlap="1">
                      <wp:simplePos x="0" y="0"/>
                      <wp:positionH relativeFrom="column">
                        <wp:posOffset>2442210</wp:posOffset>
                      </wp:positionH>
                      <wp:positionV relativeFrom="paragraph">
                        <wp:posOffset>1743710</wp:posOffset>
                      </wp:positionV>
                      <wp:extent cx="885190" cy="27559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885190" cy="275590"/>
                              </a:xfrm>
                              <a:prstGeom prst="rect">
                                <a:avLst/>
                              </a:prstGeom>
                              <a:noFill/>
                              <a:ln>
                                <a:noFill/>
                              </a:ln>
                            </wps:spPr>
                            <wps:txbx>
                              <w:txbxContent>
                                <w:p w14:paraId="41D01A34">
                                  <w:pPr>
                                    <w:jc w:val="center"/>
                                    <w:rPr>
                                      <w:rFonts w:hint="default" w:ascii="Times New Roman" w:hAnsi="Times New Roman" w:eastAsia="楷体" w:cs="Times New Roman"/>
                                      <w:b/>
                                      <w:bCs/>
                                      <w:color w:val="FF0000"/>
                                      <w:lang w:val="en-US" w:eastAsia="zh-CN"/>
                                    </w:rPr>
                                  </w:pPr>
                                  <w:r>
                                    <w:rPr>
                                      <w:rFonts w:hint="eastAsia" w:ascii="Times New Roman" w:hAnsi="Times New Roman" w:eastAsia="楷体" w:cs="Times New Roman"/>
                                      <w:b/>
                                      <w:bCs/>
                                      <w:color w:val="FF0000"/>
                                      <w:lang w:val="en-US" w:eastAsia="zh-CN"/>
                                    </w:rPr>
                                    <w:t>4100m</w:t>
                                  </w:r>
                                </w:p>
                              </w:txbxContent>
                            </wps:txbx>
                            <wps:bodyPr upright="1"/>
                          </wps:wsp>
                        </a:graphicData>
                      </a:graphic>
                    </wp:anchor>
                  </w:drawing>
                </mc:Choice>
                <mc:Fallback>
                  <w:pict>
                    <v:shape id="_x0000_s1026" o:spid="_x0000_s1026" o:spt="202" type="#_x0000_t202" style="position:absolute;left:0pt;margin-left:192.3pt;margin-top:137.3pt;height:21.7pt;width:69.7pt;z-index:251665408;mso-width-relative:page;mso-height-relative:page;" filled="f" stroked="f" coordsize="21600,21600" o:gfxdata="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D89e5fXAAAA&#10;CwEAAA8AAAAAAAAAAQAgAAAAIgAAAGRycy9kb3ducmV2LnhtbFBLAQIUABQAAAAIAIdO4kDDyEtC&#10;rAEAAE8DAAAOAAAAAAAAAAEAIAAAACYBAABkcnMvZTJvRG9jLnhtbFBLBQYAAAAABgAGAFkBAABE&#10;BQAAAAA=&#10;">
                      <v:fill on="f" focussize="0,0"/>
                      <v:stroke on="f"/>
                      <v:imagedata o:title=""/>
                      <o:lock v:ext="edit" aspectratio="f"/>
                      <v:textbox>
                        <w:txbxContent>
                          <w:p w14:paraId="41D01A34">
                            <w:pPr>
                              <w:jc w:val="center"/>
                              <w:rPr>
                                <w:rFonts w:hint="default" w:ascii="Times New Roman" w:hAnsi="Times New Roman" w:eastAsia="楷体" w:cs="Times New Roman"/>
                                <w:b/>
                                <w:bCs/>
                                <w:color w:val="FF0000"/>
                                <w:lang w:val="en-US" w:eastAsia="zh-CN"/>
                              </w:rPr>
                            </w:pPr>
                            <w:r>
                              <w:rPr>
                                <w:rFonts w:hint="eastAsia" w:ascii="Times New Roman" w:hAnsi="Times New Roman" w:eastAsia="楷体" w:cs="Times New Roman"/>
                                <w:b/>
                                <w:bCs/>
                                <w:color w:val="FF0000"/>
                                <w:lang w:val="en-US" w:eastAsia="zh-CN"/>
                              </w:rPr>
                              <w:t>4100m</w:t>
                            </w:r>
                          </w:p>
                        </w:txbxContent>
                      </v:textbox>
                    </v:shape>
                  </w:pict>
                </mc:Fallback>
              </mc:AlternateContent>
            </w:r>
            <w:r>
              <w:rPr>
                <w:color w:val="auto"/>
                <w:sz w:val="21"/>
              </w:rPr>
              <mc:AlternateContent>
                <mc:Choice Requires="wps">
                  <w:drawing>
                    <wp:anchor distT="0" distB="0" distL="114300" distR="114300" simplePos="0" relativeHeight="251664384" behindDoc="0" locked="0" layoutInCell="1" allowOverlap="1">
                      <wp:simplePos x="0" y="0"/>
                      <wp:positionH relativeFrom="column">
                        <wp:posOffset>1480185</wp:posOffset>
                      </wp:positionH>
                      <wp:positionV relativeFrom="paragraph">
                        <wp:posOffset>295910</wp:posOffset>
                      </wp:positionV>
                      <wp:extent cx="1170940" cy="27559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170940" cy="275590"/>
                              </a:xfrm>
                              <a:prstGeom prst="rect">
                                <a:avLst/>
                              </a:prstGeom>
                              <a:noFill/>
                              <a:ln>
                                <a:noFill/>
                              </a:ln>
                            </wps:spPr>
                            <wps:txbx>
                              <w:txbxContent>
                                <w:p w14:paraId="0D96938A">
                                  <w:pPr>
                                    <w:jc w:val="center"/>
                                    <w:rPr>
                                      <w:rFonts w:hint="default" w:ascii="Times New Roman" w:hAnsi="Times New Roman" w:eastAsia="楷体" w:cs="Times New Roman"/>
                                      <w:b/>
                                      <w:bCs/>
                                      <w:color w:val="FF0000"/>
                                      <w:lang w:val="en-US" w:eastAsia="zh-CN"/>
                                    </w:rPr>
                                  </w:pPr>
                                  <w:r>
                                    <w:rPr>
                                      <w:rFonts w:hint="default" w:ascii="Times New Roman" w:hAnsi="Times New Roman" w:eastAsia="楷体" w:cs="Times New Roman"/>
                                      <w:b/>
                                      <w:bCs/>
                                      <w:color w:val="FF0000"/>
                                      <w:lang w:val="en-US" w:eastAsia="zh-CN"/>
                                    </w:rPr>
                                    <w:t>G1</w:t>
                                  </w:r>
                                </w:p>
                              </w:txbxContent>
                            </wps:txbx>
                            <wps:bodyPr upright="1"/>
                          </wps:wsp>
                        </a:graphicData>
                      </a:graphic>
                    </wp:anchor>
                  </w:drawing>
                </mc:Choice>
                <mc:Fallback>
                  <w:pict>
                    <v:shape id="_x0000_s1026" o:spid="_x0000_s1026" o:spt="202" type="#_x0000_t202" style="position:absolute;left:0pt;margin-left:116.55pt;margin-top:23.3pt;height:21.7pt;width:92.2pt;z-index:251664384;mso-width-relative:page;mso-height-relative:page;" filled="f" stroked="f" coordsize="21600,21600" o:gfxdata="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DxJjuLY&#10;AAAACQEAAA8AAAAAAAAAAQAgAAAAIgAAAGRycy9kb3ducmV2LnhtbFBLAQIUABQAAAAIAIdO4kBd&#10;A39SrgEAAFADAAAOAAAAAAAAAAEAIAAAACcBAABkcnMvZTJvRG9jLnhtbFBLBQYAAAAABgAGAFkB&#10;AABHBQAAAAA=&#10;">
                      <v:fill on="f" focussize="0,0"/>
                      <v:stroke on="f"/>
                      <v:imagedata o:title=""/>
                      <o:lock v:ext="edit" aspectratio="f"/>
                      <v:textbox>
                        <w:txbxContent>
                          <w:p w14:paraId="0D96938A">
                            <w:pPr>
                              <w:jc w:val="center"/>
                              <w:rPr>
                                <w:rFonts w:hint="default" w:ascii="Times New Roman" w:hAnsi="Times New Roman" w:eastAsia="楷体" w:cs="Times New Roman"/>
                                <w:b/>
                                <w:bCs/>
                                <w:color w:val="FF0000"/>
                                <w:lang w:val="en-US" w:eastAsia="zh-CN"/>
                              </w:rPr>
                            </w:pPr>
                            <w:r>
                              <w:rPr>
                                <w:rFonts w:hint="default" w:ascii="Times New Roman" w:hAnsi="Times New Roman" w:eastAsia="楷体" w:cs="Times New Roman"/>
                                <w:b/>
                                <w:bCs/>
                                <w:color w:val="FF0000"/>
                                <w:lang w:val="en-US" w:eastAsia="zh-CN"/>
                              </w:rPr>
                              <w:t>G1</w:t>
                            </w:r>
                          </w:p>
                        </w:txbxContent>
                      </v:textbox>
                    </v:shape>
                  </w:pict>
                </mc:Fallback>
              </mc:AlternateContent>
            </w:r>
            <w:r>
              <w:rPr>
                <w:color w:val="auto"/>
                <w:sz w:val="21"/>
              </w:rPr>
              <mc:AlternateContent>
                <mc:Choice Requires="wps">
                  <w:drawing>
                    <wp:anchor distT="0" distB="0" distL="114300" distR="114300" simplePos="0" relativeHeight="251663360" behindDoc="0" locked="0" layoutInCell="1" allowOverlap="1">
                      <wp:simplePos x="0" y="0"/>
                      <wp:positionH relativeFrom="column">
                        <wp:posOffset>3432810</wp:posOffset>
                      </wp:positionH>
                      <wp:positionV relativeFrom="paragraph">
                        <wp:posOffset>3248660</wp:posOffset>
                      </wp:positionV>
                      <wp:extent cx="1170940" cy="27559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170940" cy="275590"/>
                              </a:xfrm>
                              <a:prstGeom prst="rect">
                                <a:avLst/>
                              </a:prstGeom>
                              <a:noFill/>
                              <a:ln>
                                <a:noFill/>
                              </a:ln>
                            </wps:spPr>
                            <wps:txbx>
                              <w:txbxContent>
                                <w:p w14:paraId="66634E6C">
                                  <w:pPr>
                                    <w:jc w:val="center"/>
                                    <w:rPr>
                                      <w:rFonts w:hint="eastAsia" w:ascii="楷体" w:hAnsi="楷体" w:eastAsia="楷体" w:cs="楷体"/>
                                      <w:b/>
                                      <w:bCs/>
                                      <w:color w:val="FF0000"/>
                                      <w:lang w:val="en-US" w:eastAsia="zh-CN"/>
                                    </w:rPr>
                                  </w:pPr>
                                  <w:r>
                                    <w:rPr>
                                      <w:rFonts w:hint="eastAsia" w:ascii="楷体" w:hAnsi="楷体" w:eastAsia="楷体" w:cs="楷体"/>
                                      <w:b/>
                                      <w:bCs/>
                                      <w:color w:val="FF0000"/>
                                      <w:lang w:val="en-US" w:eastAsia="zh-CN"/>
                                    </w:rPr>
                                    <w:t>本项目所在地</w:t>
                                  </w:r>
                                </w:p>
                              </w:txbxContent>
                            </wps:txbx>
                            <wps:bodyPr upright="1"/>
                          </wps:wsp>
                        </a:graphicData>
                      </a:graphic>
                    </wp:anchor>
                  </w:drawing>
                </mc:Choice>
                <mc:Fallback>
                  <w:pict>
                    <v:shape id="_x0000_s1026" o:spid="_x0000_s1026" o:spt="202" type="#_x0000_t202" style="position:absolute;left:0pt;margin-left:270.3pt;margin-top:255.8pt;height:21.7pt;width:92.2pt;z-index:251663360;mso-width-relative:page;mso-height-relative:page;" filled="f" stroked="f" coordsize="21600,21600" o:gfxdata="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KtzZE1gAA&#10;AAsBAAAPAAAAAAAAAAEAIAAAACIAAABkcnMvZG93bnJldi54bWxQSwECFAAUAAAACACHTuJADKZ3&#10;r64BAABQAwAADgAAAAAAAAABACAAAAAlAQAAZHJzL2Uyb0RvYy54bWxQSwUGAAAAAAYABgBZAQAA&#10;RQUAAAAA&#10;">
                      <v:fill on="f" focussize="0,0"/>
                      <v:stroke on="f"/>
                      <v:imagedata o:title=""/>
                      <o:lock v:ext="edit" aspectratio="f"/>
                      <v:textbox>
                        <w:txbxContent>
                          <w:p w14:paraId="66634E6C">
                            <w:pPr>
                              <w:jc w:val="center"/>
                              <w:rPr>
                                <w:rFonts w:hint="eastAsia" w:ascii="楷体" w:hAnsi="楷体" w:eastAsia="楷体" w:cs="楷体"/>
                                <w:b/>
                                <w:bCs/>
                                <w:color w:val="FF0000"/>
                                <w:lang w:val="en-US" w:eastAsia="zh-CN"/>
                              </w:rPr>
                            </w:pPr>
                            <w:r>
                              <w:rPr>
                                <w:rFonts w:hint="eastAsia" w:ascii="楷体" w:hAnsi="楷体" w:eastAsia="楷体" w:cs="楷体"/>
                                <w:b/>
                                <w:bCs/>
                                <w:color w:val="FF0000"/>
                                <w:lang w:val="en-US" w:eastAsia="zh-CN"/>
                              </w:rPr>
                              <w:t>本项目所在地</w:t>
                            </w:r>
                          </w:p>
                        </w:txbxContent>
                      </v:textbox>
                    </v:shape>
                  </w:pict>
                </mc:Fallback>
              </mc:AlternateContent>
            </w:r>
            <w:r>
              <w:rPr>
                <w:color w:val="auto"/>
                <w:sz w:val="21"/>
              </w:rPr>
              <mc:AlternateContent>
                <mc:Choice Requires="wps">
                  <w:drawing>
                    <wp:anchor distT="0" distB="0" distL="114300" distR="114300" simplePos="0" relativeHeight="251662336" behindDoc="0" locked="0" layoutInCell="1" allowOverlap="1">
                      <wp:simplePos x="0" y="0"/>
                      <wp:positionH relativeFrom="column">
                        <wp:posOffset>2089785</wp:posOffset>
                      </wp:positionH>
                      <wp:positionV relativeFrom="paragraph">
                        <wp:posOffset>657225</wp:posOffset>
                      </wp:positionV>
                      <wp:extent cx="1238250" cy="2714625"/>
                      <wp:effectExtent l="9525" t="0" r="9525" b="9525"/>
                      <wp:wrapNone/>
                      <wp:docPr id="19" name="直接连接符 19"/>
                      <wp:cNvGraphicFramePr/>
                      <a:graphic xmlns:a="http://schemas.openxmlformats.org/drawingml/2006/main">
                        <a:graphicData uri="http://schemas.microsoft.com/office/word/2010/wordprocessingShape">
                          <wps:wsp>
                            <wps:cNvCnPr/>
                            <wps:spPr>
                              <a:xfrm>
                                <a:off x="0" y="0"/>
                                <a:ext cx="1238250" cy="2714625"/>
                              </a:xfrm>
                              <a:prstGeom prst="line">
                                <a:avLst/>
                              </a:prstGeom>
                              <a:ln w="9525" cap="flat" cmpd="sng">
                                <a:solidFill>
                                  <a:srgbClr val="FF0000"/>
                                </a:solidFill>
                                <a:prstDash val="solid"/>
                                <a:headEnd type="arrow" w="med" len="med"/>
                                <a:tailEnd type="arrow" w="med" len="med"/>
                              </a:ln>
                            </wps:spPr>
                            <wps:bodyPr upright="1"/>
                          </wps:wsp>
                        </a:graphicData>
                      </a:graphic>
                    </wp:anchor>
                  </w:drawing>
                </mc:Choice>
                <mc:Fallback>
                  <w:pict>
                    <v:line id="_x0000_s1026" o:spid="_x0000_s1026" o:spt="20" style="position:absolute;left:0pt;margin-left:164.55pt;margin-top:51.75pt;height:213.75pt;width:97.5pt;z-index:251662336;mso-width-relative:page;mso-height-relative:page;" filled="f" stroked="t" coordsize="21600,21600" o:gfxdata="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zYyC/2AAAAAsBAAAPAAAAAAAAAAEAIAAAACIAAABkcnMvZG93bnJl&#10;di54bWxQSwECFAAUAAAACACHTuJAbBclC/0BAADuAwAADgAAAAAAAAABACAAAAAnAQAAZHJzL2Uy&#10;b0RvYy54bWxQSwUGAAAAAAYABgBZAQAAlgUAAAAA&#10;">
                      <v:fill on="f" focussize="0,0"/>
                      <v:stroke color="#FF0000" joinstyle="round" startarrow="open" endarrow="open"/>
                      <v:imagedata o:title=""/>
                      <o:lock v:ext="edit" aspectratio="f"/>
                    </v:line>
                  </w:pict>
                </mc:Fallback>
              </mc:AlternateContent>
            </w:r>
            <w:r>
              <w:rPr>
                <w:color w:val="auto"/>
                <w:sz w:val="21"/>
              </w:rPr>
              <mc:AlternateContent>
                <mc:Choice Requires="wps">
                  <w:drawing>
                    <wp:anchor distT="0" distB="0" distL="114300" distR="114300" simplePos="0" relativeHeight="251661312" behindDoc="0" locked="0" layoutInCell="1" allowOverlap="1">
                      <wp:simplePos x="0" y="0"/>
                      <wp:positionH relativeFrom="column">
                        <wp:posOffset>2023110</wp:posOffset>
                      </wp:positionH>
                      <wp:positionV relativeFrom="paragraph">
                        <wp:posOffset>581025</wp:posOffset>
                      </wp:positionV>
                      <wp:extent cx="95250" cy="76200"/>
                      <wp:effectExtent l="4445" t="4445" r="14605" b="14605"/>
                      <wp:wrapNone/>
                      <wp:docPr id="18" name="椭圆 18"/>
                      <wp:cNvGraphicFramePr/>
                      <a:graphic xmlns:a="http://schemas.openxmlformats.org/drawingml/2006/main">
                        <a:graphicData uri="http://schemas.microsoft.com/office/word/2010/wordprocessingShape">
                          <wps:wsp>
                            <wps:cNvSpPr/>
                            <wps:spPr>
                              <a:xfrm>
                                <a:off x="0" y="0"/>
                                <a:ext cx="95250" cy="76200"/>
                              </a:xfrm>
                              <a:prstGeom prst="ellipse">
                                <a:avLst/>
                              </a:prstGeom>
                              <a:solidFill>
                                <a:srgbClr val="FF0000"/>
                              </a:solidFill>
                              <a:ln w="9525" cap="flat" cmpd="sng">
                                <a:solidFill>
                                  <a:srgbClr val="FF0000"/>
                                </a:solidFill>
                                <a:prstDash val="solid"/>
                                <a:headEnd type="none" w="med" len="med"/>
                                <a:tailEnd type="none" w="med" len="med"/>
                              </a:ln>
                            </wps:spPr>
                            <wps:bodyPr upright="1"/>
                          </wps:wsp>
                        </a:graphicData>
                      </a:graphic>
                    </wp:anchor>
                  </w:drawing>
                </mc:Choice>
                <mc:Fallback>
                  <w:pict>
                    <v:shape id="_x0000_s1026" o:spid="_x0000_s1026" o:spt="3" type="#_x0000_t3" style="position:absolute;left:0pt;margin-left:159.3pt;margin-top:45.75pt;height:6pt;width:7.5pt;z-index:251661312;mso-width-relative:page;mso-height-relative:page;" fillcolor="#FF0000" filled="t" stroked="t" coordsize="21600,21600" o:gfxdata="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iqewR1wAAAAoBAAAPAAAAAAAAAAEAIAAAACIAAABkcnMvZG93bnJldi54bWxQSwECFAAUAAAA&#10;CACHTuJA0Q+lpO8BAAAWBAAADgAAAAAAAAABACAAAAAmAQAAZHJzL2Uyb0RvYy54bWxQSwUGAAAA&#10;AAYABgBZAQAAhwUAAAAA&#10;">
                      <v:fill on="t" focussize="0,0"/>
                      <v:stroke color="#FF0000" joinstyle="round"/>
                      <v:imagedata o:title=""/>
                      <o:lock v:ext="edit" aspectratio="f"/>
                    </v:shape>
                  </w:pict>
                </mc:Fallback>
              </mc:AlternateContent>
            </w:r>
            <w:r>
              <w:rPr>
                <w:color w:val="auto"/>
                <w:sz w:val="21"/>
              </w:rPr>
              <mc:AlternateContent>
                <mc:Choice Requires="wps">
                  <w:drawing>
                    <wp:anchor distT="0" distB="0" distL="114300" distR="114300" simplePos="0" relativeHeight="251660288" behindDoc="0" locked="0" layoutInCell="1" allowOverlap="1">
                      <wp:simplePos x="0" y="0"/>
                      <wp:positionH relativeFrom="column">
                        <wp:posOffset>3328035</wp:posOffset>
                      </wp:positionH>
                      <wp:positionV relativeFrom="paragraph">
                        <wp:posOffset>3400425</wp:posOffset>
                      </wp:positionV>
                      <wp:extent cx="95250" cy="76200"/>
                      <wp:effectExtent l="4445" t="4445" r="14605" b="14605"/>
                      <wp:wrapNone/>
                      <wp:docPr id="17" name="椭圆 17"/>
                      <wp:cNvGraphicFramePr/>
                      <a:graphic xmlns:a="http://schemas.openxmlformats.org/drawingml/2006/main">
                        <a:graphicData uri="http://schemas.microsoft.com/office/word/2010/wordprocessingShape">
                          <wps:wsp>
                            <wps:cNvSpPr/>
                            <wps:spPr>
                              <a:xfrm>
                                <a:off x="0" y="0"/>
                                <a:ext cx="95250" cy="76200"/>
                              </a:xfrm>
                              <a:prstGeom prst="ellipse">
                                <a:avLst/>
                              </a:prstGeom>
                              <a:solidFill>
                                <a:srgbClr val="FF0000"/>
                              </a:solidFill>
                              <a:ln w="9525" cap="flat" cmpd="sng">
                                <a:solidFill>
                                  <a:srgbClr val="FF0000"/>
                                </a:solidFill>
                                <a:prstDash val="solid"/>
                                <a:headEnd type="none" w="med" len="med"/>
                                <a:tailEnd type="none" w="med" len="med"/>
                              </a:ln>
                            </wps:spPr>
                            <wps:bodyPr upright="1"/>
                          </wps:wsp>
                        </a:graphicData>
                      </a:graphic>
                    </wp:anchor>
                  </w:drawing>
                </mc:Choice>
                <mc:Fallback>
                  <w:pict>
                    <v:shape id="_x0000_s1026" o:spid="_x0000_s1026" o:spt="3" type="#_x0000_t3" style="position:absolute;left:0pt;margin-left:262.05pt;margin-top:267.75pt;height:6pt;width:7.5pt;z-index:251660288;mso-width-relative:page;mso-height-relative:page;" fillcolor="#FF0000" filled="t" stroked="t" coordsize="21600,21600" o:gfxdata="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EUvkLfYAAAACwEAAA8AAAAAAAAAAQAgAAAAIgAAAGRycy9kb3ducmV2LnhtbFBLAQIUABQA&#10;AAAIAIdO4kCTEA+Q8AEAABYEAAAOAAAAAAAAAAEAIAAAACcBAABkcnMvZTJvRG9jLnhtbFBLBQYA&#10;AAAABgAGAFkBAACJBQAAAAA=&#10;">
                      <v:fill on="t" focussize="0,0"/>
                      <v:stroke color="#FF0000" joinstyle="round"/>
                      <v:imagedata o:title=""/>
                      <o:lock v:ext="edit" aspectratio="f"/>
                    </v:shape>
                  </w:pict>
                </mc:Fallback>
              </mc:AlternateContent>
            </w:r>
            <w:r>
              <w:rPr>
                <w:color w:val="auto"/>
              </w:rPr>
              <w:drawing>
                <wp:inline distT="0" distB="0" distL="114300" distR="114300">
                  <wp:extent cx="5268595" cy="3534410"/>
                  <wp:effectExtent l="0" t="0" r="8255" b="8890"/>
                  <wp:docPr id="1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8"/>
                          <pic:cNvPicPr>
                            <a:picLocks noChangeAspect="1"/>
                          </pic:cNvPicPr>
                        </pic:nvPicPr>
                        <pic:blipFill>
                          <a:blip r:embed="rId20"/>
                          <a:stretch>
                            <a:fillRect/>
                          </a:stretch>
                        </pic:blipFill>
                        <pic:spPr>
                          <a:xfrm>
                            <a:off x="0" y="0"/>
                            <a:ext cx="5268595" cy="3534410"/>
                          </a:xfrm>
                          <a:prstGeom prst="rect">
                            <a:avLst/>
                          </a:prstGeom>
                          <a:noFill/>
                          <a:ln>
                            <a:noFill/>
                          </a:ln>
                        </pic:spPr>
                      </pic:pic>
                    </a:graphicData>
                  </a:graphic>
                </wp:inline>
              </w:drawing>
            </w:r>
          </w:p>
          <w:p w14:paraId="51B4E170">
            <w:pPr>
              <w:pStyle w:val="663"/>
              <w:spacing w:line="360" w:lineRule="auto"/>
              <w:rPr>
                <w:color w:val="auto"/>
              </w:rPr>
            </w:pPr>
            <w:r>
              <w:rPr>
                <w:color w:val="auto"/>
              </w:rPr>
              <w:t xml:space="preserve">图3-1  </w:t>
            </w:r>
            <w:r>
              <w:rPr>
                <w:rFonts w:hint="eastAsia"/>
                <w:color w:val="auto"/>
              </w:rPr>
              <w:t xml:space="preserve"> </w:t>
            </w:r>
            <w:r>
              <w:rPr>
                <w:color w:val="auto"/>
              </w:rPr>
              <w:t>环境</w:t>
            </w:r>
            <w:r>
              <w:rPr>
                <w:rFonts w:hint="eastAsia"/>
                <w:color w:val="auto"/>
              </w:rPr>
              <w:t>空气</w:t>
            </w:r>
            <w:r>
              <w:rPr>
                <w:color w:val="auto"/>
              </w:rPr>
              <w:t>质量现状监测</w:t>
            </w:r>
            <w:r>
              <w:rPr>
                <w:rFonts w:hint="eastAsia"/>
                <w:color w:val="auto"/>
              </w:rPr>
              <w:t>引用</w:t>
            </w:r>
            <w:r>
              <w:rPr>
                <w:color w:val="auto"/>
              </w:rPr>
              <w:t>点位图</w:t>
            </w:r>
          </w:p>
          <w:p w14:paraId="7AD4587F">
            <w:pPr>
              <w:widowControl/>
              <w:adjustRightInd w:val="0"/>
              <w:snapToGrid w:val="0"/>
              <w:spacing w:line="360" w:lineRule="auto"/>
              <w:ind w:firstLine="420" w:firstLineChars="200"/>
              <w:jc w:val="left"/>
              <w:rPr>
                <w:rFonts w:cs="宋体"/>
                <w:color w:val="auto"/>
                <w:kern w:val="0"/>
                <w:lang w:bidi="ar"/>
              </w:rPr>
            </w:pPr>
            <w:r>
              <w:rPr>
                <w:rFonts w:hint="eastAsia" w:cs="宋体"/>
                <w:color w:val="auto"/>
                <w:kern w:val="0"/>
                <w:lang w:bidi="ar"/>
              </w:rPr>
              <w:t>本项目现状监测结果见表</w:t>
            </w:r>
            <w:r>
              <w:rPr>
                <w:color w:val="auto"/>
                <w:kern w:val="0"/>
                <w:lang w:bidi="ar"/>
              </w:rPr>
              <w:t>3-</w:t>
            </w:r>
            <w:r>
              <w:rPr>
                <w:rFonts w:hint="eastAsia"/>
                <w:color w:val="auto"/>
                <w:kern w:val="0"/>
                <w:lang w:bidi="ar"/>
              </w:rPr>
              <w:t>2</w:t>
            </w:r>
            <w:r>
              <w:rPr>
                <w:rFonts w:hint="eastAsia" w:cs="宋体"/>
                <w:color w:val="auto"/>
                <w:kern w:val="0"/>
                <w:lang w:bidi="ar"/>
              </w:rPr>
              <w:t>。</w:t>
            </w:r>
          </w:p>
          <w:p w14:paraId="08D108A6">
            <w:pPr>
              <w:pStyle w:val="23"/>
              <w:spacing w:line="240" w:lineRule="auto"/>
              <w:jc w:val="center"/>
              <w:rPr>
                <w:b/>
                <w:bCs/>
                <w:color w:val="auto"/>
                <w:sz w:val="21"/>
                <w:szCs w:val="21"/>
              </w:rPr>
            </w:pPr>
            <w:r>
              <w:rPr>
                <w:rFonts w:hint="eastAsia"/>
                <w:b/>
                <w:bCs/>
                <w:color w:val="auto"/>
                <w:sz w:val="21"/>
                <w:szCs w:val="21"/>
              </w:rPr>
              <w:t>表3-2   大气监测结果分析表</w:t>
            </w:r>
          </w:p>
          <w:tbl>
            <w:tblPr>
              <w:tblStyle w:val="59"/>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64"/>
              <w:gridCol w:w="882"/>
              <w:gridCol w:w="897"/>
              <w:gridCol w:w="1302"/>
              <w:gridCol w:w="1115"/>
              <w:gridCol w:w="939"/>
              <w:gridCol w:w="1122"/>
              <w:gridCol w:w="803"/>
            </w:tblGrid>
            <w:tr w14:paraId="6584F6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1" w:hRule="atLeast"/>
                <w:jc w:val="center"/>
              </w:trPr>
              <w:tc>
                <w:tcPr>
                  <w:tcW w:w="953" w:type="pct"/>
                  <w:vAlign w:val="center"/>
                </w:tcPr>
                <w:p w14:paraId="5C04C571">
                  <w:pPr>
                    <w:adjustRightInd w:val="0"/>
                    <w:snapToGrid w:val="0"/>
                    <w:jc w:val="center"/>
                    <w:rPr>
                      <w:b/>
                      <w:iCs/>
                      <w:color w:val="auto"/>
                    </w:rPr>
                  </w:pPr>
                  <w:r>
                    <w:rPr>
                      <w:b/>
                      <w:iCs/>
                      <w:color w:val="auto"/>
                    </w:rPr>
                    <w:t>监测点位</w:t>
                  </w:r>
                </w:p>
              </w:tc>
              <w:tc>
                <w:tcPr>
                  <w:tcW w:w="506" w:type="pct"/>
                  <w:vAlign w:val="center"/>
                </w:tcPr>
                <w:p w14:paraId="4A9147F6">
                  <w:pPr>
                    <w:adjustRightInd w:val="0"/>
                    <w:snapToGrid w:val="0"/>
                    <w:jc w:val="center"/>
                    <w:rPr>
                      <w:b/>
                      <w:iCs/>
                      <w:color w:val="auto"/>
                    </w:rPr>
                  </w:pPr>
                  <w:r>
                    <w:rPr>
                      <w:rFonts w:hint="eastAsia"/>
                      <w:b/>
                      <w:iCs/>
                      <w:color w:val="auto"/>
                    </w:rPr>
                    <w:t>方位及距离</w:t>
                  </w:r>
                </w:p>
              </w:tc>
              <w:tc>
                <w:tcPr>
                  <w:tcW w:w="514" w:type="pct"/>
                  <w:vAlign w:val="center"/>
                </w:tcPr>
                <w:p w14:paraId="08114B32">
                  <w:pPr>
                    <w:adjustRightInd w:val="0"/>
                    <w:snapToGrid w:val="0"/>
                    <w:jc w:val="center"/>
                    <w:rPr>
                      <w:b/>
                      <w:iCs/>
                      <w:color w:val="auto"/>
                    </w:rPr>
                  </w:pPr>
                  <w:r>
                    <w:rPr>
                      <w:rFonts w:hint="eastAsia"/>
                      <w:b/>
                      <w:iCs/>
                      <w:color w:val="auto"/>
                    </w:rPr>
                    <w:t>监测因子</w:t>
                  </w:r>
                </w:p>
              </w:tc>
              <w:tc>
                <w:tcPr>
                  <w:tcW w:w="745" w:type="pct"/>
                  <w:vAlign w:val="center"/>
                </w:tcPr>
                <w:p w14:paraId="005876A8">
                  <w:pPr>
                    <w:adjustRightInd w:val="0"/>
                    <w:snapToGrid w:val="0"/>
                    <w:jc w:val="center"/>
                    <w:rPr>
                      <w:b/>
                      <w:iCs/>
                      <w:color w:val="auto"/>
                    </w:rPr>
                  </w:pPr>
                  <w:r>
                    <w:rPr>
                      <w:b/>
                      <w:iCs/>
                      <w:color w:val="auto"/>
                    </w:rPr>
                    <w:t>监测浓度范围</w:t>
                  </w:r>
                  <w:r>
                    <w:rPr>
                      <w:b/>
                      <w:color w:val="auto"/>
                    </w:rPr>
                    <w:t>mg/m</w:t>
                  </w:r>
                  <w:r>
                    <w:rPr>
                      <w:b/>
                      <w:color w:val="auto"/>
                      <w:vertAlign w:val="superscript"/>
                    </w:rPr>
                    <w:t>3</w:t>
                  </w:r>
                </w:p>
              </w:tc>
              <w:tc>
                <w:tcPr>
                  <w:tcW w:w="638" w:type="pct"/>
                  <w:vAlign w:val="center"/>
                </w:tcPr>
                <w:p w14:paraId="6EC35E03">
                  <w:pPr>
                    <w:adjustRightInd w:val="0"/>
                    <w:snapToGrid w:val="0"/>
                    <w:jc w:val="center"/>
                    <w:rPr>
                      <w:b/>
                      <w:iCs/>
                      <w:color w:val="auto"/>
                    </w:rPr>
                  </w:pPr>
                  <w:r>
                    <w:rPr>
                      <w:rFonts w:hint="eastAsia"/>
                      <w:b/>
                      <w:iCs/>
                      <w:color w:val="auto"/>
                    </w:rPr>
                    <w:t>最大浓度</w:t>
                  </w:r>
                  <w:r>
                    <w:rPr>
                      <w:b/>
                      <w:iCs/>
                      <w:color w:val="auto"/>
                    </w:rPr>
                    <w:t>占标率%</w:t>
                  </w:r>
                </w:p>
              </w:tc>
              <w:tc>
                <w:tcPr>
                  <w:tcW w:w="538" w:type="pct"/>
                  <w:vAlign w:val="center"/>
                </w:tcPr>
                <w:p w14:paraId="5249F5F8">
                  <w:pPr>
                    <w:adjustRightInd w:val="0"/>
                    <w:snapToGrid w:val="0"/>
                    <w:jc w:val="center"/>
                    <w:rPr>
                      <w:b/>
                      <w:iCs/>
                      <w:color w:val="auto"/>
                    </w:rPr>
                  </w:pPr>
                  <w:r>
                    <w:rPr>
                      <w:b/>
                      <w:iCs/>
                      <w:color w:val="auto"/>
                    </w:rPr>
                    <w:t>超标率%</w:t>
                  </w:r>
                </w:p>
              </w:tc>
              <w:tc>
                <w:tcPr>
                  <w:tcW w:w="642" w:type="pct"/>
                  <w:vAlign w:val="center"/>
                </w:tcPr>
                <w:p w14:paraId="537E336A">
                  <w:pPr>
                    <w:adjustRightInd w:val="0"/>
                    <w:snapToGrid w:val="0"/>
                    <w:jc w:val="center"/>
                    <w:rPr>
                      <w:b/>
                      <w:iCs/>
                      <w:color w:val="auto"/>
                    </w:rPr>
                  </w:pPr>
                  <w:r>
                    <w:rPr>
                      <w:b/>
                      <w:iCs/>
                      <w:color w:val="auto"/>
                    </w:rPr>
                    <w:t>评价标准</w:t>
                  </w:r>
                  <w:r>
                    <w:rPr>
                      <w:b/>
                      <w:color w:val="auto"/>
                    </w:rPr>
                    <w:t>mg/m</w:t>
                  </w:r>
                  <w:r>
                    <w:rPr>
                      <w:b/>
                      <w:color w:val="auto"/>
                      <w:vertAlign w:val="superscript"/>
                    </w:rPr>
                    <w:t>3</w:t>
                  </w:r>
                </w:p>
              </w:tc>
              <w:tc>
                <w:tcPr>
                  <w:tcW w:w="460" w:type="pct"/>
                  <w:vAlign w:val="center"/>
                </w:tcPr>
                <w:p w14:paraId="221EBDCD">
                  <w:pPr>
                    <w:adjustRightInd w:val="0"/>
                    <w:snapToGrid w:val="0"/>
                    <w:jc w:val="center"/>
                    <w:rPr>
                      <w:b/>
                      <w:iCs/>
                      <w:color w:val="auto"/>
                    </w:rPr>
                  </w:pPr>
                  <w:r>
                    <w:rPr>
                      <w:b/>
                      <w:iCs/>
                      <w:color w:val="auto"/>
                    </w:rPr>
                    <w:t>达标情况</w:t>
                  </w:r>
                </w:p>
              </w:tc>
            </w:tr>
            <w:tr w14:paraId="70A5EC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53" w:type="pct"/>
                  <w:vAlign w:val="center"/>
                </w:tcPr>
                <w:p w14:paraId="051C888D">
                  <w:pPr>
                    <w:adjustRightInd w:val="0"/>
                    <w:snapToGrid w:val="0"/>
                    <w:jc w:val="center"/>
                    <w:rPr>
                      <w:iCs/>
                      <w:color w:val="auto"/>
                    </w:rPr>
                  </w:pPr>
                  <w:r>
                    <w:rPr>
                      <w:rFonts w:hint="eastAsia"/>
                      <w:iCs/>
                      <w:color w:val="auto"/>
                    </w:rPr>
                    <w:t>G1珑庭花园</w:t>
                  </w:r>
                </w:p>
              </w:tc>
              <w:tc>
                <w:tcPr>
                  <w:tcW w:w="506" w:type="pct"/>
                  <w:vAlign w:val="center"/>
                </w:tcPr>
                <w:p w14:paraId="7D952E1C">
                  <w:pPr>
                    <w:adjustRightInd w:val="0"/>
                    <w:snapToGrid w:val="0"/>
                    <w:jc w:val="center"/>
                    <w:rPr>
                      <w:color w:val="auto"/>
                    </w:rPr>
                  </w:pPr>
                  <w:r>
                    <w:rPr>
                      <w:rFonts w:hint="eastAsia"/>
                      <w:color w:val="auto"/>
                      <w:lang w:val="en-US" w:eastAsia="zh-CN"/>
                    </w:rPr>
                    <w:t>西北</w:t>
                  </w:r>
                  <w:r>
                    <w:rPr>
                      <w:rFonts w:hint="eastAsia"/>
                      <w:color w:val="auto"/>
                    </w:rPr>
                    <w:t>侧</w:t>
                  </w:r>
                  <w:r>
                    <w:rPr>
                      <w:rFonts w:hint="eastAsia"/>
                      <w:color w:val="auto"/>
                      <w:lang w:val="en-US" w:eastAsia="zh-CN"/>
                    </w:rPr>
                    <w:t>410</w:t>
                  </w:r>
                  <w:r>
                    <w:rPr>
                      <w:rFonts w:hint="eastAsia"/>
                      <w:color w:val="auto"/>
                    </w:rPr>
                    <w:t>0</w:t>
                  </w:r>
                  <w:r>
                    <w:rPr>
                      <w:color w:val="auto"/>
                    </w:rPr>
                    <w:t>m</w:t>
                  </w:r>
                </w:p>
              </w:tc>
              <w:tc>
                <w:tcPr>
                  <w:tcW w:w="514" w:type="pct"/>
                  <w:vAlign w:val="center"/>
                </w:tcPr>
                <w:p w14:paraId="77D6C93E">
                  <w:pPr>
                    <w:adjustRightInd w:val="0"/>
                    <w:snapToGrid w:val="0"/>
                    <w:jc w:val="center"/>
                    <w:rPr>
                      <w:color w:val="auto"/>
                    </w:rPr>
                  </w:pPr>
                  <w:r>
                    <w:rPr>
                      <w:rFonts w:hint="eastAsia"/>
                      <w:color w:val="auto"/>
                    </w:rPr>
                    <w:t>非甲烷总烃</w:t>
                  </w:r>
                </w:p>
              </w:tc>
              <w:tc>
                <w:tcPr>
                  <w:tcW w:w="745" w:type="pct"/>
                  <w:vAlign w:val="center"/>
                </w:tcPr>
                <w:p w14:paraId="6CC442AB">
                  <w:pPr>
                    <w:adjustRightInd w:val="0"/>
                    <w:snapToGrid w:val="0"/>
                    <w:jc w:val="center"/>
                    <w:rPr>
                      <w:rFonts w:hint="default" w:eastAsia="宋体"/>
                      <w:color w:val="auto"/>
                      <w:lang w:val="en-US" w:eastAsia="zh-CN"/>
                    </w:rPr>
                  </w:pPr>
                  <w:r>
                    <w:rPr>
                      <w:rFonts w:hint="eastAsia"/>
                      <w:color w:val="auto"/>
                    </w:rPr>
                    <w:t>0.</w:t>
                  </w:r>
                  <w:r>
                    <w:rPr>
                      <w:rFonts w:hint="eastAsia"/>
                      <w:color w:val="auto"/>
                      <w:lang w:val="en-US" w:eastAsia="zh-CN"/>
                    </w:rPr>
                    <w:t>73</w:t>
                  </w:r>
                  <w:r>
                    <w:rPr>
                      <w:color w:val="auto"/>
                    </w:rPr>
                    <w:t>-</w:t>
                  </w:r>
                  <w:r>
                    <w:rPr>
                      <w:rFonts w:hint="eastAsia"/>
                      <w:color w:val="auto"/>
                    </w:rPr>
                    <w:t>0.</w:t>
                  </w:r>
                  <w:r>
                    <w:rPr>
                      <w:rFonts w:hint="eastAsia"/>
                      <w:color w:val="auto"/>
                      <w:lang w:val="en-US" w:eastAsia="zh-CN"/>
                    </w:rPr>
                    <w:t>90</w:t>
                  </w:r>
                </w:p>
              </w:tc>
              <w:tc>
                <w:tcPr>
                  <w:tcW w:w="638" w:type="pct"/>
                  <w:vAlign w:val="center"/>
                </w:tcPr>
                <w:p w14:paraId="38FB9812">
                  <w:pPr>
                    <w:adjustRightInd w:val="0"/>
                    <w:snapToGrid w:val="0"/>
                    <w:jc w:val="center"/>
                    <w:rPr>
                      <w:rFonts w:hint="default" w:eastAsia="宋体"/>
                      <w:color w:val="auto"/>
                      <w:lang w:val="en-US" w:eastAsia="zh-CN"/>
                    </w:rPr>
                  </w:pPr>
                  <w:r>
                    <w:rPr>
                      <w:rFonts w:hint="eastAsia"/>
                      <w:color w:val="auto"/>
                      <w:lang w:val="en-US" w:eastAsia="zh-CN"/>
                    </w:rPr>
                    <w:t>45</w:t>
                  </w:r>
                </w:p>
              </w:tc>
              <w:tc>
                <w:tcPr>
                  <w:tcW w:w="538" w:type="pct"/>
                  <w:vAlign w:val="center"/>
                </w:tcPr>
                <w:p w14:paraId="7CA4713C">
                  <w:pPr>
                    <w:adjustRightInd w:val="0"/>
                    <w:snapToGrid w:val="0"/>
                    <w:jc w:val="center"/>
                    <w:rPr>
                      <w:color w:val="auto"/>
                    </w:rPr>
                  </w:pPr>
                  <w:r>
                    <w:rPr>
                      <w:color w:val="auto"/>
                    </w:rPr>
                    <w:t>0</w:t>
                  </w:r>
                </w:p>
              </w:tc>
              <w:tc>
                <w:tcPr>
                  <w:tcW w:w="642" w:type="pct"/>
                  <w:vAlign w:val="center"/>
                </w:tcPr>
                <w:p w14:paraId="74E517E9">
                  <w:pPr>
                    <w:adjustRightInd w:val="0"/>
                    <w:snapToGrid w:val="0"/>
                    <w:jc w:val="center"/>
                    <w:rPr>
                      <w:color w:val="auto"/>
                    </w:rPr>
                  </w:pPr>
                  <w:r>
                    <w:rPr>
                      <w:color w:val="auto"/>
                    </w:rPr>
                    <w:t>2.0</w:t>
                  </w:r>
                </w:p>
              </w:tc>
              <w:tc>
                <w:tcPr>
                  <w:tcW w:w="460" w:type="pct"/>
                  <w:vAlign w:val="center"/>
                </w:tcPr>
                <w:p w14:paraId="002A67F1">
                  <w:pPr>
                    <w:adjustRightInd w:val="0"/>
                    <w:snapToGrid w:val="0"/>
                    <w:jc w:val="center"/>
                    <w:rPr>
                      <w:color w:val="auto"/>
                    </w:rPr>
                  </w:pPr>
                  <w:r>
                    <w:rPr>
                      <w:color w:val="auto"/>
                    </w:rPr>
                    <w:t>达标</w:t>
                  </w:r>
                </w:p>
              </w:tc>
            </w:tr>
          </w:tbl>
          <w:p w14:paraId="025CF214">
            <w:pPr>
              <w:adjustRightInd w:val="0"/>
              <w:snapToGrid w:val="0"/>
              <w:spacing w:line="360" w:lineRule="auto"/>
              <w:ind w:firstLine="420" w:firstLineChars="200"/>
              <w:rPr>
                <w:b/>
                <w:color w:val="auto"/>
                <w:kern w:val="0"/>
              </w:rPr>
            </w:pPr>
            <w:r>
              <w:rPr>
                <w:rFonts w:hint="eastAsia" w:cs="宋体"/>
                <w:color w:val="auto"/>
                <w:kern w:val="0"/>
                <w:lang w:bidi="ar"/>
              </w:rPr>
              <w:t>从上表可知，评价区内监测点位非甲烷总烃的小时浓度值能达到《大气污染物综合排放标准详解》（中国环境科学出版社</w:t>
            </w:r>
            <w:r>
              <w:rPr>
                <w:color w:val="auto"/>
                <w:kern w:val="0"/>
                <w:lang w:bidi="ar"/>
              </w:rPr>
              <w:t>1996</w:t>
            </w:r>
            <w:r>
              <w:rPr>
                <w:rFonts w:hint="eastAsia" w:cs="宋体"/>
                <w:color w:val="auto"/>
                <w:kern w:val="0"/>
                <w:lang w:bidi="ar"/>
              </w:rPr>
              <w:t>年）中</w:t>
            </w:r>
            <w:r>
              <w:rPr>
                <w:color w:val="auto"/>
                <w:kern w:val="0"/>
                <w:lang w:bidi="ar"/>
              </w:rPr>
              <w:t>2.0</w:t>
            </w:r>
            <w:r>
              <w:rPr>
                <w:rFonts w:hint="eastAsia"/>
                <w:color w:val="auto"/>
                <w:kern w:val="0"/>
                <w:lang w:bidi="ar"/>
              </w:rPr>
              <w:t>mg/m</w:t>
            </w:r>
            <w:r>
              <w:rPr>
                <w:color w:val="auto"/>
                <w:kern w:val="0"/>
                <w:lang w:bidi="ar"/>
              </w:rPr>
              <w:t>³</w:t>
            </w:r>
            <w:r>
              <w:rPr>
                <w:rFonts w:hint="eastAsia" w:cs="宋体"/>
                <w:color w:val="auto"/>
                <w:kern w:val="0"/>
                <w:lang w:bidi="ar"/>
              </w:rPr>
              <w:t>标准限值。</w:t>
            </w:r>
          </w:p>
          <w:p w14:paraId="22CAA89E">
            <w:pPr>
              <w:spacing w:line="360" w:lineRule="auto"/>
              <w:ind w:firstLine="413" w:firstLineChars="196"/>
              <w:rPr>
                <w:b/>
                <w:bCs/>
                <w:color w:val="auto"/>
                <w:kern w:val="0"/>
              </w:rPr>
            </w:pPr>
            <w:r>
              <w:rPr>
                <w:rFonts w:hint="eastAsia"/>
                <w:b/>
                <w:bCs/>
                <w:color w:val="auto"/>
                <w:kern w:val="0"/>
              </w:rPr>
              <w:t>（3）大气污染防治行动方案</w:t>
            </w:r>
          </w:p>
          <w:p w14:paraId="19AAE743">
            <w:pPr>
              <w:keepNext w:val="0"/>
              <w:keepLines w:val="0"/>
              <w:pageBreakBefore w:val="0"/>
              <w:widowControl w:val="0"/>
              <w:kinsoku/>
              <w:wordWrap/>
              <w:overflowPunct/>
              <w:topLinePunct w:val="0"/>
              <w:bidi w:val="0"/>
              <w:adjustRightInd w:val="0"/>
              <w:snapToGrid w:val="0"/>
              <w:spacing w:line="360" w:lineRule="auto"/>
              <w:ind w:firstLine="420" w:firstLineChars="200"/>
              <w:jc w:val="both"/>
              <w:textAlignment w:val="auto"/>
              <w:rPr>
                <w:rFonts w:hint="eastAsia"/>
                <w:color w:val="auto"/>
                <w:kern w:val="0"/>
                <w:sz w:val="21"/>
              </w:rPr>
            </w:pPr>
            <w:r>
              <w:rPr>
                <w:rFonts w:hint="eastAsia"/>
                <w:color w:val="auto"/>
                <w:kern w:val="0"/>
                <w:sz w:val="21"/>
              </w:rPr>
              <w:t>为贯彻落实《国务院关于印发&lt;空气质量持续改善行动计划&gt;的通知》（国发〔2023〕24号）和《省政府关于印发江苏省空气质量持续改善行动计划实施方案的通知》（苏政发〔2024〕53号）要求，持续深入打好蓝天保卫战，切实保障人民群众身体健康，以高水平保护支撑高质量发展，常州市人民政府制定《常州市空气质量持续改善行动计划实施方案》（常政发〔2024〕51号），方案重点任务如下：</w:t>
            </w:r>
          </w:p>
          <w:p w14:paraId="1A56C75E">
            <w:pPr>
              <w:keepNext w:val="0"/>
              <w:keepLines w:val="0"/>
              <w:pageBreakBefore w:val="0"/>
              <w:widowControl w:val="0"/>
              <w:kinsoku/>
              <w:wordWrap/>
              <w:overflowPunct/>
              <w:topLinePunct w:val="0"/>
              <w:bidi w:val="0"/>
              <w:adjustRightInd w:val="0"/>
              <w:snapToGrid w:val="0"/>
              <w:spacing w:line="360" w:lineRule="auto"/>
              <w:ind w:firstLine="420" w:firstLineChars="200"/>
              <w:jc w:val="both"/>
              <w:textAlignment w:val="auto"/>
              <w:rPr>
                <w:rFonts w:hint="eastAsia"/>
                <w:color w:val="auto"/>
                <w:kern w:val="0"/>
                <w:sz w:val="21"/>
              </w:rPr>
            </w:pPr>
            <w:r>
              <w:rPr>
                <w:rFonts w:hint="eastAsia"/>
                <w:color w:val="auto"/>
                <w:kern w:val="0"/>
                <w:sz w:val="21"/>
              </w:rPr>
              <w:t>①调整优化产业结构，推进产业绿色低碳发展：坚决遏制“两高”项目盲目发展；加快退出重点行业落后产能；中小型传统制造企业集中的辖市（区）均要制定涉气产业集群发展规划，严格项目审批，严防污染下乡；严格控制生产和使用高VOCs含量涂料、油墨、胶粘剂、清洗剂等建设项目。</w:t>
            </w:r>
          </w:p>
          <w:p w14:paraId="4DF467F9">
            <w:pPr>
              <w:keepNext w:val="0"/>
              <w:keepLines w:val="0"/>
              <w:pageBreakBefore w:val="0"/>
              <w:widowControl w:val="0"/>
              <w:kinsoku/>
              <w:wordWrap/>
              <w:overflowPunct/>
              <w:topLinePunct w:val="0"/>
              <w:bidi w:val="0"/>
              <w:adjustRightInd w:val="0"/>
              <w:snapToGrid w:val="0"/>
              <w:spacing w:line="360" w:lineRule="auto"/>
              <w:ind w:firstLine="420" w:firstLineChars="200"/>
              <w:jc w:val="both"/>
              <w:textAlignment w:val="auto"/>
              <w:rPr>
                <w:rFonts w:hint="eastAsia"/>
                <w:color w:val="auto"/>
                <w:kern w:val="0"/>
                <w:sz w:val="21"/>
              </w:rPr>
            </w:pPr>
            <w:r>
              <w:rPr>
                <w:rFonts w:hint="eastAsia"/>
                <w:color w:val="auto"/>
                <w:kern w:val="0"/>
                <w:sz w:val="21"/>
              </w:rPr>
              <w:t>②推进能源高效利用，加快能源清洁低碳转型：大力发展新能源和清洁能源；严格合理控制煤炭消费总量；推进燃煤锅炉关停整合和工业炉窑清洁能源替代；推进近零碳园区和近零碳工厂试点建设。</w:t>
            </w:r>
          </w:p>
          <w:p w14:paraId="1A0E07B9">
            <w:pPr>
              <w:keepNext w:val="0"/>
              <w:keepLines w:val="0"/>
              <w:pageBreakBefore w:val="0"/>
              <w:widowControl w:val="0"/>
              <w:kinsoku/>
              <w:wordWrap/>
              <w:overflowPunct/>
              <w:topLinePunct w:val="0"/>
              <w:bidi w:val="0"/>
              <w:adjustRightInd w:val="0"/>
              <w:snapToGrid w:val="0"/>
              <w:spacing w:line="360" w:lineRule="auto"/>
              <w:ind w:firstLine="420" w:firstLineChars="200"/>
              <w:jc w:val="both"/>
              <w:textAlignment w:val="auto"/>
              <w:rPr>
                <w:rFonts w:hint="eastAsia"/>
                <w:color w:val="auto"/>
                <w:kern w:val="0"/>
                <w:sz w:val="21"/>
              </w:rPr>
            </w:pPr>
            <w:r>
              <w:rPr>
                <w:rFonts w:hint="eastAsia"/>
                <w:color w:val="auto"/>
                <w:kern w:val="0"/>
                <w:sz w:val="21"/>
              </w:rPr>
              <w:t>③加强面源污染治理，提高精细化管理水平：实施扬尘精细化治理，积极实施“清洁城市行动”；推进矿山生态环境综合整治；加强秸秆禁烧和综合利用，禁止露天焚烧秸秆，综合运用卫星遥感、高清视频监控、无人机等手段，提高秸秆焚烧火点监测及巡查精准度。</w:t>
            </w:r>
          </w:p>
          <w:p w14:paraId="67860FD0">
            <w:pPr>
              <w:keepNext w:val="0"/>
              <w:keepLines w:val="0"/>
              <w:pageBreakBefore w:val="0"/>
              <w:widowControl w:val="0"/>
              <w:kinsoku/>
              <w:wordWrap/>
              <w:overflowPunct/>
              <w:topLinePunct w:val="0"/>
              <w:bidi w:val="0"/>
              <w:adjustRightInd w:val="0"/>
              <w:snapToGrid w:val="0"/>
              <w:spacing w:line="360" w:lineRule="auto"/>
              <w:ind w:firstLine="420" w:firstLineChars="200"/>
              <w:jc w:val="both"/>
              <w:textAlignment w:val="auto"/>
              <w:rPr>
                <w:rFonts w:hint="eastAsia"/>
                <w:color w:val="auto"/>
                <w:kern w:val="0"/>
                <w:sz w:val="21"/>
              </w:rPr>
            </w:pPr>
            <w:r>
              <w:rPr>
                <w:rFonts w:hint="eastAsia"/>
                <w:color w:val="auto"/>
                <w:kern w:val="0"/>
                <w:sz w:val="21"/>
              </w:rPr>
              <w:t>④强化协同减排，切实降低污染物排放强度：强化VOCs全流程、全环节综合治理，鼓励储罐使用低泄漏的呼吸阀、紧急泄压阀，定期开展密封性检测。重点工业园区建立分环节、分物种管控清单，实施高排放关键活性物种“指纹化”监测监控和靶向治理。</w:t>
            </w:r>
          </w:p>
          <w:p w14:paraId="0CB602B3">
            <w:pPr>
              <w:keepNext w:val="0"/>
              <w:keepLines w:val="0"/>
              <w:pageBreakBefore w:val="0"/>
              <w:widowControl w:val="0"/>
              <w:kinsoku/>
              <w:wordWrap/>
              <w:overflowPunct/>
              <w:topLinePunct w:val="0"/>
              <w:bidi w:val="0"/>
              <w:adjustRightInd w:val="0"/>
              <w:snapToGrid w:val="0"/>
              <w:spacing w:line="360" w:lineRule="auto"/>
              <w:ind w:firstLine="420" w:firstLineChars="200"/>
              <w:jc w:val="both"/>
              <w:textAlignment w:val="auto"/>
              <w:rPr>
                <w:rFonts w:hint="eastAsia"/>
                <w:color w:val="auto"/>
                <w:kern w:val="0"/>
                <w:sz w:val="21"/>
              </w:rPr>
            </w:pPr>
            <w:r>
              <w:rPr>
                <w:rFonts w:hint="eastAsia"/>
                <w:color w:val="auto"/>
                <w:kern w:val="0"/>
                <w:sz w:val="21"/>
              </w:rPr>
              <w:t>实施重点行业超低排放与深度治理，有序推进铸造、垃圾焚烧发电、玻璃、有色、石灰、矿棉等行业深度治理。持续推进煤电机组深度脱硝改造，实施重点行业绩效等级提升行动。</w:t>
            </w:r>
          </w:p>
          <w:p w14:paraId="1360DFD9">
            <w:pPr>
              <w:keepNext w:val="0"/>
              <w:keepLines w:val="0"/>
              <w:pageBreakBefore w:val="0"/>
              <w:widowControl w:val="0"/>
              <w:kinsoku/>
              <w:wordWrap/>
              <w:overflowPunct/>
              <w:topLinePunct w:val="0"/>
              <w:bidi w:val="0"/>
              <w:adjustRightInd w:val="0"/>
              <w:snapToGrid w:val="0"/>
              <w:spacing w:line="360" w:lineRule="auto"/>
              <w:ind w:firstLine="420" w:firstLineChars="200"/>
              <w:jc w:val="both"/>
              <w:textAlignment w:val="auto"/>
              <w:rPr>
                <w:rFonts w:hint="eastAsia"/>
                <w:color w:val="auto"/>
                <w:kern w:val="0"/>
                <w:sz w:val="21"/>
              </w:rPr>
            </w:pPr>
            <w:r>
              <w:rPr>
                <w:rFonts w:hint="eastAsia"/>
                <w:color w:val="auto"/>
                <w:kern w:val="0"/>
                <w:sz w:val="21"/>
              </w:rPr>
              <w:t>推进餐饮油烟、恶臭异味专项整治。加强部门联动，因地制宜解决人民群众反映集中的油烟和恶臭扰民问题。严格居民楼附近餐饮服务单位布局管理。拟开设餐饮服务单位的建筑应设计建设专用烟道。建立重点园区“嗅辨+监测”异味溯源机制。</w:t>
            </w:r>
          </w:p>
          <w:p w14:paraId="6E05E272">
            <w:pPr>
              <w:keepNext w:val="0"/>
              <w:keepLines w:val="0"/>
              <w:pageBreakBefore w:val="0"/>
              <w:widowControl w:val="0"/>
              <w:kinsoku/>
              <w:wordWrap/>
              <w:overflowPunct/>
              <w:topLinePunct w:val="0"/>
              <w:bidi w:val="0"/>
              <w:adjustRightInd w:val="0"/>
              <w:snapToGrid w:val="0"/>
              <w:spacing w:line="360" w:lineRule="auto"/>
              <w:ind w:firstLine="420" w:firstLineChars="200"/>
              <w:jc w:val="both"/>
              <w:textAlignment w:val="auto"/>
              <w:rPr>
                <w:rFonts w:hint="eastAsia"/>
                <w:color w:val="auto"/>
                <w:kern w:val="0"/>
                <w:sz w:val="21"/>
              </w:rPr>
            </w:pPr>
            <w:r>
              <w:rPr>
                <w:rFonts w:hint="eastAsia"/>
                <w:color w:val="auto"/>
                <w:kern w:val="0"/>
                <w:sz w:val="21"/>
              </w:rPr>
              <w:t>推动大气氨污染防控，加强氮肥、纯碱等行业大气氨排放治理，强化工业源烟气脱硫脱硝氨逃逸防控。</w:t>
            </w:r>
          </w:p>
          <w:p w14:paraId="41B47E52">
            <w:pPr>
              <w:keepNext w:val="0"/>
              <w:keepLines w:val="0"/>
              <w:pageBreakBefore w:val="0"/>
              <w:widowControl w:val="0"/>
              <w:kinsoku/>
              <w:wordWrap/>
              <w:overflowPunct/>
              <w:topLinePunct w:val="0"/>
              <w:bidi w:val="0"/>
              <w:adjustRightInd w:val="0"/>
              <w:snapToGrid w:val="0"/>
              <w:spacing w:line="360" w:lineRule="auto"/>
              <w:ind w:firstLine="420" w:firstLineChars="200"/>
              <w:jc w:val="both"/>
              <w:textAlignment w:val="auto"/>
              <w:rPr>
                <w:rFonts w:hint="eastAsia"/>
                <w:color w:val="auto"/>
                <w:kern w:val="0"/>
                <w:sz w:val="21"/>
              </w:rPr>
            </w:pPr>
            <w:r>
              <w:rPr>
                <w:rFonts w:hint="eastAsia"/>
                <w:color w:val="auto"/>
                <w:kern w:val="0"/>
                <w:sz w:val="21"/>
              </w:rPr>
              <w:t>⑤完善工作机制，健全大气环境管理体系：开展区域联防联控和城市空气质量达标管理，积极推进大气污染联防联控机制建设，空气质量未达标的地区编制实施大气环境质量限期达标规划，明确达标路线图及重点任务，并向社会公开。</w:t>
            </w:r>
          </w:p>
          <w:p w14:paraId="10CE801D">
            <w:pPr>
              <w:keepNext w:val="0"/>
              <w:keepLines w:val="0"/>
              <w:pageBreakBefore w:val="0"/>
              <w:widowControl w:val="0"/>
              <w:kinsoku/>
              <w:wordWrap/>
              <w:overflowPunct/>
              <w:topLinePunct w:val="0"/>
              <w:bidi w:val="0"/>
              <w:adjustRightInd w:val="0"/>
              <w:snapToGrid w:val="0"/>
              <w:spacing w:line="360" w:lineRule="auto"/>
              <w:ind w:firstLine="420" w:firstLineChars="200"/>
              <w:jc w:val="both"/>
              <w:textAlignment w:val="auto"/>
              <w:rPr>
                <w:rFonts w:hint="eastAsia"/>
                <w:color w:val="auto"/>
                <w:kern w:val="0"/>
                <w:sz w:val="21"/>
              </w:rPr>
            </w:pPr>
            <w:r>
              <w:rPr>
                <w:rFonts w:hint="eastAsia"/>
                <w:color w:val="auto"/>
                <w:kern w:val="0"/>
                <w:sz w:val="21"/>
              </w:rPr>
              <w:t>提升重污染天气应对能力，结合排污许可制度，确保应急减排清单覆盖所有涉气企业。按照区域预警提示信息，依法依规与同一区域内的城市同步采取应急响应措施。</w:t>
            </w:r>
          </w:p>
          <w:p w14:paraId="07F9E396">
            <w:pPr>
              <w:keepNext w:val="0"/>
              <w:keepLines w:val="0"/>
              <w:pageBreakBefore w:val="0"/>
              <w:widowControl w:val="0"/>
              <w:kinsoku/>
              <w:wordWrap/>
              <w:overflowPunct/>
              <w:topLinePunct w:val="0"/>
              <w:bidi w:val="0"/>
              <w:adjustRightInd w:val="0"/>
              <w:snapToGrid w:val="0"/>
              <w:spacing w:line="360" w:lineRule="auto"/>
              <w:ind w:firstLine="420" w:firstLineChars="200"/>
              <w:jc w:val="both"/>
              <w:textAlignment w:val="auto"/>
              <w:rPr>
                <w:rFonts w:hint="eastAsia"/>
                <w:color w:val="auto"/>
                <w:kern w:val="0"/>
                <w:sz w:val="21"/>
              </w:rPr>
            </w:pPr>
            <w:r>
              <w:rPr>
                <w:rFonts w:hint="eastAsia"/>
                <w:color w:val="auto"/>
                <w:kern w:val="0"/>
                <w:sz w:val="21"/>
              </w:rPr>
              <w:t>⑥加强能力建设，提升生态环境治理体系和治理能力现代化水平：强化大气监测和执法监管，加强机场、港口、铁路货场、物流园区、工业园区、产业集群、公路等大气环境监测；加强决策科技支撑，持续开展PM</w:t>
            </w:r>
            <w:r>
              <w:rPr>
                <w:rFonts w:hint="eastAsia"/>
                <w:color w:val="auto"/>
                <w:kern w:val="0"/>
                <w:sz w:val="21"/>
                <w:vertAlign w:val="subscript"/>
              </w:rPr>
              <w:t>2.5</w:t>
            </w:r>
            <w:r>
              <w:rPr>
                <w:rFonts w:hint="eastAsia"/>
                <w:color w:val="auto"/>
                <w:kern w:val="0"/>
                <w:sz w:val="21"/>
              </w:rPr>
              <w:t>和臭氧协同控制科技攻关，推进致臭物质识别、恶臭污染评估和溯源技术方法研究。</w:t>
            </w:r>
          </w:p>
          <w:p w14:paraId="3BE3287D">
            <w:pPr>
              <w:keepNext w:val="0"/>
              <w:keepLines w:val="0"/>
              <w:pageBreakBefore w:val="0"/>
              <w:widowControl w:val="0"/>
              <w:kinsoku/>
              <w:wordWrap/>
              <w:overflowPunct/>
              <w:topLinePunct w:val="0"/>
              <w:bidi w:val="0"/>
              <w:adjustRightInd w:val="0"/>
              <w:snapToGrid w:val="0"/>
              <w:spacing w:line="360" w:lineRule="auto"/>
              <w:ind w:firstLine="420" w:firstLineChars="200"/>
              <w:jc w:val="both"/>
              <w:textAlignment w:val="auto"/>
              <w:rPr>
                <w:rFonts w:hint="eastAsia"/>
                <w:color w:val="auto"/>
                <w:kern w:val="0"/>
                <w:sz w:val="21"/>
              </w:rPr>
            </w:pPr>
            <w:r>
              <w:rPr>
                <w:rFonts w:hint="eastAsia"/>
                <w:color w:val="auto"/>
                <w:kern w:val="0"/>
                <w:sz w:val="21"/>
              </w:rPr>
              <w:t>⑦健全标准规范体系，完善生态环境经济政策：强化标准引领，推动落实大气污染物排放最新标准，重点行业逐步配套技术指南和工程技术规范，研究制定精细化治理方案；完善生态环境资金投入机制，综合运用经济、技术等手段推动老旧车辆退出。</w:t>
            </w:r>
          </w:p>
          <w:p w14:paraId="36A38479">
            <w:pPr>
              <w:keepNext w:val="0"/>
              <w:keepLines w:val="0"/>
              <w:pageBreakBefore w:val="0"/>
              <w:widowControl w:val="0"/>
              <w:kinsoku/>
              <w:wordWrap/>
              <w:overflowPunct/>
              <w:topLinePunct w:val="0"/>
              <w:bidi w:val="0"/>
              <w:adjustRightInd w:val="0"/>
              <w:snapToGrid w:val="0"/>
              <w:spacing w:line="360" w:lineRule="auto"/>
              <w:ind w:firstLine="420" w:firstLineChars="200"/>
              <w:jc w:val="both"/>
              <w:textAlignment w:val="auto"/>
              <w:rPr>
                <w:rFonts w:hint="eastAsia"/>
                <w:color w:val="auto"/>
                <w:kern w:val="0"/>
                <w:sz w:val="21"/>
              </w:rPr>
            </w:pPr>
            <w:r>
              <w:rPr>
                <w:rFonts w:hint="eastAsia"/>
                <w:color w:val="auto"/>
                <w:kern w:val="0"/>
                <w:sz w:val="21"/>
              </w:rPr>
              <w:t>⑧落实各方责任，构建全民行动格局：加强组织领导，各级政府对本行政区域内空气质量负总责，组织制定本地实施方案；严格监督考核，将空气质量改善目标完成情况作为深入打好污染防治攻坚战成效考核的重要内容；推进全民行动，落实《江苏省生态文明教育促进办法》，加强舆论引导和监督，普及大气环境与健康知识，政府带头开展绿色采购，推进使用新能源车辆，全面使用低（无）VOCs含量产品，强化公民环境意识，推动形成简约适度、绿色低碳、文明健康的生活方式，共同改善空气质量。</w:t>
            </w:r>
          </w:p>
          <w:p w14:paraId="2444EB77">
            <w:pPr>
              <w:adjustRightInd w:val="0"/>
              <w:snapToGrid w:val="0"/>
              <w:spacing w:line="360" w:lineRule="auto"/>
              <w:ind w:firstLine="420" w:firstLineChars="200"/>
              <w:jc w:val="left"/>
              <w:rPr>
                <w:rFonts w:hint="eastAsia"/>
                <w:color w:val="auto"/>
                <w:kern w:val="0"/>
                <w:sz w:val="21"/>
              </w:rPr>
            </w:pPr>
            <w:r>
              <w:rPr>
                <w:rFonts w:hint="eastAsia"/>
                <w:color w:val="auto"/>
                <w:kern w:val="0"/>
                <w:sz w:val="21"/>
              </w:rPr>
              <w:t>通过上述工作的不断推进实施，常州市与金坛区环境空气质量将得到持续改善。</w:t>
            </w:r>
          </w:p>
          <w:p w14:paraId="7C0C82AF">
            <w:pPr>
              <w:adjustRightInd w:val="0"/>
              <w:snapToGrid w:val="0"/>
              <w:spacing w:line="360" w:lineRule="auto"/>
              <w:ind w:firstLine="422" w:firstLineChars="200"/>
              <w:jc w:val="left"/>
              <w:rPr>
                <w:b/>
                <w:color w:val="auto"/>
                <w:kern w:val="0"/>
                <w:sz w:val="21"/>
              </w:rPr>
            </w:pPr>
            <w:r>
              <w:rPr>
                <w:rFonts w:hint="eastAsia"/>
                <w:b/>
                <w:color w:val="auto"/>
                <w:kern w:val="0"/>
                <w:sz w:val="21"/>
              </w:rPr>
              <w:t>2.地表水</w:t>
            </w:r>
          </w:p>
          <w:p w14:paraId="115E2A24">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jc w:val="both"/>
              <w:textAlignment w:val="auto"/>
              <w:rPr>
                <w:color w:val="auto"/>
                <w:kern w:val="0"/>
                <w:sz w:val="21"/>
              </w:rPr>
            </w:pPr>
            <w:r>
              <w:rPr>
                <w:color w:val="auto"/>
                <w:kern w:val="0"/>
                <w:sz w:val="21"/>
              </w:rPr>
              <w:t>根据《</w:t>
            </w:r>
            <w:r>
              <w:rPr>
                <w:bCs/>
                <w:color w:val="auto"/>
                <w:kern w:val="0"/>
                <w:sz w:val="21"/>
              </w:rPr>
              <w:t>202</w:t>
            </w:r>
            <w:r>
              <w:rPr>
                <w:rFonts w:hint="eastAsia"/>
                <w:bCs/>
                <w:color w:val="auto"/>
                <w:kern w:val="0"/>
                <w:sz w:val="21"/>
                <w:lang w:val="en-US" w:eastAsia="zh-CN"/>
              </w:rPr>
              <w:t>4</w:t>
            </w:r>
            <w:r>
              <w:rPr>
                <w:bCs/>
                <w:color w:val="auto"/>
                <w:kern w:val="0"/>
                <w:sz w:val="21"/>
              </w:rPr>
              <w:t>年常州市生态环境状况公报</w:t>
            </w:r>
            <w:r>
              <w:rPr>
                <w:color w:val="auto"/>
                <w:kern w:val="0"/>
                <w:sz w:val="21"/>
              </w:rPr>
              <w:t>》，</w:t>
            </w:r>
            <w:r>
              <w:rPr>
                <w:rFonts w:hint="eastAsia"/>
                <w:color w:val="auto"/>
                <w:kern w:val="0"/>
                <w:sz w:val="21"/>
              </w:rPr>
              <w:t>2024年，常州市纳入“十四五”国家地表水环境质量考核的20个断面，年均水质达到或好于《地表水环境质量标准》</w:t>
            </w:r>
            <w:r>
              <w:rPr>
                <w:rFonts w:hint="eastAsia"/>
                <w:color w:val="auto"/>
                <w:kern w:val="0"/>
                <w:sz w:val="21"/>
                <w:lang w:eastAsia="zh-CN"/>
              </w:rPr>
              <w:t>（</w:t>
            </w:r>
            <w:r>
              <w:rPr>
                <w:rFonts w:hint="eastAsia"/>
                <w:color w:val="auto"/>
                <w:kern w:val="0"/>
                <w:sz w:val="21"/>
              </w:rPr>
              <w:t>GB3838-2002</w:t>
            </w:r>
            <w:r>
              <w:rPr>
                <w:rFonts w:hint="eastAsia"/>
                <w:color w:val="auto"/>
                <w:kern w:val="0"/>
                <w:sz w:val="21"/>
                <w:lang w:eastAsia="zh-CN"/>
              </w:rPr>
              <w:t>）</w:t>
            </w:r>
            <w:r>
              <w:rPr>
                <w:rFonts w:hint="eastAsia"/>
                <w:color w:val="auto"/>
                <w:kern w:val="0"/>
                <w:sz w:val="21"/>
                <w:lang w:val="en-US" w:eastAsia="zh-CN"/>
              </w:rPr>
              <w:t>III</w:t>
            </w:r>
            <w:r>
              <w:rPr>
                <w:rFonts w:hint="eastAsia"/>
                <w:color w:val="auto"/>
                <w:kern w:val="0"/>
                <w:sz w:val="21"/>
              </w:rPr>
              <w:t>类标准的断面比例为85%，无劣V类断面。纳入江苏省“十四五”水环境质量目标考核的51个断面，年均水质达到或好于</w:t>
            </w:r>
            <w:r>
              <w:rPr>
                <w:rFonts w:hint="eastAsia"/>
                <w:color w:val="auto"/>
                <w:kern w:val="0"/>
                <w:sz w:val="21"/>
                <w:lang w:val="en-US" w:eastAsia="zh-CN"/>
              </w:rPr>
              <w:t>III</w:t>
            </w:r>
            <w:r>
              <w:rPr>
                <w:rFonts w:hint="eastAsia"/>
                <w:color w:val="auto"/>
                <w:kern w:val="0"/>
                <w:sz w:val="21"/>
              </w:rPr>
              <w:t>类的比例为94.1%，无劣V类断面。</w:t>
            </w:r>
          </w:p>
          <w:p w14:paraId="50EE8AEB">
            <w:pPr>
              <w:adjustRightInd w:val="0"/>
              <w:snapToGrid w:val="0"/>
              <w:spacing w:line="360" w:lineRule="auto"/>
              <w:ind w:firstLine="411" w:firstLineChars="196"/>
              <w:rPr>
                <w:rFonts w:hint="eastAsia"/>
                <w:color w:val="auto"/>
              </w:rPr>
            </w:pPr>
            <w:r>
              <w:rPr>
                <w:rFonts w:hint="eastAsia"/>
                <w:color w:val="auto"/>
              </w:rPr>
              <w:t>国考、省考断面水质达到或好于</w:t>
            </w:r>
            <w:r>
              <w:rPr>
                <w:rFonts w:hint="eastAsia"/>
                <w:color w:val="auto"/>
                <w:lang w:val="en-US" w:eastAsia="zh-CN"/>
              </w:rPr>
              <w:t>III</w:t>
            </w:r>
            <w:r>
              <w:rPr>
                <w:rFonts w:hint="eastAsia"/>
                <w:color w:val="auto"/>
              </w:rPr>
              <w:t>类比例完成省定考核要求，太湖水质自2007年蓝藻事件以来首次达</w:t>
            </w:r>
            <w:r>
              <w:rPr>
                <w:rFonts w:hint="eastAsia"/>
                <w:color w:val="auto"/>
                <w:lang w:val="en-US" w:eastAsia="zh-CN"/>
              </w:rPr>
              <w:t>III</w:t>
            </w:r>
            <w:r>
              <w:rPr>
                <w:rFonts w:hint="eastAsia"/>
                <w:color w:val="auto"/>
              </w:rPr>
              <w:t>、重回“良好”湖泊，连续17年实现安全度夏。长江干流</w:t>
            </w:r>
            <w:r>
              <w:rPr>
                <w:rFonts w:hint="eastAsia"/>
                <w:color w:val="auto"/>
                <w:lang w:eastAsia="zh-CN"/>
              </w:rPr>
              <w:t>（</w:t>
            </w:r>
            <w:r>
              <w:rPr>
                <w:rFonts w:hint="eastAsia"/>
                <w:color w:val="auto"/>
              </w:rPr>
              <w:t>常州段</w:t>
            </w:r>
            <w:r>
              <w:rPr>
                <w:rFonts w:hint="eastAsia"/>
                <w:color w:val="auto"/>
                <w:lang w:eastAsia="zh-CN"/>
              </w:rPr>
              <w:t>）</w:t>
            </w:r>
            <w:r>
              <w:rPr>
                <w:rFonts w:hint="eastAsia"/>
                <w:color w:val="auto"/>
              </w:rPr>
              <w:t>水质连续8年稳</w:t>
            </w:r>
            <w:r>
              <w:rPr>
                <w:rFonts w:hint="eastAsia"/>
                <w:color w:val="auto"/>
                <w:lang w:val="en-US" w:eastAsia="zh-CN"/>
              </w:rPr>
              <w:t>II</w:t>
            </w:r>
            <w:r>
              <w:rPr>
                <w:rFonts w:hint="eastAsia"/>
                <w:color w:val="auto"/>
              </w:rPr>
              <w:t>类水平，主要入湖河道、集中式饮用水源地水质稳定达到省定考核目标。</w:t>
            </w:r>
          </w:p>
          <w:p w14:paraId="69374AF0">
            <w:pPr>
              <w:adjustRightInd w:val="0"/>
              <w:snapToGrid w:val="0"/>
              <w:spacing w:line="360" w:lineRule="auto"/>
              <w:ind w:firstLine="411" w:firstLineChars="196"/>
              <w:rPr>
                <w:b/>
                <w:bCs/>
                <w:color w:val="auto"/>
              </w:rPr>
            </w:pPr>
            <w:r>
              <w:rPr>
                <w:rFonts w:hint="eastAsia"/>
                <w:color w:val="auto"/>
              </w:rPr>
              <w:t>本项目</w:t>
            </w:r>
            <w:r>
              <w:rPr>
                <w:color w:val="auto"/>
              </w:rPr>
              <w:t>纳污水体为尧塘河，引用《</w:t>
            </w:r>
            <w:r>
              <w:rPr>
                <w:rFonts w:hint="eastAsia"/>
                <w:color w:val="auto"/>
              </w:rPr>
              <w:t>江苏</w:t>
            </w:r>
            <w:r>
              <w:rPr>
                <w:rFonts w:hint="eastAsia"/>
                <w:color w:val="auto"/>
                <w:lang w:val="en-US" w:eastAsia="zh-CN"/>
              </w:rPr>
              <w:t>万泉金属制品有限公司</w:t>
            </w:r>
            <w:r>
              <w:rPr>
                <w:color w:val="auto"/>
              </w:rPr>
              <w:t>》在尧塘河二污厂排污口上游500米处</w:t>
            </w:r>
            <w:r>
              <w:rPr>
                <w:rFonts w:hint="eastAsia"/>
                <w:color w:val="auto"/>
              </w:rPr>
              <w:t>（W1）</w:t>
            </w:r>
            <w:r>
              <w:rPr>
                <w:color w:val="auto"/>
              </w:rPr>
              <w:t>和下游2000米处</w:t>
            </w:r>
            <w:r>
              <w:rPr>
                <w:rFonts w:hint="eastAsia"/>
                <w:color w:val="auto"/>
              </w:rPr>
              <w:t>（W2）p</w:t>
            </w:r>
            <w:r>
              <w:rPr>
                <w:color w:val="auto"/>
              </w:rPr>
              <w:t>H值、化学需氧量、氨氮、总磷的历史数据，采样时间为202</w:t>
            </w:r>
            <w:r>
              <w:rPr>
                <w:rFonts w:hint="eastAsia"/>
                <w:color w:val="auto"/>
                <w:lang w:val="en-US" w:eastAsia="zh-CN"/>
              </w:rPr>
              <w:t>5</w:t>
            </w:r>
            <w:r>
              <w:rPr>
                <w:color w:val="auto"/>
              </w:rPr>
              <w:t>年</w:t>
            </w:r>
            <w:r>
              <w:rPr>
                <w:rFonts w:hint="eastAsia"/>
                <w:color w:val="auto"/>
                <w:lang w:val="en-US" w:eastAsia="zh-CN"/>
              </w:rPr>
              <w:t>1</w:t>
            </w:r>
            <w:r>
              <w:rPr>
                <w:color w:val="auto"/>
              </w:rPr>
              <w:t>月</w:t>
            </w:r>
            <w:r>
              <w:rPr>
                <w:rFonts w:hint="eastAsia"/>
                <w:color w:val="auto"/>
                <w:lang w:val="en-US" w:eastAsia="zh-CN"/>
              </w:rPr>
              <w:t>7</w:t>
            </w:r>
            <w:r>
              <w:rPr>
                <w:color w:val="auto"/>
              </w:rPr>
              <w:t>日</w:t>
            </w:r>
            <w:r>
              <w:rPr>
                <w:rFonts w:hint="eastAsia"/>
                <w:color w:val="auto"/>
              </w:rPr>
              <w:t>-</w:t>
            </w:r>
            <w:r>
              <w:rPr>
                <w:rFonts w:hint="eastAsia"/>
                <w:color w:val="auto"/>
                <w:lang w:val="en-US" w:eastAsia="zh-CN"/>
              </w:rPr>
              <w:t>1</w:t>
            </w:r>
            <w:r>
              <w:rPr>
                <w:color w:val="auto"/>
              </w:rPr>
              <w:t>月</w:t>
            </w:r>
            <w:r>
              <w:rPr>
                <w:rFonts w:hint="eastAsia"/>
                <w:color w:val="auto"/>
                <w:lang w:val="en-US" w:eastAsia="zh-CN"/>
              </w:rPr>
              <w:t>9</w:t>
            </w:r>
            <w:r>
              <w:rPr>
                <w:color w:val="auto"/>
              </w:rPr>
              <w:t>日，检测报告编号</w:t>
            </w:r>
            <w:r>
              <w:rPr>
                <w:rFonts w:hint="eastAsia"/>
                <w:color w:val="auto"/>
              </w:rPr>
              <w:t>“</w:t>
            </w:r>
            <w:r>
              <w:rPr>
                <w:rFonts w:hint="eastAsia"/>
                <w:color w:val="auto"/>
                <w:kern w:val="0"/>
              </w:rPr>
              <w:t>YJH25032707</w:t>
            </w:r>
            <w:r>
              <w:rPr>
                <w:rFonts w:hint="eastAsia"/>
                <w:color w:val="auto"/>
              </w:rPr>
              <w:t>”</w:t>
            </w:r>
            <w:r>
              <w:rPr>
                <w:color w:val="auto"/>
              </w:rPr>
              <w:t>，监测数据详见表3-</w:t>
            </w:r>
            <w:r>
              <w:rPr>
                <w:rFonts w:hint="eastAsia"/>
                <w:color w:val="auto"/>
              </w:rPr>
              <w:t>3</w:t>
            </w:r>
            <w:r>
              <w:rPr>
                <w:color w:val="auto"/>
              </w:rPr>
              <w:t>：</w:t>
            </w:r>
          </w:p>
          <w:p w14:paraId="41752DFF">
            <w:pPr>
              <w:adjustRightInd w:val="0"/>
              <w:snapToGrid w:val="0"/>
              <w:jc w:val="center"/>
              <w:rPr>
                <w:b/>
                <w:color w:val="auto"/>
              </w:rPr>
            </w:pPr>
            <w:r>
              <w:rPr>
                <w:b/>
                <w:color w:val="auto"/>
              </w:rPr>
              <w:t>表3-3   水质监测结果 单位：mg/L，pH无量纲</w:t>
            </w:r>
          </w:p>
          <w:tbl>
            <w:tblPr>
              <w:tblStyle w:val="60"/>
              <w:tblW w:w="8734" w:type="dxa"/>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5"/>
              <w:gridCol w:w="1740"/>
              <w:gridCol w:w="5"/>
              <w:gridCol w:w="1741"/>
              <w:gridCol w:w="5"/>
              <w:gridCol w:w="1741"/>
              <w:gridCol w:w="5"/>
              <w:gridCol w:w="1741"/>
              <w:gridCol w:w="5"/>
              <w:gridCol w:w="1741"/>
              <w:gridCol w:w="5"/>
            </w:tblGrid>
            <w:tr w14:paraId="3D0E970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gridBefore w:val="1"/>
                <w:wBefore w:w="5" w:type="dxa"/>
                <w:jc w:val="center"/>
              </w:trPr>
              <w:tc>
                <w:tcPr>
                  <w:tcW w:w="1745" w:type="dxa"/>
                  <w:gridSpan w:val="2"/>
                  <w:tcBorders>
                    <w:tl2br w:val="nil"/>
                    <w:tr2bl w:val="nil"/>
                  </w:tcBorders>
                  <w:vAlign w:val="center"/>
                </w:tcPr>
                <w:p w14:paraId="3CE8B9F7">
                  <w:pPr>
                    <w:pStyle w:val="2"/>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采样日期</w:t>
                  </w:r>
                </w:p>
              </w:tc>
              <w:tc>
                <w:tcPr>
                  <w:tcW w:w="6984" w:type="dxa"/>
                  <w:gridSpan w:val="8"/>
                  <w:tcBorders>
                    <w:tl2br w:val="nil"/>
                    <w:tr2bl w:val="nil"/>
                  </w:tcBorders>
                  <w:vAlign w:val="center"/>
                </w:tcPr>
                <w:p w14:paraId="227A8622">
                  <w:pPr>
                    <w:pStyle w:val="2"/>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2025年01月07日</w:t>
                  </w:r>
                </w:p>
              </w:tc>
            </w:tr>
            <w:tr w14:paraId="669088BF">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gridBefore w:val="1"/>
                <w:wBefore w:w="5" w:type="dxa"/>
                <w:jc w:val="center"/>
              </w:trPr>
              <w:tc>
                <w:tcPr>
                  <w:tcW w:w="1745" w:type="dxa"/>
                  <w:gridSpan w:val="2"/>
                  <w:tcBorders>
                    <w:tl2br w:val="nil"/>
                    <w:tr2bl w:val="nil"/>
                  </w:tcBorders>
                  <w:vAlign w:val="center"/>
                </w:tcPr>
                <w:p w14:paraId="27C5E30D">
                  <w:pPr>
                    <w:pStyle w:val="2"/>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采样点位</w:t>
                  </w:r>
                </w:p>
              </w:tc>
              <w:tc>
                <w:tcPr>
                  <w:tcW w:w="3492" w:type="dxa"/>
                  <w:gridSpan w:val="4"/>
                  <w:tcBorders>
                    <w:tl2br w:val="nil"/>
                    <w:tr2bl w:val="nil"/>
                  </w:tcBorders>
                  <w:vAlign w:val="center"/>
                </w:tcPr>
                <w:p w14:paraId="0F199F32">
                  <w:pPr>
                    <w:pStyle w:val="2"/>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W1点（金坛第二污水处理厂排污口 排污口上游500m）</w:t>
                  </w:r>
                </w:p>
              </w:tc>
              <w:tc>
                <w:tcPr>
                  <w:tcW w:w="3492" w:type="dxa"/>
                  <w:gridSpan w:val="4"/>
                  <w:tcBorders>
                    <w:tl2br w:val="nil"/>
                    <w:tr2bl w:val="nil"/>
                  </w:tcBorders>
                  <w:vAlign w:val="center"/>
                </w:tcPr>
                <w:p w14:paraId="19E74E8D">
                  <w:pPr>
                    <w:pStyle w:val="2"/>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cs="Times New Roman"/>
                      <w:b w:val="0"/>
                      <w:bCs w:val="0"/>
                      <w:color w:val="auto"/>
                      <w:sz w:val="21"/>
                      <w:szCs w:val="21"/>
                      <w:vertAlign w:val="baseline"/>
                    </w:rPr>
                  </w:pPr>
                  <w:r>
                    <w:rPr>
                      <w:rFonts w:hint="default" w:ascii="Times New Roman" w:hAnsi="Times New Roman" w:cs="Times New Roman"/>
                      <w:b w:val="0"/>
                      <w:bCs w:val="0"/>
                      <w:color w:val="auto"/>
                      <w:sz w:val="21"/>
                      <w:szCs w:val="21"/>
                      <w:vertAlign w:val="baseline"/>
                      <w:lang w:val="en-US" w:eastAsia="zh-CN"/>
                    </w:rPr>
                    <w:t>W2点（金坛第二污水处理厂排污口 排污口下游2000m）</w:t>
                  </w:r>
                </w:p>
              </w:tc>
            </w:tr>
            <w:tr w14:paraId="16A656D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gridBefore w:val="1"/>
                <w:wBefore w:w="5" w:type="dxa"/>
                <w:jc w:val="center"/>
              </w:trPr>
              <w:tc>
                <w:tcPr>
                  <w:tcW w:w="1745" w:type="dxa"/>
                  <w:gridSpan w:val="2"/>
                  <w:tcBorders>
                    <w:tl2br w:val="nil"/>
                    <w:tr2bl w:val="nil"/>
                  </w:tcBorders>
                  <w:vAlign w:val="center"/>
                </w:tcPr>
                <w:p w14:paraId="019AF45D">
                  <w:pPr>
                    <w:pStyle w:val="2"/>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pH值（无量纲）</w:t>
                  </w:r>
                </w:p>
              </w:tc>
              <w:tc>
                <w:tcPr>
                  <w:tcW w:w="1746" w:type="dxa"/>
                  <w:gridSpan w:val="2"/>
                  <w:tcBorders>
                    <w:tl2br w:val="nil"/>
                    <w:tr2bl w:val="nil"/>
                  </w:tcBorders>
                  <w:vAlign w:val="center"/>
                </w:tcPr>
                <w:p w14:paraId="0A26B48D">
                  <w:pPr>
                    <w:pStyle w:val="2"/>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8.0</w:t>
                  </w:r>
                </w:p>
              </w:tc>
              <w:tc>
                <w:tcPr>
                  <w:tcW w:w="1746" w:type="dxa"/>
                  <w:gridSpan w:val="2"/>
                  <w:tcBorders>
                    <w:tl2br w:val="nil"/>
                    <w:tr2bl w:val="nil"/>
                  </w:tcBorders>
                  <w:vAlign w:val="center"/>
                </w:tcPr>
                <w:p w14:paraId="7089D7D5">
                  <w:pPr>
                    <w:pStyle w:val="2"/>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8.2</w:t>
                  </w:r>
                </w:p>
              </w:tc>
              <w:tc>
                <w:tcPr>
                  <w:tcW w:w="1746" w:type="dxa"/>
                  <w:gridSpan w:val="2"/>
                  <w:tcBorders>
                    <w:tl2br w:val="nil"/>
                    <w:tr2bl w:val="nil"/>
                  </w:tcBorders>
                  <w:vAlign w:val="center"/>
                </w:tcPr>
                <w:p w14:paraId="67BEAC69">
                  <w:pPr>
                    <w:pStyle w:val="2"/>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7.9</w:t>
                  </w:r>
                </w:p>
              </w:tc>
              <w:tc>
                <w:tcPr>
                  <w:tcW w:w="1746" w:type="dxa"/>
                  <w:gridSpan w:val="2"/>
                  <w:tcBorders>
                    <w:tl2br w:val="nil"/>
                    <w:tr2bl w:val="nil"/>
                  </w:tcBorders>
                  <w:vAlign w:val="center"/>
                </w:tcPr>
                <w:p w14:paraId="3D16F14E">
                  <w:pPr>
                    <w:pStyle w:val="2"/>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7.7</w:t>
                  </w:r>
                </w:p>
              </w:tc>
            </w:tr>
            <w:tr w14:paraId="2EDCB09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gridBefore w:val="1"/>
                <w:wBefore w:w="5" w:type="dxa"/>
                <w:jc w:val="center"/>
              </w:trPr>
              <w:tc>
                <w:tcPr>
                  <w:tcW w:w="1745" w:type="dxa"/>
                  <w:gridSpan w:val="2"/>
                  <w:tcBorders>
                    <w:tl2br w:val="nil"/>
                    <w:tr2bl w:val="nil"/>
                  </w:tcBorders>
                  <w:vAlign w:val="center"/>
                </w:tcPr>
                <w:p w14:paraId="0529C604">
                  <w:pPr>
                    <w:pStyle w:val="2"/>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水温（℃）</w:t>
                  </w:r>
                </w:p>
              </w:tc>
              <w:tc>
                <w:tcPr>
                  <w:tcW w:w="1746" w:type="dxa"/>
                  <w:gridSpan w:val="2"/>
                  <w:tcBorders>
                    <w:tl2br w:val="nil"/>
                    <w:tr2bl w:val="nil"/>
                  </w:tcBorders>
                  <w:vAlign w:val="center"/>
                </w:tcPr>
                <w:p w14:paraId="68FBAB17">
                  <w:pPr>
                    <w:pStyle w:val="2"/>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10.8</w:t>
                  </w:r>
                </w:p>
              </w:tc>
              <w:tc>
                <w:tcPr>
                  <w:tcW w:w="1746" w:type="dxa"/>
                  <w:gridSpan w:val="2"/>
                  <w:tcBorders>
                    <w:tl2br w:val="nil"/>
                    <w:tr2bl w:val="nil"/>
                  </w:tcBorders>
                  <w:vAlign w:val="center"/>
                </w:tcPr>
                <w:p w14:paraId="2702D813">
                  <w:pPr>
                    <w:pStyle w:val="2"/>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10.6</w:t>
                  </w:r>
                </w:p>
              </w:tc>
              <w:tc>
                <w:tcPr>
                  <w:tcW w:w="1746" w:type="dxa"/>
                  <w:gridSpan w:val="2"/>
                  <w:tcBorders>
                    <w:tl2br w:val="nil"/>
                    <w:tr2bl w:val="nil"/>
                  </w:tcBorders>
                  <w:vAlign w:val="center"/>
                </w:tcPr>
                <w:p w14:paraId="1EAD836A">
                  <w:pPr>
                    <w:pStyle w:val="2"/>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10.7</w:t>
                  </w:r>
                </w:p>
              </w:tc>
              <w:tc>
                <w:tcPr>
                  <w:tcW w:w="1746" w:type="dxa"/>
                  <w:gridSpan w:val="2"/>
                  <w:tcBorders>
                    <w:tl2br w:val="nil"/>
                    <w:tr2bl w:val="nil"/>
                  </w:tcBorders>
                  <w:vAlign w:val="center"/>
                </w:tcPr>
                <w:p w14:paraId="122B4129">
                  <w:pPr>
                    <w:pStyle w:val="2"/>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11.2</w:t>
                  </w:r>
                </w:p>
              </w:tc>
            </w:tr>
            <w:tr w14:paraId="2F00B77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gridBefore w:val="1"/>
                <w:wBefore w:w="5" w:type="dxa"/>
                <w:jc w:val="center"/>
              </w:trPr>
              <w:tc>
                <w:tcPr>
                  <w:tcW w:w="1745" w:type="dxa"/>
                  <w:gridSpan w:val="2"/>
                  <w:tcBorders>
                    <w:tl2br w:val="nil"/>
                    <w:tr2bl w:val="nil"/>
                  </w:tcBorders>
                  <w:vAlign w:val="center"/>
                </w:tcPr>
                <w:p w14:paraId="2277D7EC">
                  <w:pPr>
                    <w:pStyle w:val="2"/>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悬浮物（mg/L）</w:t>
                  </w:r>
                </w:p>
              </w:tc>
              <w:tc>
                <w:tcPr>
                  <w:tcW w:w="1746" w:type="dxa"/>
                  <w:gridSpan w:val="2"/>
                  <w:tcBorders>
                    <w:tl2br w:val="nil"/>
                    <w:tr2bl w:val="nil"/>
                  </w:tcBorders>
                  <w:vAlign w:val="center"/>
                </w:tcPr>
                <w:p w14:paraId="59293C3C">
                  <w:pPr>
                    <w:pStyle w:val="2"/>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37</w:t>
                  </w:r>
                </w:p>
              </w:tc>
              <w:tc>
                <w:tcPr>
                  <w:tcW w:w="1746" w:type="dxa"/>
                  <w:gridSpan w:val="2"/>
                  <w:tcBorders>
                    <w:tl2br w:val="nil"/>
                    <w:tr2bl w:val="nil"/>
                  </w:tcBorders>
                  <w:vAlign w:val="center"/>
                </w:tcPr>
                <w:p w14:paraId="651A0C7B">
                  <w:pPr>
                    <w:pStyle w:val="2"/>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35</w:t>
                  </w:r>
                </w:p>
              </w:tc>
              <w:tc>
                <w:tcPr>
                  <w:tcW w:w="1746" w:type="dxa"/>
                  <w:gridSpan w:val="2"/>
                  <w:tcBorders>
                    <w:tl2br w:val="nil"/>
                    <w:tr2bl w:val="nil"/>
                  </w:tcBorders>
                  <w:vAlign w:val="center"/>
                </w:tcPr>
                <w:p w14:paraId="6650F459">
                  <w:pPr>
                    <w:pStyle w:val="2"/>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33</w:t>
                  </w:r>
                </w:p>
              </w:tc>
              <w:tc>
                <w:tcPr>
                  <w:tcW w:w="1746" w:type="dxa"/>
                  <w:gridSpan w:val="2"/>
                  <w:tcBorders>
                    <w:tl2br w:val="nil"/>
                    <w:tr2bl w:val="nil"/>
                  </w:tcBorders>
                  <w:vAlign w:val="center"/>
                </w:tcPr>
                <w:p w14:paraId="41E39D74">
                  <w:pPr>
                    <w:pStyle w:val="2"/>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38</w:t>
                  </w:r>
                </w:p>
              </w:tc>
            </w:tr>
            <w:tr w14:paraId="2797E4A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gridBefore w:val="1"/>
                <w:wBefore w:w="5" w:type="dxa"/>
                <w:jc w:val="center"/>
              </w:trPr>
              <w:tc>
                <w:tcPr>
                  <w:tcW w:w="1745" w:type="dxa"/>
                  <w:gridSpan w:val="2"/>
                  <w:tcBorders>
                    <w:tl2br w:val="nil"/>
                    <w:tr2bl w:val="nil"/>
                  </w:tcBorders>
                  <w:vAlign w:val="center"/>
                </w:tcPr>
                <w:p w14:paraId="41F64C5B">
                  <w:pPr>
                    <w:pStyle w:val="2"/>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化学需氧量（mg/L）</w:t>
                  </w:r>
                </w:p>
              </w:tc>
              <w:tc>
                <w:tcPr>
                  <w:tcW w:w="1746" w:type="dxa"/>
                  <w:gridSpan w:val="2"/>
                  <w:tcBorders>
                    <w:tl2br w:val="nil"/>
                    <w:tr2bl w:val="nil"/>
                  </w:tcBorders>
                  <w:vAlign w:val="center"/>
                </w:tcPr>
                <w:p w14:paraId="4BB6D688">
                  <w:pPr>
                    <w:pStyle w:val="2"/>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18</w:t>
                  </w:r>
                </w:p>
              </w:tc>
              <w:tc>
                <w:tcPr>
                  <w:tcW w:w="1746" w:type="dxa"/>
                  <w:gridSpan w:val="2"/>
                  <w:tcBorders>
                    <w:tl2br w:val="nil"/>
                    <w:tr2bl w:val="nil"/>
                  </w:tcBorders>
                  <w:vAlign w:val="center"/>
                </w:tcPr>
                <w:p w14:paraId="4661A554">
                  <w:pPr>
                    <w:pStyle w:val="2"/>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17</w:t>
                  </w:r>
                </w:p>
              </w:tc>
              <w:tc>
                <w:tcPr>
                  <w:tcW w:w="1746" w:type="dxa"/>
                  <w:gridSpan w:val="2"/>
                  <w:tcBorders>
                    <w:tl2br w:val="nil"/>
                    <w:tr2bl w:val="nil"/>
                  </w:tcBorders>
                  <w:vAlign w:val="center"/>
                </w:tcPr>
                <w:p w14:paraId="4EC06F7D">
                  <w:pPr>
                    <w:pStyle w:val="2"/>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18</w:t>
                  </w:r>
                </w:p>
              </w:tc>
              <w:tc>
                <w:tcPr>
                  <w:tcW w:w="1746" w:type="dxa"/>
                  <w:gridSpan w:val="2"/>
                  <w:tcBorders>
                    <w:tl2br w:val="nil"/>
                    <w:tr2bl w:val="nil"/>
                  </w:tcBorders>
                  <w:vAlign w:val="center"/>
                </w:tcPr>
                <w:p w14:paraId="674278C8">
                  <w:pPr>
                    <w:pStyle w:val="2"/>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18</w:t>
                  </w:r>
                </w:p>
              </w:tc>
            </w:tr>
            <w:tr w14:paraId="10CE937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gridBefore w:val="1"/>
                <w:wBefore w:w="5" w:type="dxa"/>
                <w:jc w:val="center"/>
              </w:trPr>
              <w:tc>
                <w:tcPr>
                  <w:tcW w:w="1745" w:type="dxa"/>
                  <w:gridSpan w:val="2"/>
                  <w:tcBorders>
                    <w:tl2br w:val="nil"/>
                    <w:tr2bl w:val="nil"/>
                  </w:tcBorders>
                  <w:vAlign w:val="center"/>
                </w:tcPr>
                <w:p w14:paraId="6772AC52">
                  <w:pPr>
                    <w:pStyle w:val="2"/>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cs="Times New Roman"/>
                      <w:b w:val="0"/>
                      <w:bCs w:val="0"/>
                      <w:color w:val="auto"/>
                      <w:sz w:val="21"/>
                      <w:szCs w:val="21"/>
                      <w:vertAlign w:val="baseline"/>
                    </w:rPr>
                  </w:pPr>
                  <w:r>
                    <w:rPr>
                      <w:rFonts w:hint="default" w:ascii="Times New Roman" w:hAnsi="Times New Roman" w:cs="Times New Roman"/>
                      <w:b w:val="0"/>
                      <w:bCs w:val="0"/>
                      <w:color w:val="auto"/>
                      <w:sz w:val="21"/>
                      <w:szCs w:val="21"/>
                      <w:vertAlign w:val="baseline"/>
                      <w:lang w:val="en-US" w:eastAsia="zh-CN"/>
                    </w:rPr>
                    <w:t>总磷（mg/L）</w:t>
                  </w:r>
                </w:p>
              </w:tc>
              <w:tc>
                <w:tcPr>
                  <w:tcW w:w="1746" w:type="dxa"/>
                  <w:gridSpan w:val="2"/>
                  <w:tcBorders>
                    <w:tl2br w:val="nil"/>
                    <w:tr2bl w:val="nil"/>
                  </w:tcBorders>
                  <w:vAlign w:val="center"/>
                </w:tcPr>
                <w:p w14:paraId="2B2C836C">
                  <w:pPr>
                    <w:pStyle w:val="2"/>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0.11</w:t>
                  </w:r>
                </w:p>
              </w:tc>
              <w:tc>
                <w:tcPr>
                  <w:tcW w:w="1746" w:type="dxa"/>
                  <w:gridSpan w:val="2"/>
                  <w:tcBorders>
                    <w:tl2br w:val="nil"/>
                    <w:tr2bl w:val="nil"/>
                  </w:tcBorders>
                  <w:vAlign w:val="center"/>
                </w:tcPr>
                <w:p w14:paraId="0B49E41D">
                  <w:pPr>
                    <w:pStyle w:val="2"/>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0.13</w:t>
                  </w:r>
                </w:p>
              </w:tc>
              <w:tc>
                <w:tcPr>
                  <w:tcW w:w="1746" w:type="dxa"/>
                  <w:gridSpan w:val="2"/>
                  <w:tcBorders>
                    <w:tl2br w:val="nil"/>
                    <w:tr2bl w:val="nil"/>
                  </w:tcBorders>
                  <w:vAlign w:val="center"/>
                </w:tcPr>
                <w:p w14:paraId="3D6A20A8">
                  <w:pPr>
                    <w:pStyle w:val="2"/>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0.09</w:t>
                  </w:r>
                </w:p>
              </w:tc>
              <w:tc>
                <w:tcPr>
                  <w:tcW w:w="1746" w:type="dxa"/>
                  <w:gridSpan w:val="2"/>
                  <w:tcBorders>
                    <w:tl2br w:val="nil"/>
                    <w:tr2bl w:val="nil"/>
                  </w:tcBorders>
                  <w:vAlign w:val="center"/>
                </w:tcPr>
                <w:p w14:paraId="7AC8CF41">
                  <w:pPr>
                    <w:pStyle w:val="2"/>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0.09</w:t>
                  </w:r>
                </w:p>
              </w:tc>
            </w:tr>
            <w:tr w14:paraId="3F89473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gridBefore w:val="1"/>
                <w:wBefore w:w="5" w:type="dxa"/>
                <w:jc w:val="center"/>
              </w:trPr>
              <w:tc>
                <w:tcPr>
                  <w:tcW w:w="1745" w:type="dxa"/>
                  <w:gridSpan w:val="2"/>
                  <w:tcBorders>
                    <w:tl2br w:val="nil"/>
                    <w:tr2bl w:val="nil"/>
                  </w:tcBorders>
                  <w:vAlign w:val="center"/>
                </w:tcPr>
                <w:p w14:paraId="1402CD8D">
                  <w:pPr>
                    <w:pStyle w:val="2"/>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cs="Times New Roman"/>
                      <w:b w:val="0"/>
                      <w:bCs w:val="0"/>
                      <w:color w:val="auto"/>
                      <w:sz w:val="21"/>
                      <w:szCs w:val="21"/>
                      <w:vertAlign w:val="baseline"/>
                    </w:rPr>
                  </w:pPr>
                  <w:r>
                    <w:rPr>
                      <w:rFonts w:hint="default" w:ascii="Times New Roman" w:hAnsi="Times New Roman" w:cs="Times New Roman"/>
                      <w:b w:val="0"/>
                      <w:bCs w:val="0"/>
                      <w:color w:val="auto"/>
                      <w:sz w:val="21"/>
                      <w:szCs w:val="21"/>
                      <w:vertAlign w:val="baseline"/>
                      <w:lang w:val="en-US" w:eastAsia="zh-CN"/>
                    </w:rPr>
                    <w:t>氨氮（mg/L）</w:t>
                  </w:r>
                </w:p>
              </w:tc>
              <w:tc>
                <w:tcPr>
                  <w:tcW w:w="1746" w:type="dxa"/>
                  <w:gridSpan w:val="2"/>
                  <w:tcBorders>
                    <w:tl2br w:val="nil"/>
                    <w:tr2bl w:val="nil"/>
                  </w:tcBorders>
                  <w:vAlign w:val="center"/>
                </w:tcPr>
                <w:p w14:paraId="35DF875B">
                  <w:pPr>
                    <w:pStyle w:val="2"/>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0.378</w:t>
                  </w:r>
                </w:p>
              </w:tc>
              <w:tc>
                <w:tcPr>
                  <w:tcW w:w="1746" w:type="dxa"/>
                  <w:gridSpan w:val="2"/>
                  <w:tcBorders>
                    <w:tl2br w:val="nil"/>
                    <w:tr2bl w:val="nil"/>
                  </w:tcBorders>
                  <w:vAlign w:val="center"/>
                </w:tcPr>
                <w:p w14:paraId="2961912B">
                  <w:pPr>
                    <w:pStyle w:val="2"/>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0.355</w:t>
                  </w:r>
                </w:p>
              </w:tc>
              <w:tc>
                <w:tcPr>
                  <w:tcW w:w="1746" w:type="dxa"/>
                  <w:gridSpan w:val="2"/>
                  <w:tcBorders>
                    <w:tl2br w:val="nil"/>
                    <w:tr2bl w:val="nil"/>
                  </w:tcBorders>
                  <w:vAlign w:val="center"/>
                </w:tcPr>
                <w:p w14:paraId="0454DAC9">
                  <w:pPr>
                    <w:pStyle w:val="2"/>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0.395</w:t>
                  </w:r>
                </w:p>
              </w:tc>
              <w:tc>
                <w:tcPr>
                  <w:tcW w:w="1746" w:type="dxa"/>
                  <w:gridSpan w:val="2"/>
                  <w:tcBorders>
                    <w:tl2br w:val="nil"/>
                    <w:tr2bl w:val="nil"/>
                  </w:tcBorders>
                  <w:vAlign w:val="center"/>
                </w:tcPr>
                <w:p w14:paraId="18ED08C1">
                  <w:pPr>
                    <w:pStyle w:val="2"/>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0.356</w:t>
                  </w:r>
                </w:p>
              </w:tc>
            </w:tr>
            <w:tr w14:paraId="47BDBF8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gridBefore w:val="1"/>
                <w:wBefore w:w="5" w:type="dxa"/>
                <w:jc w:val="center"/>
              </w:trPr>
              <w:tc>
                <w:tcPr>
                  <w:tcW w:w="1745" w:type="dxa"/>
                  <w:gridSpan w:val="2"/>
                  <w:tcBorders>
                    <w:tl2br w:val="nil"/>
                    <w:tr2bl w:val="nil"/>
                  </w:tcBorders>
                  <w:vAlign w:val="center"/>
                </w:tcPr>
                <w:p w14:paraId="2A47BB76">
                  <w:pPr>
                    <w:pStyle w:val="2"/>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cs="Times New Roman"/>
                      <w:b w:val="0"/>
                      <w:bCs w:val="0"/>
                      <w:color w:val="auto"/>
                      <w:sz w:val="21"/>
                      <w:szCs w:val="21"/>
                      <w:vertAlign w:val="baseline"/>
                    </w:rPr>
                  </w:pPr>
                  <w:r>
                    <w:rPr>
                      <w:rFonts w:hint="default" w:ascii="Times New Roman" w:hAnsi="Times New Roman" w:cs="Times New Roman"/>
                      <w:b w:val="0"/>
                      <w:bCs w:val="0"/>
                      <w:color w:val="auto"/>
                      <w:sz w:val="21"/>
                      <w:szCs w:val="21"/>
                      <w:vertAlign w:val="baseline"/>
                      <w:lang w:val="en-US" w:eastAsia="zh-CN"/>
                    </w:rPr>
                    <w:t>总氮（mg/L）</w:t>
                  </w:r>
                </w:p>
              </w:tc>
              <w:tc>
                <w:tcPr>
                  <w:tcW w:w="1746" w:type="dxa"/>
                  <w:gridSpan w:val="2"/>
                  <w:tcBorders>
                    <w:tl2br w:val="nil"/>
                    <w:tr2bl w:val="nil"/>
                  </w:tcBorders>
                  <w:vAlign w:val="center"/>
                </w:tcPr>
                <w:p w14:paraId="65809D1F">
                  <w:pPr>
                    <w:pStyle w:val="2"/>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0.723</w:t>
                  </w:r>
                </w:p>
              </w:tc>
              <w:tc>
                <w:tcPr>
                  <w:tcW w:w="1746" w:type="dxa"/>
                  <w:gridSpan w:val="2"/>
                  <w:tcBorders>
                    <w:tl2br w:val="nil"/>
                    <w:tr2bl w:val="nil"/>
                  </w:tcBorders>
                  <w:vAlign w:val="center"/>
                </w:tcPr>
                <w:p w14:paraId="641FCFBB">
                  <w:pPr>
                    <w:pStyle w:val="2"/>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0.883</w:t>
                  </w:r>
                </w:p>
              </w:tc>
              <w:tc>
                <w:tcPr>
                  <w:tcW w:w="1746" w:type="dxa"/>
                  <w:gridSpan w:val="2"/>
                  <w:tcBorders>
                    <w:tl2br w:val="nil"/>
                    <w:tr2bl w:val="nil"/>
                  </w:tcBorders>
                  <w:vAlign w:val="center"/>
                </w:tcPr>
                <w:p w14:paraId="258836E3">
                  <w:pPr>
                    <w:pStyle w:val="2"/>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0.813</w:t>
                  </w:r>
                </w:p>
              </w:tc>
              <w:tc>
                <w:tcPr>
                  <w:tcW w:w="1746" w:type="dxa"/>
                  <w:gridSpan w:val="2"/>
                  <w:tcBorders>
                    <w:tl2br w:val="nil"/>
                    <w:tr2bl w:val="nil"/>
                  </w:tcBorders>
                  <w:vAlign w:val="center"/>
                </w:tcPr>
                <w:p w14:paraId="5D811AF4">
                  <w:pPr>
                    <w:pStyle w:val="2"/>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0.913</w:t>
                  </w:r>
                </w:p>
              </w:tc>
            </w:tr>
            <w:tr w14:paraId="2B4B9D17">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gridBefore w:val="1"/>
                <w:wBefore w:w="5" w:type="dxa"/>
                <w:jc w:val="center"/>
              </w:trPr>
              <w:tc>
                <w:tcPr>
                  <w:tcW w:w="1745" w:type="dxa"/>
                  <w:gridSpan w:val="2"/>
                  <w:tcBorders>
                    <w:tl2br w:val="nil"/>
                    <w:tr2bl w:val="nil"/>
                  </w:tcBorders>
                  <w:vAlign w:val="center"/>
                </w:tcPr>
                <w:p w14:paraId="62BBA814">
                  <w:pPr>
                    <w:pStyle w:val="2"/>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样品状态</w:t>
                  </w:r>
                </w:p>
              </w:tc>
              <w:tc>
                <w:tcPr>
                  <w:tcW w:w="3492" w:type="dxa"/>
                  <w:gridSpan w:val="4"/>
                  <w:tcBorders>
                    <w:tl2br w:val="nil"/>
                    <w:tr2bl w:val="nil"/>
                  </w:tcBorders>
                  <w:vAlign w:val="center"/>
                </w:tcPr>
                <w:p w14:paraId="5F5CD318">
                  <w:pPr>
                    <w:pStyle w:val="2"/>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无色、微浑、无异味、无浮油、无藻类</w:t>
                  </w:r>
                </w:p>
              </w:tc>
              <w:tc>
                <w:tcPr>
                  <w:tcW w:w="3492" w:type="dxa"/>
                  <w:gridSpan w:val="4"/>
                  <w:tcBorders>
                    <w:tl2br w:val="nil"/>
                    <w:tr2bl w:val="nil"/>
                  </w:tcBorders>
                  <w:vAlign w:val="center"/>
                </w:tcPr>
                <w:p w14:paraId="37420C91">
                  <w:pPr>
                    <w:pStyle w:val="2"/>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cs="Times New Roman"/>
                      <w:b w:val="0"/>
                      <w:bCs w:val="0"/>
                      <w:color w:val="auto"/>
                      <w:sz w:val="21"/>
                      <w:szCs w:val="21"/>
                      <w:vertAlign w:val="baseline"/>
                    </w:rPr>
                  </w:pPr>
                  <w:r>
                    <w:rPr>
                      <w:rFonts w:hint="default" w:ascii="Times New Roman" w:hAnsi="Times New Roman" w:cs="Times New Roman"/>
                      <w:b w:val="0"/>
                      <w:bCs w:val="0"/>
                      <w:color w:val="auto"/>
                      <w:sz w:val="21"/>
                      <w:szCs w:val="21"/>
                      <w:vertAlign w:val="baseline"/>
                      <w:lang w:val="en-US" w:eastAsia="zh-CN"/>
                    </w:rPr>
                    <w:t>无色、微浑、无异味、无浮油、无藻类</w:t>
                  </w:r>
                </w:p>
              </w:tc>
            </w:tr>
            <w:tr w14:paraId="2EDD000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gridAfter w:val="1"/>
                <w:wAfter w:w="5" w:type="dxa"/>
                <w:jc w:val="center"/>
              </w:trPr>
              <w:tc>
                <w:tcPr>
                  <w:tcW w:w="1745" w:type="dxa"/>
                  <w:gridSpan w:val="2"/>
                  <w:tcBorders>
                    <w:tl2br w:val="nil"/>
                    <w:tr2bl w:val="nil"/>
                  </w:tcBorders>
                  <w:vAlign w:val="center"/>
                </w:tcPr>
                <w:p w14:paraId="042DC237">
                  <w:pPr>
                    <w:pStyle w:val="2"/>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采样日期</w:t>
                  </w:r>
                </w:p>
              </w:tc>
              <w:tc>
                <w:tcPr>
                  <w:tcW w:w="6984" w:type="dxa"/>
                  <w:gridSpan w:val="8"/>
                  <w:tcBorders>
                    <w:tl2br w:val="nil"/>
                    <w:tr2bl w:val="nil"/>
                  </w:tcBorders>
                  <w:vAlign w:val="center"/>
                </w:tcPr>
                <w:p w14:paraId="314B15C7">
                  <w:pPr>
                    <w:pStyle w:val="2"/>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2025年01月08日</w:t>
                  </w:r>
                </w:p>
              </w:tc>
            </w:tr>
            <w:tr w14:paraId="5EC76AE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gridAfter w:val="1"/>
                <w:wAfter w:w="5" w:type="dxa"/>
                <w:jc w:val="center"/>
              </w:trPr>
              <w:tc>
                <w:tcPr>
                  <w:tcW w:w="1745" w:type="dxa"/>
                  <w:gridSpan w:val="2"/>
                  <w:tcBorders>
                    <w:tl2br w:val="nil"/>
                    <w:tr2bl w:val="nil"/>
                  </w:tcBorders>
                  <w:vAlign w:val="center"/>
                </w:tcPr>
                <w:p w14:paraId="513A716B">
                  <w:pPr>
                    <w:pStyle w:val="2"/>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采样点位</w:t>
                  </w:r>
                </w:p>
              </w:tc>
              <w:tc>
                <w:tcPr>
                  <w:tcW w:w="3492" w:type="dxa"/>
                  <w:gridSpan w:val="4"/>
                  <w:tcBorders>
                    <w:tl2br w:val="nil"/>
                    <w:tr2bl w:val="nil"/>
                  </w:tcBorders>
                  <w:vAlign w:val="center"/>
                </w:tcPr>
                <w:p w14:paraId="2E915FBA">
                  <w:pPr>
                    <w:pStyle w:val="2"/>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W1点（金坛第二污水处理厂排污口 排污口上游500m）</w:t>
                  </w:r>
                </w:p>
              </w:tc>
              <w:tc>
                <w:tcPr>
                  <w:tcW w:w="3492" w:type="dxa"/>
                  <w:gridSpan w:val="4"/>
                  <w:tcBorders>
                    <w:tl2br w:val="nil"/>
                    <w:tr2bl w:val="nil"/>
                  </w:tcBorders>
                  <w:vAlign w:val="center"/>
                </w:tcPr>
                <w:p w14:paraId="399290BD">
                  <w:pPr>
                    <w:pStyle w:val="2"/>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cs="Times New Roman"/>
                      <w:b w:val="0"/>
                      <w:bCs w:val="0"/>
                      <w:color w:val="auto"/>
                      <w:sz w:val="21"/>
                      <w:szCs w:val="21"/>
                      <w:vertAlign w:val="baseline"/>
                    </w:rPr>
                  </w:pPr>
                  <w:r>
                    <w:rPr>
                      <w:rFonts w:hint="default" w:ascii="Times New Roman" w:hAnsi="Times New Roman" w:cs="Times New Roman"/>
                      <w:b w:val="0"/>
                      <w:bCs w:val="0"/>
                      <w:color w:val="auto"/>
                      <w:sz w:val="21"/>
                      <w:szCs w:val="21"/>
                      <w:vertAlign w:val="baseline"/>
                      <w:lang w:val="en-US" w:eastAsia="zh-CN"/>
                    </w:rPr>
                    <w:t>W2点（金坛第二污水处理厂排污口 排污口下游2000m）</w:t>
                  </w:r>
                </w:p>
              </w:tc>
            </w:tr>
            <w:tr w14:paraId="1E2BF12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gridAfter w:val="1"/>
                <w:wAfter w:w="5" w:type="dxa"/>
                <w:jc w:val="center"/>
              </w:trPr>
              <w:tc>
                <w:tcPr>
                  <w:tcW w:w="1745" w:type="dxa"/>
                  <w:gridSpan w:val="2"/>
                  <w:tcBorders>
                    <w:tl2br w:val="nil"/>
                    <w:tr2bl w:val="nil"/>
                  </w:tcBorders>
                  <w:vAlign w:val="center"/>
                </w:tcPr>
                <w:p w14:paraId="3BE212FE">
                  <w:pPr>
                    <w:pStyle w:val="2"/>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pH值（无量纲）</w:t>
                  </w:r>
                </w:p>
              </w:tc>
              <w:tc>
                <w:tcPr>
                  <w:tcW w:w="1746" w:type="dxa"/>
                  <w:gridSpan w:val="2"/>
                  <w:tcBorders>
                    <w:tl2br w:val="nil"/>
                    <w:tr2bl w:val="nil"/>
                  </w:tcBorders>
                  <w:vAlign w:val="center"/>
                </w:tcPr>
                <w:p w14:paraId="3D6057D7">
                  <w:pPr>
                    <w:pStyle w:val="2"/>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7.8</w:t>
                  </w:r>
                </w:p>
              </w:tc>
              <w:tc>
                <w:tcPr>
                  <w:tcW w:w="1746" w:type="dxa"/>
                  <w:gridSpan w:val="2"/>
                  <w:tcBorders>
                    <w:tl2br w:val="nil"/>
                    <w:tr2bl w:val="nil"/>
                  </w:tcBorders>
                  <w:vAlign w:val="center"/>
                </w:tcPr>
                <w:p w14:paraId="4EE9EC49">
                  <w:pPr>
                    <w:pStyle w:val="2"/>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7.7</w:t>
                  </w:r>
                </w:p>
              </w:tc>
              <w:tc>
                <w:tcPr>
                  <w:tcW w:w="1746" w:type="dxa"/>
                  <w:gridSpan w:val="2"/>
                  <w:tcBorders>
                    <w:tl2br w:val="nil"/>
                    <w:tr2bl w:val="nil"/>
                  </w:tcBorders>
                  <w:vAlign w:val="center"/>
                </w:tcPr>
                <w:p w14:paraId="3918F06F">
                  <w:pPr>
                    <w:pStyle w:val="2"/>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7.2</w:t>
                  </w:r>
                </w:p>
              </w:tc>
              <w:tc>
                <w:tcPr>
                  <w:tcW w:w="1746" w:type="dxa"/>
                  <w:gridSpan w:val="2"/>
                  <w:tcBorders>
                    <w:tl2br w:val="nil"/>
                    <w:tr2bl w:val="nil"/>
                  </w:tcBorders>
                  <w:vAlign w:val="center"/>
                </w:tcPr>
                <w:p w14:paraId="7D4A3D3F">
                  <w:pPr>
                    <w:pStyle w:val="2"/>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7.7</w:t>
                  </w:r>
                </w:p>
              </w:tc>
            </w:tr>
            <w:tr w14:paraId="5541B81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gridAfter w:val="1"/>
                <w:wAfter w:w="5" w:type="dxa"/>
                <w:jc w:val="center"/>
              </w:trPr>
              <w:tc>
                <w:tcPr>
                  <w:tcW w:w="1745" w:type="dxa"/>
                  <w:gridSpan w:val="2"/>
                  <w:tcBorders>
                    <w:tl2br w:val="nil"/>
                    <w:tr2bl w:val="nil"/>
                  </w:tcBorders>
                  <w:vAlign w:val="center"/>
                </w:tcPr>
                <w:p w14:paraId="5FCB042C">
                  <w:pPr>
                    <w:pStyle w:val="2"/>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水温（℃）</w:t>
                  </w:r>
                </w:p>
              </w:tc>
              <w:tc>
                <w:tcPr>
                  <w:tcW w:w="1746" w:type="dxa"/>
                  <w:gridSpan w:val="2"/>
                  <w:tcBorders>
                    <w:tl2br w:val="nil"/>
                    <w:tr2bl w:val="nil"/>
                  </w:tcBorders>
                  <w:vAlign w:val="center"/>
                </w:tcPr>
                <w:p w14:paraId="1C4FD9B1">
                  <w:pPr>
                    <w:pStyle w:val="2"/>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9.5</w:t>
                  </w:r>
                </w:p>
              </w:tc>
              <w:tc>
                <w:tcPr>
                  <w:tcW w:w="1746" w:type="dxa"/>
                  <w:gridSpan w:val="2"/>
                  <w:tcBorders>
                    <w:tl2br w:val="nil"/>
                    <w:tr2bl w:val="nil"/>
                  </w:tcBorders>
                  <w:vAlign w:val="center"/>
                </w:tcPr>
                <w:p w14:paraId="0350D324">
                  <w:pPr>
                    <w:pStyle w:val="2"/>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9.4</w:t>
                  </w:r>
                </w:p>
              </w:tc>
              <w:tc>
                <w:tcPr>
                  <w:tcW w:w="1746" w:type="dxa"/>
                  <w:gridSpan w:val="2"/>
                  <w:tcBorders>
                    <w:tl2br w:val="nil"/>
                    <w:tr2bl w:val="nil"/>
                  </w:tcBorders>
                  <w:vAlign w:val="center"/>
                </w:tcPr>
                <w:p w14:paraId="1E254BE4">
                  <w:pPr>
                    <w:pStyle w:val="2"/>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9.4</w:t>
                  </w:r>
                </w:p>
              </w:tc>
              <w:tc>
                <w:tcPr>
                  <w:tcW w:w="1746" w:type="dxa"/>
                  <w:gridSpan w:val="2"/>
                  <w:tcBorders>
                    <w:tl2br w:val="nil"/>
                    <w:tr2bl w:val="nil"/>
                  </w:tcBorders>
                  <w:vAlign w:val="center"/>
                </w:tcPr>
                <w:p w14:paraId="7279B4F2">
                  <w:pPr>
                    <w:pStyle w:val="2"/>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9.2</w:t>
                  </w:r>
                </w:p>
              </w:tc>
            </w:tr>
            <w:tr w14:paraId="1B10D78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gridAfter w:val="1"/>
                <w:wAfter w:w="5" w:type="dxa"/>
                <w:jc w:val="center"/>
              </w:trPr>
              <w:tc>
                <w:tcPr>
                  <w:tcW w:w="1745" w:type="dxa"/>
                  <w:gridSpan w:val="2"/>
                  <w:tcBorders>
                    <w:tl2br w:val="nil"/>
                    <w:tr2bl w:val="nil"/>
                  </w:tcBorders>
                  <w:vAlign w:val="center"/>
                </w:tcPr>
                <w:p w14:paraId="282F391E">
                  <w:pPr>
                    <w:pStyle w:val="2"/>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悬浮物（mg/L）</w:t>
                  </w:r>
                </w:p>
              </w:tc>
              <w:tc>
                <w:tcPr>
                  <w:tcW w:w="1746" w:type="dxa"/>
                  <w:gridSpan w:val="2"/>
                  <w:tcBorders>
                    <w:tl2br w:val="nil"/>
                    <w:tr2bl w:val="nil"/>
                  </w:tcBorders>
                  <w:vAlign w:val="center"/>
                </w:tcPr>
                <w:p w14:paraId="7C8568C5">
                  <w:pPr>
                    <w:pStyle w:val="2"/>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29</w:t>
                  </w:r>
                </w:p>
              </w:tc>
              <w:tc>
                <w:tcPr>
                  <w:tcW w:w="1746" w:type="dxa"/>
                  <w:gridSpan w:val="2"/>
                  <w:tcBorders>
                    <w:tl2br w:val="nil"/>
                    <w:tr2bl w:val="nil"/>
                  </w:tcBorders>
                  <w:vAlign w:val="center"/>
                </w:tcPr>
                <w:p w14:paraId="53EFB981">
                  <w:pPr>
                    <w:pStyle w:val="2"/>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24</w:t>
                  </w:r>
                </w:p>
              </w:tc>
              <w:tc>
                <w:tcPr>
                  <w:tcW w:w="1746" w:type="dxa"/>
                  <w:gridSpan w:val="2"/>
                  <w:tcBorders>
                    <w:tl2br w:val="nil"/>
                    <w:tr2bl w:val="nil"/>
                  </w:tcBorders>
                  <w:vAlign w:val="center"/>
                </w:tcPr>
                <w:p w14:paraId="7D3A1FCB">
                  <w:pPr>
                    <w:pStyle w:val="2"/>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26</w:t>
                  </w:r>
                </w:p>
              </w:tc>
              <w:tc>
                <w:tcPr>
                  <w:tcW w:w="1746" w:type="dxa"/>
                  <w:gridSpan w:val="2"/>
                  <w:tcBorders>
                    <w:tl2br w:val="nil"/>
                    <w:tr2bl w:val="nil"/>
                  </w:tcBorders>
                  <w:vAlign w:val="center"/>
                </w:tcPr>
                <w:p w14:paraId="28D1028C">
                  <w:pPr>
                    <w:pStyle w:val="2"/>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25</w:t>
                  </w:r>
                </w:p>
              </w:tc>
            </w:tr>
            <w:tr w14:paraId="521E8D8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gridAfter w:val="1"/>
                <w:wAfter w:w="5" w:type="dxa"/>
                <w:jc w:val="center"/>
              </w:trPr>
              <w:tc>
                <w:tcPr>
                  <w:tcW w:w="1745" w:type="dxa"/>
                  <w:gridSpan w:val="2"/>
                  <w:tcBorders>
                    <w:tl2br w:val="nil"/>
                    <w:tr2bl w:val="nil"/>
                  </w:tcBorders>
                  <w:vAlign w:val="center"/>
                </w:tcPr>
                <w:p w14:paraId="6F674B16">
                  <w:pPr>
                    <w:pStyle w:val="2"/>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化学需氧量（mg/L）</w:t>
                  </w:r>
                </w:p>
              </w:tc>
              <w:tc>
                <w:tcPr>
                  <w:tcW w:w="1746" w:type="dxa"/>
                  <w:gridSpan w:val="2"/>
                  <w:tcBorders>
                    <w:tl2br w:val="nil"/>
                    <w:tr2bl w:val="nil"/>
                  </w:tcBorders>
                  <w:vAlign w:val="center"/>
                </w:tcPr>
                <w:p w14:paraId="5B8B6CDB">
                  <w:pPr>
                    <w:pStyle w:val="2"/>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17</w:t>
                  </w:r>
                </w:p>
              </w:tc>
              <w:tc>
                <w:tcPr>
                  <w:tcW w:w="1746" w:type="dxa"/>
                  <w:gridSpan w:val="2"/>
                  <w:tcBorders>
                    <w:tl2br w:val="nil"/>
                    <w:tr2bl w:val="nil"/>
                  </w:tcBorders>
                  <w:vAlign w:val="center"/>
                </w:tcPr>
                <w:p w14:paraId="14A7AEE4">
                  <w:pPr>
                    <w:pStyle w:val="2"/>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16</w:t>
                  </w:r>
                </w:p>
              </w:tc>
              <w:tc>
                <w:tcPr>
                  <w:tcW w:w="1746" w:type="dxa"/>
                  <w:gridSpan w:val="2"/>
                  <w:tcBorders>
                    <w:tl2br w:val="nil"/>
                    <w:tr2bl w:val="nil"/>
                  </w:tcBorders>
                  <w:vAlign w:val="center"/>
                </w:tcPr>
                <w:p w14:paraId="22EDD224">
                  <w:pPr>
                    <w:pStyle w:val="2"/>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19</w:t>
                  </w:r>
                </w:p>
              </w:tc>
              <w:tc>
                <w:tcPr>
                  <w:tcW w:w="1746" w:type="dxa"/>
                  <w:gridSpan w:val="2"/>
                  <w:tcBorders>
                    <w:tl2br w:val="nil"/>
                    <w:tr2bl w:val="nil"/>
                  </w:tcBorders>
                  <w:vAlign w:val="center"/>
                </w:tcPr>
                <w:p w14:paraId="3941A06D">
                  <w:pPr>
                    <w:pStyle w:val="2"/>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18</w:t>
                  </w:r>
                </w:p>
              </w:tc>
            </w:tr>
            <w:tr w14:paraId="7A4352A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gridAfter w:val="1"/>
                <w:wAfter w:w="5" w:type="dxa"/>
                <w:jc w:val="center"/>
              </w:trPr>
              <w:tc>
                <w:tcPr>
                  <w:tcW w:w="1745" w:type="dxa"/>
                  <w:gridSpan w:val="2"/>
                  <w:tcBorders>
                    <w:tl2br w:val="nil"/>
                    <w:tr2bl w:val="nil"/>
                  </w:tcBorders>
                  <w:vAlign w:val="center"/>
                </w:tcPr>
                <w:p w14:paraId="23DCD8D3">
                  <w:pPr>
                    <w:pStyle w:val="2"/>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cs="Times New Roman"/>
                      <w:b w:val="0"/>
                      <w:bCs w:val="0"/>
                      <w:color w:val="auto"/>
                      <w:sz w:val="21"/>
                      <w:szCs w:val="21"/>
                      <w:vertAlign w:val="baseline"/>
                    </w:rPr>
                  </w:pPr>
                  <w:r>
                    <w:rPr>
                      <w:rFonts w:hint="default" w:ascii="Times New Roman" w:hAnsi="Times New Roman" w:cs="Times New Roman"/>
                      <w:b w:val="0"/>
                      <w:bCs w:val="0"/>
                      <w:color w:val="auto"/>
                      <w:sz w:val="21"/>
                      <w:szCs w:val="21"/>
                      <w:vertAlign w:val="baseline"/>
                      <w:lang w:val="en-US" w:eastAsia="zh-CN"/>
                    </w:rPr>
                    <w:t>总磷（mg/L）</w:t>
                  </w:r>
                </w:p>
              </w:tc>
              <w:tc>
                <w:tcPr>
                  <w:tcW w:w="1746" w:type="dxa"/>
                  <w:gridSpan w:val="2"/>
                  <w:tcBorders>
                    <w:tl2br w:val="nil"/>
                    <w:tr2bl w:val="nil"/>
                  </w:tcBorders>
                  <w:vAlign w:val="center"/>
                </w:tcPr>
                <w:p w14:paraId="6D6A2DD9">
                  <w:pPr>
                    <w:pStyle w:val="2"/>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0.07</w:t>
                  </w:r>
                </w:p>
              </w:tc>
              <w:tc>
                <w:tcPr>
                  <w:tcW w:w="1746" w:type="dxa"/>
                  <w:gridSpan w:val="2"/>
                  <w:tcBorders>
                    <w:tl2br w:val="nil"/>
                    <w:tr2bl w:val="nil"/>
                  </w:tcBorders>
                  <w:vAlign w:val="center"/>
                </w:tcPr>
                <w:p w14:paraId="51142C67">
                  <w:pPr>
                    <w:pStyle w:val="2"/>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0.07</w:t>
                  </w:r>
                </w:p>
              </w:tc>
              <w:tc>
                <w:tcPr>
                  <w:tcW w:w="1746" w:type="dxa"/>
                  <w:gridSpan w:val="2"/>
                  <w:tcBorders>
                    <w:tl2br w:val="nil"/>
                    <w:tr2bl w:val="nil"/>
                  </w:tcBorders>
                  <w:vAlign w:val="center"/>
                </w:tcPr>
                <w:p w14:paraId="187538DC">
                  <w:pPr>
                    <w:pStyle w:val="2"/>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0.06</w:t>
                  </w:r>
                </w:p>
              </w:tc>
              <w:tc>
                <w:tcPr>
                  <w:tcW w:w="1746" w:type="dxa"/>
                  <w:gridSpan w:val="2"/>
                  <w:tcBorders>
                    <w:tl2br w:val="nil"/>
                    <w:tr2bl w:val="nil"/>
                  </w:tcBorders>
                  <w:vAlign w:val="center"/>
                </w:tcPr>
                <w:p w14:paraId="49449187">
                  <w:pPr>
                    <w:pStyle w:val="2"/>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0.07</w:t>
                  </w:r>
                </w:p>
              </w:tc>
            </w:tr>
            <w:tr w14:paraId="665061C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gridAfter w:val="1"/>
                <w:wAfter w:w="5" w:type="dxa"/>
                <w:jc w:val="center"/>
              </w:trPr>
              <w:tc>
                <w:tcPr>
                  <w:tcW w:w="1745" w:type="dxa"/>
                  <w:gridSpan w:val="2"/>
                  <w:tcBorders>
                    <w:tl2br w:val="nil"/>
                    <w:tr2bl w:val="nil"/>
                  </w:tcBorders>
                  <w:vAlign w:val="center"/>
                </w:tcPr>
                <w:p w14:paraId="52F9624B">
                  <w:pPr>
                    <w:pStyle w:val="2"/>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cs="Times New Roman"/>
                      <w:b w:val="0"/>
                      <w:bCs w:val="0"/>
                      <w:color w:val="auto"/>
                      <w:sz w:val="21"/>
                      <w:szCs w:val="21"/>
                      <w:vertAlign w:val="baseline"/>
                    </w:rPr>
                  </w:pPr>
                  <w:r>
                    <w:rPr>
                      <w:rFonts w:hint="default" w:ascii="Times New Roman" w:hAnsi="Times New Roman" w:cs="Times New Roman"/>
                      <w:b w:val="0"/>
                      <w:bCs w:val="0"/>
                      <w:color w:val="auto"/>
                      <w:sz w:val="21"/>
                      <w:szCs w:val="21"/>
                      <w:vertAlign w:val="baseline"/>
                      <w:lang w:val="en-US" w:eastAsia="zh-CN"/>
                    </w:rPr>
                    <w:t>氨氮（mg/L）</w:t>
                  </w:r>
                </w:p>
              </w:tc>
              <w:tc>
                <w:tcPr>
                  <w:tcW w:w="1746" w:type="dxa"/>
                  <w:gridSpan w:val="2"/>
                  <w:tcBorders>
                    <w:tl2br w:val="nil"/>
                    <w:tr2bl w:val="nil"/>
                  </w:tcBorders>
                  <w:vAlign w:val="center"/>
                </w:tcPr>
                <w:p w14:paraId="408CF32F">
                  <w:pPr>
                    <w:pStyle w:val="2"/>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0.342</w:t>
                  </w:r>
                </w:p>
              </w:tc>
              <w:tc>
                <w:tcPr>
                  <w:tcW w:w="1746" w:type="dxa"/>
                  <w:gridSpan w:val="2"/>
                  <w:tcBorders>
                    <w:tl2br w:val="nil"/>
                    <w:tr2bl w:val="nil"/>
                  </w:tcBorders>
                  <w:vAlign w:val="center"/>
                </w:tcPr>
                <w:p w14:paraId="3F81C466">
                  <w:pPr>
                    <w:pStyle w:val="2"/>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0.349</w:t>
                  </w:r>
                </w:p>
              </w:tc>
              <w:tc>
                <w:tcPr>
                  <w:tcW w:w="1746" w:type="dxa"/>
                  <w:gridSpan w:val="2"/>
                  <w:tcBorders>
                    <w:tl2br w:val="nil"/>
                    <w:tr2bl w:val="nil"/>
                  </w:tcBorders>
                  <w:vAlign w:val="center"/>
                </w:tcPr>
                <w:p w14:paraId="2589A1C2">
                  <w:pPr>
                    <w:pStyle w:val="2"/>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0.368</w:t>
                  </w:r>
                </w:p>
              </w:tc>
              <w:tc>
                <w:tcPr>
                  <w:tcW w:w="1746" w:type="dxa"/>
                  <w:gridSpan w:val="2"/>
                  <w:tcBorders>
                    <w:tl2br w:val="nil"/>
                    <w:tr2bl w:val="nil"/>
                  </w:tcBorders>
                  <w:vAlign w:val="center"/>
                </w:tcPr>
                <w:p w14:paraId="3C3EF15E">
                  <w:pPr>
                    <w:pStyle w:val="2"/>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0.386</w:t>
                  </w:r>
                </w:p>
              </w:tc>
            </w:tr>
            <w:tr w14:paraId="77E77E7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gridAfter w:val="1"/>
                <w:wAfter w:w="5" w:type="dxa"/>
                <w:jc w:val="center"/>
              </w:trPr>
              <w:tc>
                <w:tcPr>
                  <w:tcW w:w="1745" w:type="dxa"/>
                  <w:gridSpan w:val="2"/>
                  <w:tcBorders>
                    <w:tl2br w:val="nil"/>
                    <w:tr2bl w:val="nil"/>
                  </w:tcBorders>
                  <w:vAlign w:val="center"/>
                </w:tcPr>
                <w:p w14:paraId="28FB9200">
                  <w:pPr>
                    <w:pStyle w:val="2"/>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cs="Times New Roman"/>
                      <w:b w:val="0"/>
                      <w:bCs w:val="0"/>
                      <w:color w:val="auto"/>
                      <w:sz w:val="21"/>
                      <w:szCs w:val="21"/>
                      <w:vertAlign w:val="baseline"/>
                    </w:rPr>
                  </w:pPr>
                  <w:r>
                    <w:rPr>
                      <w:rFonts w:hint="default" w:ascii="Times New Roman" w:hAnsi="Times New Roman" w:cs="Times New Roman"/>
                      <w:b w:val="0"/>
                      <w:bCs w:val="0"/>
                      <w:color w:val="auto"/>
                      <w:sz w:val="21"/>
                      <w:szCs w:val="21"/>
                      <w:vertAlign w:val="baseline"/>
                      <w:lang w:val="en-US" w:eastAsia="zh-CN"/>
                    </w:rPr>
                    <w:t>总氮（mg/L）</w:t>
                  </w:r>
                </w:p>
              </w:tc>
              <w:tc>
                <w:tcPr>
                  <w:tcW w:w="1746" w:type="dxa"/>
                  <w:gridSpan w:val="2"/>
                  <w:tcBorders>
                    <w:tl2br w:val="nil"/>
                    <w:tr2bl w:val="nil"/>
                  </w:tcBorders>
                  <w:vAlign w:val="center"/>
                </w:tcPr>
                <w:p w14:paraId="4BEFD215">
                  <w:pPr>
                    <w:pStyle w:val="2"/>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0.803</w:t>
                  </w:r>
                </w:p>
              </w:tc>
              <w:tc>
                <w:tcPr>
                  <w:tcW w:w="1746" w:type="dxa"/>
                  <w:gridSpan w:val="2"/>
                  <w:tcBorders>
                    <w:tl2br w:val="nil"/>
                    <w:tr2bl w:val="nil"/>
                  </w:tcBorders>
                  <w:vAlign w:val="center"/>
                </w:tcPr>
                <w:p w14:paraId="25F1ACCE">
                  <w:pPr>
                    <w:pStyle w:val="2"/>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0.843</w:t>
                  </w:r>
                </w:p>
              </w:tc>
              <w:tc>
                <w:tcPr>
                  <w:tcW w:w="1746" w:type="dxa"/>
                  <w:gridSpan w:val="2"/>
                  <w:tcBorders>
                    <w:tl2br w:val="nil"/>
                    <w:tr2bl w:val="nil"/>
                  </w:tcBorders>
                  <w:vAlign w:val="center"/>
                </w:tcPr>
                <w:p w14:paraId="27A683E0">
                  <w:pPr>
                    <w:pStyle w:val="2"/>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0.923</w:t>
                  </w:r>
                </w:p>
              </w:tc>
              <w:tc>
                <w:tcPr>
                  <w:tcW w:w="1746" w:type="dxa"/>
                  <w:gridSpan w:val="2"/>
                  <w:tcBorders>
                    <w:tl2br w:val="nil"/>
                    <w:tr2bl w:val="nil"/>
                  </w:tcBorders>
                  <w:vAlign w:val="center"/>
                </w:tcPr>
                <w:p w14:paraId="6325CA6E">
                  <w:pPr>
                    <w:pStyle w:val="2"/>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0.783</w:t>
                  </w:r>
                </w:p>
              </w:tc>
            </w:tr>
            <w:tr w14:paraId="498647B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gridAfter w:val="1"/>
                <w:wAfter w:w="5" w:type="dxa"/>
                <w:jc w:val="center"/>
              </w:trPr>
              <w:tc>
                <w:tcPr>
                  <w:tcW w:w="1745" w:type="dxa"/>
                  <w:gridSpan w:val="2"/>
                  <w:tcBorders>
                    <w:tl2br w:val="nil"/>
                    <w:tr2bl w:val="nil"/>
                  </w:tcBorders>
                  <w:vAlign w:val="center"/>
                </w:tcPr>
                <w:p w14:paraId="67C27C54">
                  <w:pPr>
                    <w:pStyle w:val="2"/>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样品状态</w:t>
                  </w:r>
                </w:p>
              </w:tc>
              <w:tc>
                <w:tcPr>
                  <w:tcW w:w="3492" w:type="dxa"/>
                  <w:gridSpan w:val="4"/>
                  <w:tcBorders>
                    <w:tl2br w:val="nil"/>
                    <w:tr2bl w:val="nil"/>
                  </w:tcBorders>
                  <w:vAlign w:val="center"/>
                </w:tcPr>
                <w:p w14:paraId="5028BDD3">
                  <w:pPr>
                    <w:pStyle w:val="2"/>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无色、微浑、无异味、无浮油、无藻类</w:t>
                  </w:r>
                </w:p>
              </w:tc>
              <w:tc>
                <w:tcPr>
                  <w:tcW w:w="3492" w:type="dxa"/>
                  <w:gridSpan w:val="4"/>
                  <w:tcBorders>
                    <w:tl2br w:val="nil"/>
                    <w:tr2bl w:val="nil"/>
                  </w:tcBorders>
                  <w:vAlign w:val="center"/>
                </w:tcPr>
                <w:p w14:paraId="5E4441B1">
                  <w:pPr>
                    <w:pStyle w:val="2"/>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cs="Times New Roman"/>
                      <w:b w:val="0"/>
                      <w:bCs w:val="0"/>
                      <w:color w:val="auto"/>
                      <w:sz w:val="21"/>
                      <w:szCs w:val="21"/>
                      <w:vertAlign w:val="baseline"/>
                    </w:rPr>
                  </w:pPr>
                  <w:r>
                    <w:rPr>
                      <w:rFonts w:hint="default" w:ascii="Times New Roman" w:hAnsi="Times New Roman" w:cs="Times New Roman"/>
                      <w:b w:val="0"/>
                      <w:bCs w:val="0"/>
                      <w:color w:val="auto"/>
                      <w:sz w:val="21"/>
                      <w:szCs w:val="21"/>
                      <w:vertAlign w:val="baseline"/>
                      <w:lang w:val="en-US" w:eastAsia="zh-CN"/>
                    </w:rPr>
                    <w:t>无色、微浑、无异味、无浮油、无藻类</w:t>
                  </w:r>
                </w:p>
              </w:tc>
            </w:tr>
            <w:tr w14:paraId="1E7E3A13">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gridBefore w:val="1"/>
                <w:wBefore w:w="5" w:type="dxa"/>
                <w:jc w:val="center"/>
              </w:trPr>
              <w:tc>
                <w:tcPr>
                  <w:tcW w:w="1745" w:type="dxa"/>
                  <w:gridSpan w:val="2"/>
                  <w:tcBorders>
                    <w:tl2br w:val="nil"/>
                    <w:tr2bl w:val="nil"/>
                  </w:tcBorders>
                  <w:vAlign w:val="center"/>
                </w:tcPr>
                <w:p w14:paraId="6182B0E8">
                  <w:pPr>
                    <w:pStyle w:val="2"/>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采样日期</w:t>
                  </w:r>
                </w:p>
              </w:tc>
              <w:tc>
                <w:tcPr>
                  <w:tcW w:w="6984" w:type="dxa"/>
                  <w:gridSpan w:val="8"/>
                  <w:tcBorders>
                    <w:tl2br w:val="nil"/>
                    <w:tr2bl w:val="nil"/>
                  </w:tcBorders>
                  <w:vAlign w:val="center"/>
                </w:tcPr>
                <w:p w14:paraId="037B1C73">
                  <w:pPr>
                    <w:pStyle w:val="2"/>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2025年01月09日</w:t>
                  </w:r>
                </w:p>
              </w:tc>
            </w:tr>
            <w:tr w14:paraId="5D3E916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gridBefore w:val="1"/>
                <w:wBefore w:w="5" w:type="dxa"/>
                <w:jc w:val="center"/>
              </w:trPr>
              <w:tc>
                <w:tcPr>
                  <w:tcW w:w="1745" w:type="dxa"/>
                  <w:gridSpan w:val="2"/>
                  <w:tcBorders>
                    <w:tl2br w:val="nil"/>
                    <w:tr2bl w:val="nil"/>
                  </w:tcBorders>
                  <w:vAlign w:val="center"/>
                </w:tcPr>
                <w:p w14:paraId="72B42FE1">
                  <w:pPr>
                    <w:pStyle w:val="2"/>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采样点位</w:t>
                  </w:r>
                </w:p>
              </w:tc>
              <w:tc>
                <w:tcPr>
                  <w:tcW w:w="3492" w:type="dxa"/>
                  <w:gridSpan w:val="4"/>
                  <w:tcBorders>
                    <w:tl2br w:val="nil"/>
                    <w:tr2bl w:val="nil"/>
                  </w:tcBorders>
                  <w:vAlign w:val="center"/>
                </w:tcPr>
                <w:p w14:paraId="6076D9D6">
                  <w:pPr>
                    <w:pStyle w:val="2"/>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W1点（金坛第二污水处理厂排污口 排污口上游500m）</w:t>
                  </w:r>
                </w:p>
              </w:tc>
              <w:tc>
                <w:tcPr>
                  <w:tcW w:w="3492" w:type="dxa"/>
                  <w:gridSpan w:val="4"/>
                  <w:tcBorders>
                    <w:tl2br w:val="nil"/>
                    <w:tr2bl w:val="nil"/>
                  </w:tcBorders>
                  <w:vAlign w:val="center"/>
                </w:tcPr>
                <w:p w14:paraId="2D97EE93">
                  <w:pPr>
                    <w:pStyle w:val="2"/>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cs="Times New Roman"/>
                      <w:b w:val="0"/>
                      <w:bCs w:val="0"/>
                      <w:color w:val="auto"/>
                      <w:sz w:val="21"/>
                      <w:szCs w:val="21"/>
                      <w:vertAlign w:val="baseline"/>
                    </w:rPr>
                  </w:pPr>
                  <w:r>
                    <w:rPr>
                      <w:rFonts w:hint="default" w:ascii="Times New Roman" w:hAnsi="Times New Roman" w:cs="Times New Roman"/>
                      <w:b w:val="0"/>
                      <w:bCs w:val="0"/>
                      <w:color w:val="auto"/>
                      <w:sz w:val="21"/>
                      <w:szCs w:val="21"/>
                      <w:vertAlign w:val="baseline"/>
                      <w:lang w:val="en-US" w:eastAsia="zh-CN"/>
                    </w:rPr>
                    <w:t>W2点（金坛第二污水处理厂排污口 排污口下游2000m）</w:t>
                  </w:r>
                </w:p>
              </w:tc>
            </w:tr>
            <w:tr w14:paraId="753FDF0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gridBefore w:val="1"/>
                <w:wBefore w:w="5" w:type="dxa"/>
                <w:jc w:val="center"/>
              </w:trPr>
              <w:tc>
                <w:tcPr>
                  <w:tcW w:w="1745" w:type="dxa"/>
                  <w:gridSpan w:val="2"/>
                  <w:tcBorders>
                    <w:tl2br w:val="nil"/>
                    <w:tr2bl w:val="nil"/>
                  </w:tcBorders>
                  <w:vAlign w:val="center"/>
                </w:tcPr>
                <w:p w14:paraId="5057766C">
                  <w:pPr>
                    <w:pStyle w:val="2"/>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pH值（无量纲）</w:t>
                  </w:r>
                </w:p>
              </w:tc>
              <w:tc>
                <w:tcPr>
                  <w:tcW w:w="1746" w:type="dxa"/>
                  <w:gridSpan w:val="2"/>
                  <w:tcBorders>
                    <w:tl2br w:val="nil"/>
                    <w:tr2bl w:val="nil"/>
                  </w:tcBorders>
                  <w:vAlign w:val="center"/>
                </w:tcPr>
                <w:p w14:paraId="4F026B02">
                  <w:pPr>
                    <w:pStyle w:val="2"/>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7.8</w:t>
                  </w:r>
                </w:p>
              </w:tc>
              <w:tc>
                <w:tcPr>
                  <w:tcW w:w="1746" w:type="dxa"/>
                  <w:gridSpan w:val="2"/>
                  <w:tcBorders>
                    <w:tl2br w:val="nil"/>
                    <w:tr2bl w:val="nil"/>
                  </w:tcBorders>
                  <w:vAlign w:val="center"/>
                </w:tcPr>
                <w:p w14:paraId="68204031">
                  <w:pPr>
                    <w:pStyle w:val="2"/>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7.8</w:t>
                  </w:r>
                </w:p>
              </w:tc>
              <w:tc>
                <w:tcPr>
                  <w:tcW w:w="1746" w:type="dxa"/>
                  <w:gridSpan w:val="2"/>
                  <w:tcBorders>
                    <w:tl2br w:val="nil"/>
                    <w:tr2bl w:val="nil"/>
                  </w:tcBorders>
                  <w:vAlign w:val="center"/>
                </w:tcPr>
                <w:p w14:paraId="21B98109">
                  <w:pPr>
                    <w:pStyle w:val="2"/>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7.7</w:t>
                  </w:r>
                </w:p>
              </w:tc>
              <w:tc>
                <w:tcPr>
                  <w:tcW w:w="1746" w:type="dxa"/>
                  <w:gridSpan w:val="2"/>
                  <w:tcBorders>
                    <w:tl2br w:val="nil"/>
                    <w:tr2bl w:val="nil"/>
                  </w:tcBorders>
                  <w:vAlign w:val="center"/>
                </w:tcPr>
                <w:p w14:paraId="06415C13">
                  <w:pPr>
                    <w:pStyle w:val="2"/>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7.8</w:t>
                  </w:r>
                </w:p>
              </w:tc>
            </w:tr>
            <w:tr w14:paraId="366A389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gridBefore w:val="1"/>
                <w:wBefore w:w="5" w:type="dxa"/>
                <w:jc w:val="center"/>
              </w:trPr>
              <w:tc>
                <w:tcPr>
                  <w:tcW w:w="1745" w:type="dxa"/>
                  <w:gridSpan w:val="2"/>
                  <w:tcBorders>
                    <w:tl2br w:val="nil"/>
                    <w:tr2bl w:val="nil"/>
                  </w:tcBorders>
                  <w:vAlign w:val="center"/>
                </w:tcPr>
                <w:p w14:paraId="06AFB493">
                  <w:pPr>
                    <w:pStyle w:val="2"/>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水温（℃）</w:t>
                  </w:r>
                </w:p>
              </w:tc>
              <w:tc>
                <w:tcPr>
                  <w:tcW w:w="1746" w:type="dxa"/>
                  <w:gridSpan w:val="2"/>
                  <w:tcBorders>
                    <w:tl2br w:val="nil"/>
                    <w:tr2bl w:val="nil"/>
                  </w:tcBorders>
                  <w:vAlign w:val="center"/>
                </w:tcPr>
                <w:p w14:paraId="313645B0">
                  <w:pPr>
                    <w:pStyle w:val="2"/>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8.7</w:t>
                  </w:r>
                </w:p>
              </w:tc>
              <w:tc>
                <w:tcPr>
                  <w:tcW w:w="1746" w:type="dxa"/>
                  <w:gridSpan w:val="2"/>
                  <w:tcBorders>
                    <w:tl2br w:val="nil"/>
                    <w:tr2bl w:val="nil"/>
                  </w:tcBorders>
                  <w:vAlign w:val="center"/>
                </w:tcPr>
                <w:p w14:paraId="2CC300B7">
                  <w:pPr>
                    <w:pStyle w:val="2"/>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8.8</w:t>
                  </w:r>
                </w:p>
              </w:tc>
              <w:tc>
                <w:tcPr>
                  <w:tcW w:w="1746" w:type="dxa"/>
                  <w:gridSpan w:val="2"/>
                  <w:tcBorders>
                    <w:tl2br w:val="nil"/>
                    <w:tr2bl w:val="nil"/>
                  </w:tcBorders>
                  <w:vAlign w:val="center"/>
                </w:tcPr>
                <w:p w14:paraId="299CA6C2">
                  <w:pPr>
                    <w:pStyle w:val="2"/>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8.2</w:t>
                  </w:r>
                </w:p>
              </w:tc>
              <w:tc>
                <w:tcPr>
                  <w:tcW w:w="1746" w:type="dxa"/>
                  <w:gridSpan w:val="2"/>
                  <w:tcBorders>
                    <w:tl2br w:val="nil"/>
                    <w:tr2bl w:val="nil"/>
                  </w:tcBorders>
                  <w:vAlign w:val="center"/>
                </w:tcPr>
                <w:p w14:paraId="368892D4">
                  <w:pPr>
                    <w:pStyle w:val="2"/>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7.9</w:t>
                  </w:r>
                </w:p>
              </w:tc>
            </w:tr>
            <w:tr w14:paraId="76AFC0E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gridBefore w:val="1"/>
                <w:wBefore w:w="5" w:type="dxa"/>
                <w:jc w:val="center"/>
              </w:trPr>
              <w:tc>
                <w:tcPr>
                  <w:tcW w:w="1745" w:type="dxa"/>
                  <w:gridSpan w:val="2"/>
                  <w:tcBorders>
                    <w:tl2br w:val="nil"/>
                    <w:tr2bl w:val="nil"/>
                  </w:tcBorders>
                  <w:vAlign w:val="center"/>
                </w:tcPr>
                <w:p w14:paraId="559ACC8B">
                  <w:pPr>
                    <w:pStyle w:val="2"/>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悬浮物（mg/L）</w:t>
                  </w:r>
                </w:p>
              </w:tc>
              <w:tc>
                <w:tcPr>
                  <w:tcW w:w="1746" w:type="dxa"/>
                  <w:gridSpan w:val="2"/>
                  <w:tcBorders>
                    <w:tl2br w:val="nil"/>
                    <w:tr2bl w:val="nil"/>
                  </w:tcBorders>
                  <w:vAlign w:val="center"/>
                </w:tcPr>
                <w:p w14:paraId="2321C860">
                  <w:pPr>
                    <w:pStyle w:val="2"/>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29</w:t>
                  </w:r>
                </w:p>
              </w:tc>
              <w:tc>
                <w:tcPr>
                  <w:tcW w:w="1746" w:type="dxa"/>
                  <w:gridSpan w:val="2"/>
                  <w:tcBorders>
                    <w:tl2br w:val="nil"/>
                    <w:tr2bl w:val="nil"/>
                  </w:tcBorders>
                  <w:vAlign w:val="center"/>
                </w:tcPr>
                <w:p w14:paraId="16283DB9">
                  <w:pPr>
                    <w:pStyle w:val="2"/>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29</w:t>
                  </w:r>
                </w:p>
              </w:tc>
              <w:tc>
                <w:tcPr>
                  <w:tcW w:w="1746" w:type="dxa"/>
                  <w:gridSpan w:val="2"/>
                  <w:tcBorders>
                    <w:tl2br w:val="nil"/>
                    <w:tr2bl w:val="nil"/>
                  </w:tcBorders>
                  <w:vAlign w:val="center"/>
                </w:tcPr>
                <w:p w14:paraId="1BB9078D">
                  <w:pPr>
                    <w:pStyle w:val="2"/>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20</w:t>
                  </w:r>
                </w:p>
              </w:tc>
              <w:tc>
                <w:tcPr>
                  <w:tcW w:w="1746" w:type="dxa"/>
                  <w:gridSpan w:val="2"/>
                  <w:tcBorders>
                    <w:tl2br w:val="nil"/>
                    <w:tr2bl w:val="nil"/>
                  </w:tcBorders>
                  <w:vAlign w:val="center"/>
                </w:tcPr>
                <w:p w14:paraId="2B0B7147">
                  <w:pPr>
                    <w:pStyle w:val="2"/>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20</w:t>
                  </w:r>
                </w:p>
              </w:tc>
            </w:tr>
            <w:tr w14:paraId="55E907C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gridBefore w:val="1"/>
                <w:wBefore w:w="5" w:type="dxa"/>
                <w:jc w:val="center"/>
              </w:trPr>
              <w:tc>
                <w:tcPr>
                  <w:tcW w:w="1745" w:type="dxa"/>
                  <w:gridSpan w:val="2"/>
                  <w:tcBorders>
                    <w:tl2br w:val="nil"/>
                    <w:tr2bl w:val="nil"/>
                  </w:tcBorders>
                  <w:vAlign w:val="center"/>
                </w:tcPr>
                <w:p w14:paraId="5B379BEF">
                  <w:pPr>
                    <w:pStyle w:val="2"/>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化学需氧量（mg/L）</w:t>
                  </w:r>
                </w:p>
              </w:tc>
              <w:tc>
                <w:tcPr>
                  <w:tcW w:w="1746" w:type="dxa"/>
                  <w:gridSpan w:val="2"/>
                  <w:tcBorders>
                    <w:tl2br w:val="nil"/>
                    <w:tr2bl w:val="nil"/>
                  </w:tcBorders>
                  <w:vAlign w:val="center"/>
                </w:tcPr>
                <w:p w14:paraId="477368C5">
                  <w:pPr>
                    <w:pStyle w:val="2"/>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18</w:t>
                  </w:r>
                </w:p>
              </w:tc>
              <w:tc>
                <w:tcPr>
                  <w:tcW w:w="1746" w:type="dxa"/>
                  <w:gridSpan w:val="2"/>
                  <w:tcBorders>
                    <w:tl2br w:val="nil"/>
                    <w:tr2bl w:val="nil"/>
                  </w:tcBorders>
                  <w:vAlign w:val="center"/>
                </w:tcPr>
                <w:p w14:paraId="34D2565A">
                  <w:pPr>
                    <w:pStyle w:val="2"/>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17</w:t>
                  </w:r>
                </w:p>
              </w:tc>
              <w:tc>
                <w:tcPr>
                  <w:tcW w:w="1746" w:type="dxa"/>
                  <w:gridSpan w:val="2"/>
                  <w:tcBorders>
                    <w:tl2br w:val="nil"/>
                    <w:tr2bl w:val="nil"/>
                  </w:tcBorders>
                  <w:vAlign w:val="center"/>
                </w:tcPr>
                <w:p w14:paraId="217B7854">
                  <w:pPr>
                    <w:pStyle w:val="2"/>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19</w:t>
                  </w:r>
                </w:p>
              </w:tc>
              <w:tc>
                <w:tcPr>
                  <w:tcW w:w="1746" w:type="dxa"/>
                  <w:gridSpan w:val="2"/>
                  <w:tcBorders>
                    <w:tl2br w:val="nil"/>
                    <w:tr2bl w:val="nil"/>
                  </w:tcBorders>
                  <w:vAlign w:val="center"/>
                </w:tcPr>
                <w:p w14:paraId="66936FEC">
                  <w:pPr>
                    <w:pStyle w:val="2"/>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18</w:t>
                  </w:r>
                </w:p>
              </w:tc>
            </w:tr>
            <w:tr w14:paraId="6A6D1CF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gridBefore w:val="1"/>
                <w:wBefore w:w="5" w:type="dxa"/>
                <w:jc w:val="center"/>
              </w:trPr>
              <w:tc>
                <w:tcPr>
                  <w:tcW w:w="1745" w:type="dxa"/>
                  <w:gridSpan w:val="2"/>
                  <w:tcBorders>
                    <w:tl2br w:val="nil"/>
                    <w:tr2bl w:val="nil"/>
                  </w:tcBorders>
                  <w:vAlign w:val="center"/>
                </w:tcPr>
                <w:p w14:paraId="4A9E746C">
                  <w:pPr>
                    <w:pStyle w:val="2"/>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cs="Times New Roman"/>
                      <w:b w:val="0"/>
                      <w:bCs w:val="0"/>
                      <w:color w:val="auto"/>
                      <w:sz w:val="21"/>
                      <w:szCs w:val="21"/>
                      <w:vertAlign w:val="baseline"/>
                    </w:rPr>
                  </w:pPr>
                  <w:r>
                    <w:rPr>
                      <w:rFonts w:hint="default" w:ascii="Times New Roman" w:hAnsi="Times New Roman" w:cs="Times New Roman"/>
                      <w:b w:val="0"/>
                      <w:bCs w:val="0"/>
                      <w:color w:val="auto"/>
                      <w:sz w:val="21"/>
                      <w:szCs w:val="21"/>
                      <w:vertAlign w:val="baseline"/>
                      <w:lang w:val="en-US" w:eastAsia="zh-CN"/>
                    </w:rPr>
                    <w:t>总磷（mg/L）</w:t>
                  </w:r>
                </w:p>
              </w:tc>
              <w:tc>
                <w:tcPr>
                  <w:tcW w:w="1746" w:type="dxa"/>
                  <w:gridSpan w:val="2"/>
                  <w:tcBorders>
                    <w:tl2br w:val="nil"/>
                    <w:tr2bl w:val="nil"/>
                  </w:tcBorders>
                  <w:vAlign w:val="center"/>
                </w:tcPr>
                <w:p w14:paraId="1D074117">
                  <w:pPr>
                    <w:pStyle w:val="2"/>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0.09</w:t>
                  </w:r>
                </w:p>
              </w:tc>
              <w:tc>
                <w:tcPr>
                  <w:tcW w:w="1746" w:type="dxa"/>
                  <w:gridSpan w:val="2"/>
                  <w:tcBorders>
                    <w:tl2br w:val="nil"/>
                    <w:tr2bl w:val="nil"/>
                  </w:tcBorders>
                  <w:vAlign w:val="center"/>
                </w:tcPr>
                <w:p w14:paraId="12AB1E09">
                  <w:pPr>
                    <w:pStyle w:val="2"/>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0.12</w:t>
                  </w:r>
                </w:p>
              </w:tc>
              <w:tc>
                <w:tcPr>
                  <w:tcW w:w="1746" w:type="dxa"/>
                  <w:gridSpan w:val="2"/>
                  <w:tcBorders>
                    <w:tl2br w:val="nil"/>
                    <w:tr2bl w:val="nil"/>
                  </w:tcBorders>
                  <w:vAlign w:val="center"/>
                </w:tcPr>
                <w:p w14:paraId="1B4EF7C9">
                  <w:pPr>
                    <w:pStyle w:val="2"/>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0.12</w:t>
                  </w:r>
                </w:p>
              </w:tc>
              <w:tc>
                <w:tcPr>
                  <w:tcW w:w="1746" w:type="dxa"/>
                  <w:gridSpan w:val="2"/>
                  <w:tcBorders>
                    <w:tl2br w:val="nil"/>
                    <w:tr2bl w:val="nil"/>
                  </w:tcBorders>
                  <w:vAlign w:val="center"/>
                </w:tcPr>
                <w:p w14:paraId="69AB9B5E">
                  <w:pPr>
                    <w:pStyle w:val="2"/>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0.09</w:t>
                  </w:r>
                </w:p>
              </w:tc>
            </w:tr>
            <w:tr w14:paraId="273DAC3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gridBefore w:val="1"/>
                <w:wBefore w:w="5" w:type="dxa"/>
                <w:jc w:val="center"/>
              </w:trPr>
              <w:tc>
                <w:tcPr>
                  <w:tcW w:w="1745" w:type="dxa"/>
                  <w:gridSpan w:val="2"/>
                  <w:tcBorders>
                    <w:tl2br w:val="nil"/>
                    <w:tr2bl w:val="nil"/>
                  </w:tcBorders>
                  <w:vAlign w:val="center"/>
                </w:tcPr>
                <w:p w14:paraId="3C01187B">
                  <w:pPr>
                    <w:pStyle w:val="2"/>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cs="Times New Roman"/>
                      <w:b w:val="0"/>
                      <w:bCs w:val="0"/>
                      <w:color w:val="auto"/>
                      <w:sz w:val="21"/>
                      <w:szCs w:val="21"/>
                      <w:vertAlign w:val="baseline"/>
                    </w:rPr>
                  </w:pPr>
                  <w:r>
                    <w:rPr>
                      <w:rFonts w:hint="default" w:ascii="Times New Roman" w:hAnsi="Times New Roman" w:cs="Times New Roman"/>
                      <w:b w:val="0"/>
                      <w:bCs w:val="0"/>
                      <w:color w:val="auto"/>
                      <w:sz w:val="21"/>
                      <w:szCs w:val="21"/>
                      <w:vertAlign w:val="baseline"/>
                      <w:lang w:val="en-US" w:eastAsia="zh-CN"/>
                    </w:rPr>
                    <w:t>氨氮（mg/L）</w:t>
                  </w:r>
                </w:p>
              </w:tc>
              <w:tc>
                <w:tcPr>
                  <w:tcW w:w="1746" w:type="dxa"/>
                  <w:gridSpan w:val="2"/>
                  <w:tcBorders>
                    <w:tl2br w:val="nil"/>
                    <w:tr2bl w:val="nil"/>
                  </w:tcBorders>
                  <w:vAlign w:val="center"/>
                </w:tcPr>
                <w:p w14:paraId="4D01AB0F">
                  <w:pPr>
                    <w:pStyle w:val="2"/>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0.263</w:t>
                  </w:r>
                </w:p>
              </w:tc>
              <w:tc>
                <w:tcPr>
                  <w:tcW w:w="1746" w:type="dxa"/>
                  <w:gridSpan w:val="2"/>
                  <w:tcBorders>
                    <w:tl2br w:val="nil"/>
                    <w:tr2bl w:val="nil"/>
                  </w:tcBorders>
                  <w:vAlign w:val="center"/>
                </w:tcPr>
                <w:p w14:paraId="0538B899">
                  <w:pPr>
                    <w:pStyle w:val="2"/>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0.447</w:t>
                  </w:r>
                </w:p>
              </w:tc>
              <w:tc>
                <w:tcPr>
                  <w:tcW w:w="1746" w:type="dxa"/>
                  <w:gridSpan w:val="2"/>
                  <w:tcBorders>
                    <w:tl2br w:val="nil"/>
                    <w:tr2bl w:val="nil"/>
                  </w:tcBorders>
                  <w:vAlign w:val="center"/>
                </w:tcPr>
                <w:p w14:paraId="6D6DCA6E">
                  <w:pPr>
                    <w:pStyle w:val="2"/>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0.368</w:t>
                  </w:r>
                </w:p>
              </w:tc>
              <w:tc>
                <w:tcPr>
                  <w:tcW w:w="1746" w:type="dxa"/>
                  <w:gridSpan w:val="2"/>
                  <w:tcBorders>
                    <w:tl2br w:val="nil"/>
                    <w:tr2bl w:val="nil"/>
                  </w:tcBorders>
                  <w:vAlign w:val="center"/>
                </w:tcPr>
                <w:p w14:paraId="65A350FD">
                  <w:pPr>
                    <w:pStyle w:val="2"/>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0.372</w:t>
                  </w:r>
                </w:p>
              </w:tc>
            </w:tr>
            <w:tr w14:paraId="213FD8E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gridBefore w:val="1"/>
                <w:wBefore w:w="5" w:type="dxa"/>
                <w:jc w:val="center"/>
              </w:trPr>
              <w:tc>
                <w:tcPr>
                  <w:tcW w:w="1745" w:type="dxa"/>
                  <w:gridSpan w:val="2"/>
                  <w:tcBorders>
                    <w:tl2br w:val="nil"/>
                    <w:tr2bl w:val="nil"/>
                  </w:tcBorders>
                  <w:vAlign w:val="center"/>
                </w:tcPr>
                <w:p w14:paraId="1E670FF4">
                  <w:pPr>
                    <w:pStyle w:val="2"/>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cs="Times New Roman"/>
                      <w:b w:val="0"/>
                      <w:bCs w:val="0"/>
                      <w:color w:val="auto"/>
                      <w:sz w:val="21"/>
                      <w:szCs w:val="21"/>
                      <w:vertAlign w:val="baseline"/>
                    </w:rPr>
                  </w:pPr>
                  <w:r>
                    <w:rPr>
                      <w:rFonts w:hint="default" w:ascii="Times New Roman" w:hAnsi="Times New Roman" w:cs="Times New Roman"/>
                      <w:b w:val="0"/>
                      <w:bCs w:val="0"/>
                      <w:color w:val="auto"/>
                      <w:sz w:val="21"/>
                      <w:szCs w:val="21"/>
                      <w:vertAlign w:val="baseline"/>
                      <w:lang w:val="en-US" w:eastAsia="zh-CN"/>
                    </w:rPr>
                    <w:t>总氮（mg/L）</w:t>
                  </w:r>
                </w:p>
              </w:tc>
              <w:tc>
                <w:tcPr>
                  <w:tcW w:w="1746" w:type="dxa"/>
                  <w:gridSpan w:val="2"/>
                  <w:tcBorders>
                    <w:tl2br w:val="nil"/>
                    <w:tr2bl w:val="nil"/>
                  </w:tcBorders>
                  <w:vAlign w:val="center"/>
                </w:tcPr>
                <w:p w14:paraId="6D8E8065">
                  <w:pPr>
                    <w:pStyle w:val="2"/>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0.888</w:t>
                  </w:r>
                </w:p>
              </w:tc>
              <w:tc>
                <w:tcPr>
                  <w:tcW w:w="1746" w:type="dxa"/>
                  <w:gridSpan w:val="2"/>
                  <w:tcBorders>
                    <w:tl2br w:val="nil"/>
                    <w:tr2bl w:val="nil"/>
                  </w:tcBorders>
                  <w:vAlign w:val="center"/>
                </w:tcPr>
                <w:p w14:paraId="6DA73388">
                  <w:pPr>
                    <w:pStyle w:val="2"/>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0.813</w:t>
                  </w:r>
                </w:p>
              </w:tc>
              <w:tc>
                <w:tcPr>
                  <w:tcW w:w="1746" w:type="dxa"/>
                  <w:gridSpan w:val="2"/>
                  <w:tcBorders>
                    <w:tl2br w:val="nil"/>
                    <w:tr2bl w:val="nil"/>
                  </w:tcBorders>
                  <w:vAlign w:val="center"/>
                </w:tcPr>
                <w:p w14:paraId="69993AFA">
                  <w:pPr>
                    <w:pStyle w:val="2"/>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0.783</w:t>
                  </w:r>
                </w:p>
              </w:tc>
              <w:tc>
                <w:tcPr>
                  <w:tcW w:w="1746" w:type="dxa"/>
                  <w:gridSpan w:val="2"/>
                  <w:tcBorders>
                    <w:tl2br w:val="nil"/>
                    <w:tr2bl w:val="nil"/>
                  </w:tcBorders>
                  <w:vAlign w:val="center"/>
                </w:tcPr>
                <w:p w14:paraId="345AAB69">
                  <w:pPr>
                    <w:pStyle w:val="2"/>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0.953</w:t>
                  </w:r>
                </w:p>
              </w:tc>
            </w:tr>
            <w:tr w14:paraId="4AC1226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gridBefore w:val="1"/>
                <w:wBefore w:w="5" w:type="dxa"/>
                <w:jc w:val="center"/>
              </w:trPr>
              <w:tc>
                <w:tcPr>
                  <w:tcW w:w="1745" w:type="dxa"/>
                  <w:gridSpan w:val="2"/>
                  <w:tcBorders>
                    <w:tl2br w:val="nil"/>
                    <w:tr2bl w:val="nil"/>
                  </w:tcBorders>
                  <w:vAlign w:val="center"/>
                </w:tcPr>
                <w:p w14:paraId="6D21A262">
                  <w:pPr>
                    <w:pStyle w:val="2"/>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样品状态</w:t>
                  </w:r>
                </w:p>
              </w:tc>
              <w:tc>
                <w:tcPr>
                  <w:tcW w:w="3492" w:type="dxa"/>
                  <w:gridSpan w:val="4"/>
                  <w:tcBorders>
                    <w:tl2br w:val="nil"/>
                    <w:tr2bl w:val="nil"/>
                  </w:tcBorders>
                  <w:vAlign w:val="center"/>
                </w:tcPr>
                <w:p w14:paraId="338A1D70">
                  <w:pPr>
                    <w:pStyle w:val="2"/>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无色、微浑、无异味、无浮油、无藻类</w:t>
                  </w:r>
                </w:p>
              </w:tc>
              <w:tc>
                <w:tcPr>
                  <w:tcW w:w="3492" w:type="dxa"/>
                  <w:gridSpan w:val="4"/>
                  <w:tcBorders>
                    <w:tl2br w:val="nil"/>
                    <w:tr2bl w:val="nil"/>
                  </w:tcBorders>
                  <w:vAlign w:val="center"/>
                </w:tcPr>
                <w:p w14:paraId="1B0156E7">
                  <w:pPr>
                    <w:pStyle w:val="2"/>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cs="Times New Roman"/>
                      <w:b w:val="0"/>
                      <w:bCs w:val="0"/>
                      <w:color w:val="auto"/>
                      <w:sz w:val="21"/>
                      <w:szCs w:val="21"/>
                      <w:vertAlign w:val="baseline"/>
                    </w:rPr>
                  </w:pPr>
                  <w:r>
                    <w:rPr>
                      <w:rFonts w:hint="default" w:ascii="Times New Roman" w:hAnsi="Times New Roman" w:cs="Times New Roman"/>
                      <w:b w:val="0"/>
                      <w:bCs w:val="0"/>
                      <w:color w:val="auto"/>
                      <w:sz w:val="21"/>
                      <w:szCs w:val="21"/>
                      <w:vertAlign w:val="baseline"/>
                      <w:lang w:val="en-US" w:eastAsia="zh-CN"/>
                    </w:rPr>
                    <w:t>无色、微浑、无异味、无浮油、无藻类</w:t>
                  </w:r>
                </w:p>
              </w:tc>
            </w:tr>
          </w:tbl>
          <w:p w14:paraId="66F09B0F">
            <w:pPr>
              <w:adjustRightInd w:val="0"/>
              <w:snapToGrid w:val="0"/>
              <w:spacing w:line="360" w:lineRule="auto"/>
              <w:ind w:firstLine="420" w:firstLineChars="200"/>
              <w:rPr>
                <w:b/>
                <w:color w:val="auto"/>
              </w:rPr>
            </w:pPr>
            <w:r>
              <w:rPr>
                <w:color w:val="auto"/>
              </w:rPr>
              <w:t>监测数据表明，尧塘河现状监测因子均能满足《地表水环境质量标准》（GB3838-2002）中</w:t>
            </w:r>
            <w:r>
              <w:rPr>
                <w:color w:val="auto"/>
              </w:rPr>
              <w:fldChar w:fldCharType="begin"/>
            </w:r>
            <w:r>
              <w:rPr>
                <w:color w:val="auto"/>
              </w:rPr>
              <w:instrText xml:space="preserve"> = 3 \* ROMAN \* MERGEFORMAT </w:instrText>
            </w:r>
            <w:r>
              <w:rPr>
                <w:color w:val="auto"/>
              </w:rPr>
              <w:fldChar w:fldCharType="separate"/>
            </w:r>
            <w:r>
              <w:rPr>
                <w:color w:val="auto"/>
              </w:rPr>
              <w:t>III</w:t>
            </w:r>
            <w:r>
              <w:rPr>
                <w:color w:val="auto"/>
              </w:rPr>
              <w:fldChar w:fldCharType="end"/>
            </w:r>
            <w:r>
              <w:rPr>
                <w:color w:val="auto"/>
              </w:rPr>
              <w:t>类标准。因此，项目地表水评价范围水环境水质良好，达</w:t>
            </w:r>
            <w:r>
              <w:rPr>
                <w:color w:val="auto"/>
              </w:rPr>
              <w:fldChar w:fldCharType="begin"/>
            </w:r>
            <w:r>
              <w:rPr>
                <w:color w:val="auto"/>
              </w:rPr>
              <w:instrText xml:space="preserve"> = 3 \* ROMAN \* MERGEFORMAT </w:instrText>
            </w:r>
            <w:r>
              <w:rPr>
                <w:color w:val="auto"/>
              </w:rPr>
              <w:fldChar w:fldCharType="separate"/>
            </w:r>
            <w:r>
              <w:rPr>
                <w:color w:val="auto"/>
              </w:rPr>
              <w:t>III</w:t>
            </w:r>
            <w:r>
              <w:rPr>
                <w:color w:val="auto"/>
              </w:rPr>
              <w:fldChar w:fldCharType="end"/>
            </w:r>
            <w:r>
              <w:rPr>
                <w:color w:val="auto"/>
              </w:rPr>
              <w:t>类功能区要求。</w:t>
            </w:r>
          </w:p>
          <w:p w14:paraId="11A28EEC">
            <w:pPr>
              <w:adjustRightInd w:val="0"/>
              <w:spacing w:line="360" w:lineRule="auto"/>
              <w:ind w:firstLine="422" w:firstLineChars="200"/>
              <w:rPr>
                <w:b/>
                <w:color w:val="auto"/>
              </w:rPr>
            </w:pPr>
            <w:r>
              <w:rPr>
                <w:b/>
                <w:color w:val="auto"/>
              </w:rPr>
              <w:t>3.</w:t>
            </w:r>
            <w:r>
              <w:rPr>
                <w:rFonts w:hint="eastAsia"/>
                <w:b/>
                <w:color w:val="auto"/>
              </w:rPr>
              <w:t>噪声</w:t>
            </w:r>
          </w:p>
          <w:p w14:paraId="448E655A">
            <w:pPr>
              <w:pStyle w:val="23"/>
              <w:widowControl w:val="0"/>
              <w:autoSpaceDE w:val="0"/>
              <w:autoSpaceDN w:val="0"/>
              <w:ind w:firstLine="420" w:firstLineChars="200"/>
              <w:rPr>
                <w:color w:val="auto"/>
                <w:sz w:val="21"/>
                <w:szCs w:val="21"/>
                <w:lang w:bidi="zh-CN"/>
              </w:rPr>
            </w:pPr>
            <w:r>
              <w:rPr>
                <w:color w:val="auto"/>
                <w:sz w:val="21"/>
                <w:szCs w:val="21"/>
              </w:rPr>
              <w:t>根据《</w:t>
            </w:r>
            <w:r>
              <w:rPr>
                <w:bCs/>
                <w:color w:val="auto"/>
                <w:sz w:val="21"/>
                <w:szCs w:val="21"/>
              </w:rPr>
              <w:t>202</w:t>
            </w:r>
            <w:r>
              <w:rPr>
                <w:rFonts w:hint="eastAsia"/>
                <w:bCs/>
                <w:color w:val="auto"/>
                <w:sz w:val="21"/>
                <w:szCs w:val="21"/>
                <w:lang w:val="en-US" w:eastAsia="zh-CN"/>
              </w:rPr>
              <w:t>4</w:t>
            </w:r>
            <w:r>
              <w:rPr>
                <w:bCs/>
                <w:color w:val="auto"/>
                <w:sz w:val="21"/>
                <w:szCs w:val="21"/>
              </w:rPr>
              <w:t>年常州市生态环境状况公报</w:t>
            </w:r>
            <w:r>
              <w:rPr>
                <w:color w:val="auto"/>
                <w:sz w:val="21"/>
                <w:szCs w:val="21"/>
              </w:rPr>
              <w:t>》中相关内容，</w:t>
            </w:r>
            <w:r>
              <w:rPr>
                <w:rFonts w:hint="eastAsia"/>
                <w:color w:val="auto"/>
                <w:sz w:val="21"/>
                <w:szCs w:val="21"/>
              </w:rPr>
              <w:t>2024年，全市区域环境噪声昼间平均值为53.6dB</w:t>
            </w:r>
            <w:r>
              <w:rPr>
                <w:rFonts w:hint="eastAsia"/>
                <w:color w:val="auto"/>
                <w:sz w:val="21"/>
                <w:szCs w:val="21"/>
                <w:lang w:eastAsia="zh-CN"/>
              </w:rPr>
              <w:t>（</w:t>
            </w:r>
            <w:r>
              <w:rPr>
                <w:rFonts w:hint="eastAsia"/>
                <w:color w:val="auto"/>
                <w:sz w:val="21"/>
                <w:szCs w:val="21"/>
                <w:lang w:val="en-US" w:eastAsia="zh-CN"/>
              </w:rPr>
              <w:t>A</w:t>
            </w:r>
            <w:r>
              <w:rPr>
                <w:rFonts w:hint="eastAsia"/>
                <w:color w:val="auto"/>
                <w:sz w:val="21"/>
                <w:szCs w:val="21"/>
                <w:lang w:eastAsia="zh-CN"/>
              </w:rPr>
              <w:t>）</w:t>
            </w:r>
            <w:r>
              <w:rPr>
                <w:rFonts w:hint="eastAsia"/>
                <w:color w:val="auto"/>
                <w:sz w:val="21"/>
                <w:szCs w:val="21"/>
              </w:rPr>
              <w:t>，较上年下降0.1dB</w:t>
            </w:r>
            <w:r>
              <w:rPr>
                <w:rFonts w:hint="eastAsia"/>
                <w:color w:val="auto"/>
                <w:sz w:val="21"/>
                <w:szCs w:val="21"/>
                <w:lang w:eastAsia="zh-CN"/>
              </w:rPr>
              <w:t>（</w:t>
            </w:r>
            <w:r>
              <w:rPr>
                <w:rFonts w:hint="eastAsia"/>
                <w:color w:val="auto"/>
                <w:sz w:val="21"/>
                <w:szCs w:val="21"/>
                <w:lang w:val="en-US" w:eastAsia="zh-CN"/>
              </w:rPr>
              <w:t>A</w:t>
            </w:r>
            <w:r>
              <w:rPr>
                <w:rFonts w:hint="eastAsia"/>
                <w:color w:val="auto"/>
                <w:sz w:val="21"/>
                <w:szCs w:val="21"/>
                <w:lang w:eastAsia="zh-CN"/>
              </w:rPr>
              <w:t>）；</w:t>
            </w:r>
            <w:r>
              <w:rPr>
                <w:rFonts w:hint="eastAsia"/>
                <w:color w:val="auto"/>
                <w:sz w:val="21"/>
                <w:szCs w:val="21"/>
              </w:rPr>
              <w:t>按照《环境噪声监测技术规范 城市声环境常规监测》</w:t>
            </w:r>
            <w:r>
              <w:rPr>
                <w:rFonts w:hint="eastAsia"/>
                <w:color w:val="auto"/>
                <w:sz w:val="21"/>
                <w:szCs w:val="21"/>
                <w:lang w:eastAsia="zh-CN"/>
              </w:rPr>
              <w:t>（</w:t>
            </w:r>
            <w:r>
              <w:rPr>
                <w:rFonts w:hint="eastAsia"/>
                <w:color w:val="auto"/>
                <w:sz w:val="21"/>
                <w:szCs w:val="21"/>
              </w:rPr>
              <w:t>HJ640-2012</w:t>
            </w:r>
            <w:r>
              <w:rPr>
                <w:rFonts w:hint="eastAsia"/>
                <w:color w:val="auto"/>
                <w:sz w:val="21"/>
                <w:szCs w:val="21"/>
                <w:lang w:eastAsia="zh-CN"/>
              </w:rPr>
              <w:t>）</w:t>
            </w:r>
            <w:r>
              <w:rPr>
                <w:rFonts w:hint="eastAsia"/>
                <w:color w:val="auto"/>
                <w:sz w:val="21"/>
                <w:szCs w:val="21"/>
              </w:rPr>
              <w:t>，城市区域昼间环境噪声总体水平等级为“二级”，属于“较好”水平。</w:t>
            </w:r>
          </w:p>
          <w:p w14:paraId="6E8EC39D">
            <w:pPr>
              <w:adjustRightInd w:val="0"/>
              <w:spacing w:line="360" w:lineRule="auto"/>
              <w:ind w:firstLine="420" w:firstLineChars="200"/>
              <w:rPr>
                <w:color w:val="auto"/>
              </w:rPr>
            </w:pPr>
            <w:r>
              <w:rPr>
                <w:rFonts w:hint="eastAsia"/>
                <w:color w:val="auto"/>
              </w:rPr>
              <w:t>本项目周边50米范围内无声环境保护目标，根据《建设项目环境影响报告表编制技术指南（污染影响类）（试行）》，不开展声环境质量现状调查。</w:t>
            </w:r>
          </w:p>
        </w:tc>
      </w:tr>
      <w:tr w14:paraId="6F4CADB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709" w:hRule="atLeast"/>
          <w:jc w:val="center"/>
        </w:trPr>
        <w:tc>
          <w:tcPr>
            <w:tcW w:w="456" w:type="dxa"/>
            <w:vAlign w:val="center"/>
          </w:tcPr>
          <w:p w14:paraId="4DC39605">
            <w:pPr>
              <w:adjustRightInd w:val="0"/>
              <w:snapToGrid w:val="0"/>
              <w:jc w:val="center"/>
              <w:rPr>
                <w:color w:val="auto"/>
                <w:kern w:val="0"/>
              </w:rPr>
            </w:pPr>
            <w:r>
              <w:rPr>
                <w:b/>
                <w:bCs/>
                <w:color w:val="auto"/>
                <w:kern w:val="0"/>
              </w:rPr>
              <w:t>环境保护目标</w:t>
            </w:r>
          </w:p>
        </w:tc>
        <w:tc>
          <w:tcPr>
            <w:tcW w:w="8945" w:type="dxa"/>
          </w:tcPr>
          <w:p w14:paraId="595AC69C">
            <w:pPr>
              <w:adjustRightInd w:val="0"/>
              <w:snapToGrid w:val="0"/>
              <w:spacing w:line="360" w:lineRule="auto"/>
              <w:ind w:firstLine="420" w:firstLineChars="200"/>
              <w:rPr>
                <w:b/>
                <w:bCs/>
                <w:color w:val="auto"/>
              </w:rPr>
            </w:pPr>
            <w:r>
              <w:rPr>
                <w:color w:val="auto"/>
                <w:kern w:val="0"/>
              </w:rPr>
              <w:t>项目位于</w:t>
            </w:r>
            <w:r>
              <w:rPr>
                <w:rFonts w:hint="eastAsia"/>
                <w:color w:val="auto"/>
                <w:lang w:eastAsia="zh-CN"/>
              </w:rPr>
              <w:t>常州市金坛区亿晶路99号</w:t>
            </w:r>
            <w:r>
              <w:rPr>
                <w:rFonts w:hint="eastAsia"/>
                <w:color w:val="auto"/>
                <w:lang w:val="en-US" w:eastAsia="zh-CN"/>
              </w:rPr>
              <w:t>G车间</w:t>
            </w:r>
            <w:r>
              <w:rPr>
                <w:color w:val="auto"/>
                <w:kern w:val="0"/>
              </w:rPr>
              <w:t>，经实地勘查，</w:t>
            </w:r>
            <w:r>
              <w:rPr>
                <w:rFonts w:hint="eastAsia"/>
                <w:color w:val="auto"/>
                <w:kern w:val="0"/>
              </w:rPr>
              <w:t>项目周边500米范围内无居民</w:t>
            </w:r>
            <w:r>
              <w:rPr>
                <w:rFonts w:hint="eastAsia"/>
                <w:color w:val="auto"/>
              </w:rPr>
              <w:t>，</w:t>
            </w:r>
            <w:r>
              <w:rPr>
                <w:rFonts w:hint="eastAsia"/>
                <w:color w:val="auto"/>
                <w:kern w:val="0"/>
              </w:rPr>
              <w:t>根据项目周边情况，确定建设项目主要环境保护目标见下表。</w:t>
            </w:r>
          </w:p>
          <w:p w14:paraId="090CE87C">
            <w:pPr>
              <w:tabs>
                <w:tab w:val="left" w:pos="6510"/>
              </w:tabs>
              <w:adjustRightInd w:val="0"/>
              <w:snapToGrid w:val="0"/>
              <w:jc w:val="center"/>
              <w:rPr>
                <w:b/>
                <w:bCs/>
                <w:color w:val="auto"/>
              </w:rPr>
            </w:pPr>
            <w:r>
              <w:rPr>
                <w:b/>
                <w:bCs/>
                <w:color w:val="auto"/>
              </w:rPr>
              <w:t>表3-</w:t>
            </w:r>
            <w:r>
              <w:rPr>
                <w:rFonts w:hint="eastAsia"/>
                <w:b/>
                <w:bCs/>
                <w:color w:val="auto"/>
              </w:rPr>
              <w:t xml:space="preserve">4   </w:t>
            </w:r>
            <w:r>
              <w:rPr>
                <w:b/>
                <w:bCs/>
                <w:color w:val="auto"/>
              </w:rPr>
              <w:t>主要环境保护目标一览表</w:t>
            </w:r>
          </w:p>
          <w:tbl>
            <w:tblPr>
              <w:tblStyle w:val="59"/>
              <w:tblW w:w="5000"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0" w:type="dxa"/>
                <w:bottom w:w="0" w:type="dxa"/>
                <w:right w:w="0" w:type="dxa"/>
              </w:tblCellMar>
            </w:tblPr>
            <w:tblGrid>
              <w:gridCol w:w="870"/>
              <w:gridCol w:w="743"/>
              <w:gridCol w:w="743"/>
              <w:gridCol w:w="1321"/>
              <w:gridCol w:w="922"/>
              <w:gridCol w:w="2392"/>
              <w:gridCol w:w="869"/>
              <w:gridCol w:w="869"/>
            </w:tblGrid>
            <w:tr w14:paraId="32D9E00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40" w:hRule="atLeast"/>
                <w:jc w:val="center"/>
              </w:trPr>
              <w:tc>
                <w:tcPr>
                  <w:tcW w:w="498" w:type="pct"/>
                  <w:vMerge w:val="restart"/>
                  <w:tcBorders>
                    <w:tl2br w:val="nil"/>
                    <w:tr2bl w:val="nil"/>
                  </w:tcBorders>
                  <w:tcMar>
                    <w:top w:w="0" w:type="dxa"/>
                    <w:left w:w="0" w:type="dxa"/>
                    <w:bottom w:w="0" w:type="dxa"/>
                    <w:right w:w="0" w:type="dxa"/>
                  </w:tcMar>
                  <w:vAlign w:val="center"/>
                </w:tcPr>
                <w:p w14:paraId="24D548E0">
                  <w:pPr>
                    <w:adjustRightInd w:val="0"/>
                    <w:snapToGrid w:val="0"/>
                    <w:jc w:val="center"/>
                    <w:rPr>
                      <w:b/>
                      <w:bCs/>
                      <w:color w:val="auto"/>
                    </w:rPr>
                  </w:pPr>
                  <w:r>
                    <w:rPr>
                      <w:b/>
                      <w:bCs/>
                      <w:color w:val="auto"/>
                    </w:rPr>
                    <w:t>保护项目</w:t>
                  </w:r>
                </w:p>
              </w:tc>
              <w:tc>
                <w:tcPr>
                  <w:tcW w:w="851" w:type="pct"/>
                  <w:gridSpan w:val="2"/>
                  <w:tcBorders>
                    <w:tl2br w:val="nil"/>
                    <w:tr2bl w:val="nil"/>
                  </w:tcBorders>
                  <w:tcMar>
                    <w:top w:w="0" w:type="dxa"/>
                    <w:left w:w="0" w:type="dxa"/>
                    <w:bottom w:w="0" w:type="dxa"/>
                    <w:right w:w="0" w:type="dxa"/>
                  </w:tcMar>
                  <w:vAlign w:val="center"/>
                </w:tcPr>
                <w:p w14:paraId="42EA658F">
                  <w:pPr>
                    <w:keepNext/>
                    <w:keepLines/>
                    <w:adjustRightInd w:val="0"/>
                    <w:snapToGrid w:val="0"/>
                    <w:jc w:val="center"/>
                    <w:rPr>
                      <w:b/>
                      <w:bCs/>
                      <w:color w:val="auto"/>
                    </w:rPr>
                  </w:pPr>
                  <w:r>
                    <w:rPr>
                      <w:b/>
                      <w:bCs/>
                      <w:color w:val="auto"/>
                    </w:rPr>
                    <w:t>坐标</w:t>
                  </w:r>
                </w:p>
              </w:tc>
              <w:tc>
                <w:tcPr>
                  <w:tcW w:w="756" w:type="pct"/>
                  <w:vMerge w:val="restart"/>
                  <w:tcBorders>
                    <w:tl2br w:val="nil"/>
                    <w:tr2bl w:val="nil"/>
                  </w:tcBorders>
                  <w:tcMar>
                    <w:top w:w="0" w:type="dxa"/>
                    <w:left w:w="0" w:type="dxa"/>
                    <w:bottom w:w="0" w:type="dxa"/>
                    <w:right w:w="0" w:type="dxa"/>
                  </w:tcMar>
                  <w:vAlign w:val="center"/>
                </w:tcPr>
                <w:p w14:paraId="25E5E98C">
                  <w:pPr>
                    <w:adjustRightInd w:val="0"/>
                    <w:snapToGrid w:val="0"/>
                    <w:jc w:val="center"/>
                    <w:rPr>
                      <w:b/>
                      <w:bCs/>
                      <w:color w:val="auto"/>
                    </w:rPr>
                  </w:pPr>
                  <w:r>
                    <w:rPr>
                      <w:b/>
                      <w:bCs/>
                      <w:color w:val="auto"/>
                    </w:rPr>
                    <w:t>保护对象</w:t>
                  </w:r>
                </w:p>
              </w:tc>
              <w:tc>
                <w:tcPr>
                  <w:tcW w:w="528" w:type="pct"/>
                  <w:vMerge w:val="restart"/>
                  <w:tcBorders>
                    <w:tl2br w:val="nil"/>
                    <w:tr2bl w:val="nil"/>
                  </w:tcBorders>
                  <w:tcMar>
                    <w:top w:w="0" w:type="dxa"/>
                    <w:left w:w="0" w:type="dxa"/>
                    <w:bottom w:w="0" w:type="dxa"/>
                    <w:right w:w="0" w:type="dxa"/>
                  </w:tcMar>
                  <w:vAlign w:val="center"/>
                </w:tcPr>
                <w:p w14:paraId="22EADD5E">
                  <w:pPr>
                    <w:adjustRightInd w:val="0"/>
                    <w:snapToGrid w:val="0"/>
                    <w:jc w:val="center"/>
                    <w:rPr>
                      <w:b/>
                      <w:bCs/>
                      <w:color w:val="auto"/>
                    </w:rPr>
                  </w:pPr>
                  <w:r>
                    <w:rPr>
                      <w:b/>
                      <w:bCs/>
                      <w:color w:val="auto"/>
                    </w:rPr>
                    <w:t>保护内容</w:t>
                  </w:r>
                </w:p>
              </w:tc>
              <w:tc>
                <w:tcPr>
                  <w:tcW w:w="1370" w:type="pct"/>
                  <w:vMerge w:val="restart"/>
                  <w:tcBorders>
                    <w:tl2br w:val="nil"/>
                    <w:tr2bl w:val="nil"/>
                  </w:tcBorders>
                  <w:tcMar>
                    <w:top w:w="0" w:type="dxa"/>
                    <w:left w:w="0" w:type="dxa"/>
                    <w:bottom w:w="0" w:type="dxa"/>
                    <w:right w:w="0" w:type="dxa"/>
                  </w:tcMar>
                  <w:vAlign w:val="center"/>
                </w:tcPr>
                <w:p w14:paraId="6292D3EC">
                  <w:pPr>
                    <w:adjustRightInd w:val="0"/>
                    <w:snapToGrid w:val="0"/>
                    <w:jc w:val="center"/>
                    <w:rPr>
                      <w:b/>
                      <w:bCs/>
                      <w:color w:val="auto"/>
                    </w:rPr>
                  </w:pPr>
                  <w:r>
                    <w:rPr>
                      <w:b/>
                      <w:bCs/>
                      <w:color w:val="auto"/>
                    </w:rPr>
                    <w:t>环境功能区</w:t>
                  </w:r>
                </w:p>
              </w:tc>
              <w:tc>
                <w:tcPr>
                  <w:tcW w:w="497" w:type="pct"/>
                  <w:vMerge w:val="restart"/>
                  <w:tcBorders>
                    <w:tl2br w:val="nil"/>
                    <w:tr2bl w:val="nil"/>
                  </w:tcBorders>
                  <w:tcMar>
                    <w:top w:w="0" w:type="dxa"/>
                    <w:left w:w="0" w:type="dxa"/>
                    <w:bottom w:w="0" w:type="dxa"/>
                    <w:right w:w="0" w:type="dxa"/>
                  </w:tcMar>
                  <w:vAlign w:val="center"/>
                </w:tcPr>
                <w:p w14:paraId="0B12A5B3">
                  <w:pPr>
                    <w:adjustRightInd w:val="0"/>
                    <w:snapToGrid w:val="0"/>
                    <w:jc w:val="center"/>
                    <w:rPr>
                      <w:b/>
                      <w:bCs/>
                      <w:color w:val="auto"/>
                    </w:rPr>
                  </w:pPr>
                  <w:r>
                    <w:rPr>
                      <w:b/>
                      <w:bCs/>
                      <w:color w:val="auto"/>
                    </w:rPr>
                    <w:t>相对厂址方位</w:t>
                  </w:r>
                </w:p>
              </w:tc>
              <w:tc>
                <w:tcPr>
                  <w:tcW w:w="497" w:type="pct"/>
                  <w:vMerge w:val="restart"/>
                  <w:tcBorders>
                    <w:tl2br w:val="nil"/>
                    <w:tr2bl w:val="nil"/>
                  </w:tcBorders>
                  <w:tcMar>
                    <w:top w:w="0" w:type="dxa"/>
                    <w:left w:w="0" w:type="dxa"/>
                    <w:bottom w:w="0" w:type="dxa"/>
                    <w:right w:w="0" w:type="dxa"/>
                  </w:tcMar>
                  <w:vAlign w:val="center"/>
                </w:tcPr>
                <w:p w14:paraId="7BB2C59F">
                  <w:pPr>
                    <w:adjustRightInd w:val="0"/>
                    <w:snapToGrid w:val="0"/>
                    <w:jc w:val="center"/>
                    <w:rPr>
                      <w:b/>
                      <w:bCs/>
                      <w:color w:val="auto"/>
                    </w:rPr>
                  </w:pPr>
                  <w:r>
                    <w:rPr>
                      <w:b/>
                      <w:bCs/>
                      <w:color w:val="auto"/>
                    </w:rPr>
                    <w:t>相对厂界最近距离/m</w:t>
                  </w:r>
                </w:p>
              </w:tc>
            </w:tr>
            <w:tr w14:paraId="574F92F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40" w:hRule="atLeast"/>
                <w:jc w:val="center"/>
              </w:trPr>
              <w:tc>
                <w:tcPr>
                  <w:tcW w:w="498" w:type="pct"/>
                  <w:vMerge w:val="continue"/>
                  <w:tcBorders>
                    <w:tl2br w:val="nil"/>
                    <w:tr2bl w:val="nil"/>
                  </w:tcBorders>
                  <w:tcMar>
                    <w:top w:w="0" w:type="dxa"/>
                    <w:left w:w="0" w:type="dxa"/>
                    <w:bottom w:w="0" w:type="dxa"/>
                    <w:right w:w="0" w:type="dxa"/>
                  </w:tcMar>
                  <w:vAlign w:val="center"/>
                </w:tcPr>
                <w:p w14:paraId="218D04AF">
                  <w:pPr>
                    <w:adjustRightInd w:val="0"/>
                    <w:snapToGrid w:val="0"/>
                    <w:jc w:val="center"/>
                    <w:rPr>
                      <w:color w:val="auto"/>
                    </w:rPr>
                  </w:pPr>
                </w:p>
              </w:tc>
              <w:tc>
                <w:tcPr>
                  <w:tcW w:w="425" w:type="pct"/>
                  <w:tcBorders>
                    <w:tl2br w:val="nil"/>
                    <w:tr2bl w:val="nil"/>
                  </w:tcBorders>
                  <w:tcMar>
                    <w:top w:w="0" w:type="dxa"/>
                    <w:left w:w="0" w:type="dxa"/>
                    <w:bottom w:w="0" w:type="dxa"/>
                    <w:right w:w="0" w:type="dxa"/>
                  </w:tcMar>
                  <w:vAlign w:val="center"/>
                </w:tcPr>
                <w:p w14:paraId="496E1184">
                  <w:pPr>
                    <w:keepNext/>
                    <w:keepLines/>
                    <w:adjustRightInd w:val="0"/>
                    <w:snapToGrid w:val="0"/>
                    <w:jc w:val="center"/>
                    <w:rPr>
                      <w:b/>
                      <w:bCs/>
                      <w:color w:val="auto"/>
                    </w:rPr>
                  </w:pPr>
                  <w:r>
                    <w:rPr>
                      <w:b/>
                      <w:bCs/>
                      <w:color w:val="auto"/>
                    </w:rPr>
                    <w:t>X</w:t>
                  </w:r>
                </w:p>
              </w:tc>
              <w:tc>
                <w:tcPr>
                  <w:tcW w:w="425" w:type="pct"/>
                  <w:tcBorders>
                    <w:tl2br w:val="nil"/>
                    <w:tr2bl w:val="nil"/>
                  </w:tcBorders>
                  <w:tcMar>
                    <w:top w:w="0" w:type="dxa"/>
                    <w:left w:w="0" w:type="dxa"/>
                    <w:bottom w:w="0" w:type="dxa"/>
                    <w:right w:w="0" w:type="dxa"/>
                  </w:tcMar>
                  <w:vAlign w:val="center"/>
                </w:tcPr>
                <w:p w14:paraId="0DC2B854">
                  <w:pPr>
                    <w:keepNext/>
                    <w:keepLines/>
                    <w:adjustRightInd w:val="0"/>
                    <w:snapToGrid w:val="0"/>
                    <w:jc w:val="center"/>
                    <w:rPr>
                      <w:b/>
                      <w:bCs/>
                      <w:color w:val="auto"/>
                    </w:rPr>
                  </w:pPr>
                  <w:r>
                    <w:rPr>
                      <w:b/>
                      <w:bCs/>
                      <w:color w:val="auto"/>
                    </w:rPr>
                    <w:t>Y</w:t>
                  </w:r>
                </w:p>
              </w:tc>
              <w:tc>
                <w:tcPr>
                  <w:tcW w:w="756" w:type="pct"/>
                  <w:vMerge w:val="continue"/>
                  <w:tcBorders>
                    <w:tl2br w:val="nil"/>
                    <w:tr2bl w:val="nil"/>
                  </w:tcBorders>
                  <w:tcMar>
                    <w:top w:w="0" w:type="dxa"/>
                    <w:left w:w="0" w:type="dxa"/>
                    <w:bottom w:w="0" w:type="dxa"/>
                    <w:right w:w="0" w:type="dxa"/>
                  </w:tcMar>
                  <w:vAlign w:val="center"/>
                </w:tcPr>
                <w:p w14:paraId="2C67782F">
                  <w:pPr>
                    <w:adjustRightInd w:val="0"/>
                    <w:snapToGrid w:val="0"/>
                    <w:jc w:val="center"/>
                    <w:rPr>
                      <w:color w:val="auto"/>
                    </w:rPr>
                  </w:pPr>
                </w:p>
              </w:tc>
              <w:tc>
                <w:tcPr>
                  <w:tcW w:w="528" w:type="pct"/>
                  <w:vMerge w:val="continue"/>
                  <w:tcBorders>
                    <w:tl2br w:val="nil"/>
                    <w:tr2bl w:val="nil"/>
                  </w:tcBorders>
                  <w:tcMar>
                    <w:top w:w="0" w:type="dxa"/>
                    <w:left w:w="0" w:type="dxa"/>
                    <w:bottom w:w="0" w:type="dxa"/>
                    <w:right w:w="0" w:type="dxa"/>
                  </w:tcMar>
                  <w:vAlign w:val="center"/>
                </w:tcPr>
                <w:p w14:paraId="20E1B7B8">
                  <w:pPr>
                    <w:adjustRightInd w:val="0"/>
                    <w:snapToGrid w:val="0"/>
                    <w:jc w:val="center"/>
                    <w:rPr>
                      <w:color w:val="auto"/>
                    </w:rPr>
                  </w:pPr>
                </w:p>
              </w:tc>
              <w:tc>
                <w:tcPr>
                  <w:tcW w:w="1370" w:type="pct"/>
                  <w:vMerge w:val="continue"/>
                  <w:tcBorders>
                    <w:tl2br w:val="nil"/>
                    <w:tr2bl w:val="nil"/>
                  </w:tcBorders>
                  <w:tcMar>
                    <w:top w:w="0" w:type="dxa"/>
                    <w:left w:w="0" w:type="dxa"/>
                    <w:bottom w:w="0" w:type="dxa"/>
                    <w:right w:w="0" w:type="dxa"/>
                  </w:tcMar>
                  <w:vAlign w:val="center"/>
                </w:tcPr>
                <w:p w14:paraId="1E05BD04">
                  <w:pPr>
                    <w:adjustRightInd w:val="0"/>
                    <w:snapToGrid w:val="0"/>
                    <w:jc w:val="center"/>
                    <w:rPr>
                      <w:color w:val="auto"/>
                    </w:rPr>
                  </w:pPr>
                </w:p>
              </w:tc>
              <w:tc>
                <w:tcPr>
                  <w:tcW w:w="497" w:type="pct"/>
                  <w:vMerge w:val="continue"/>
                  <w:tcBorders>
                    <w:tl2br w:val="nil"/>
                    <w:tr2bl w:val="nil"/>
                  </w:tcBorders>
                  <w:tcMar>
                    <w:top w:w="0" w:type="dxa"/>
                    <w:left w:w="0" w:type="dxa"/>
                    <w:bottom w:w="0" w:type="dxa"/>
                    <w:right w:w="0" w:type="dxa"/>
                  </w:tcMar>
                  <w:vAlign w:val="center"/>
                </w:tcPr>
                <w:p w14:paraId="2E273AD1">
                  <w:pPr>
                    <w:adjustRightInd w:val="0"/>
                    <w:snapToGrid w:val="0"/>
                    <w:jc w:val="center"/>
                    <w:rPr>
                      <w:color w:val="auto"/>
                    </w:rPr>
                  </w:pPr>
                </w:p>
              </w:tc>
              <w:tc>
                <w:tcPr>
                  <w:tcW w:w="497" w:type="pct"/>
                  <w:vMerge w:val="continue"/>
                  <w:tcBorders>
                    <w:tl2br w:val="nil"/>
                    <w:tr2bl w:val="nil"/>
                  </w:tcBorders>
                  <w:tcMar>
                    <w:top w:w="0" w:type="dxa"/>
                    <w:left w:w="0" w:type="dxa"/>
                    <w:bottom w:w="0" w:type="dxa"/>
                    <w:right w:w="0" w:type="dxa"/>
                  </w:tcMar>
                  <w:vAlign w:val="center"/>
                </w:tcPr>
                <w:p w14:paraId="6CA47C46">
                  <w:pPr>
                    <w:adjustRightInd w:val="0"/>
                    <w:snapToGrid w:val="0"/>
                    <w:jc w:val="center"/>
                    <w:rPr>
                      <w:color w:val="auto"/>
                    </w:rPr>
                  </w:pPr>
                </w:p>
              </w:tc>
            </w:tr>
            <w:tr w14:paraId="15135F03">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40" w:hRule="atLeast"/>
                <w:jc w:val="center"/>
              </w:trPr>
              <w:tc>
                <w:tcPr>
                  <w:tcW w:w="498" w:type="pct"/>
                  <w:tcBorders>
                    <w:tl2br w:val="nil"/>
                    <w:tr2bl w:val="nil"/>
                  </w:tcBorders>
                  <w:tcMar>
                    <w:top w:w="0" w:type="dxa"/>
                    <w:left w:w="0" w:type="dxa"/>
                    <w:bottom w:w="0" w:type="dxa"/>
                    <w:right w:w="0" w:type="dxa"/>
                  </w:tcMar>
                  <w:vAlign w:val="center"/>
                </w:tcPr>
                <w:p w14:paraId="6BC9A8D9">
                  <w:pPr>
                    <w:adjustRightInd w:val="0"/>
                    <w:snapToGrid w:val="0"/>
                    <w:jc w:val="center"/>
                    <w:rPr>
                      <w:color w:val="auto"/>
                    </w:rPr>
                  </w:pPr>
                  <w:r>
                    <w:rPr>
                      <w:color w:val="auto"/>
                    </w:rPr>
                    <w:t>大气环境</w:t>
                  </w:r>
                </w:p>
              </w:tc>
              <w:tc>
                <w:tcPr>
                  <w:tcW w:w="425" w:type="pct"/>
                  <w:tcBorders>
                    <w:tl2br w:val="nil"/>
                    <w:tr2bl w:val="nil"/>
                  </w:tcBorders>
                  <w:tcMar>
                    <w:top w:w="0" w:type="dxa"/>
                    <w:left w:w="0" w:type="dxa"/>
                    <w:bottom w:w="0" w:type="dxa"/>
                    <w:right w:w="0" w:type="dxa"/>
                  </w:tcMar>
                  <w:vAlign w:val="center"/>
                </w:tcPr>
                <w:p w14:paraId="1003A78A">
                  <w:pPr>
                    <w:pStyle w:val="55"/>
                    <w:widowControl w:val="0"/>
                    <w:rPr>
                      <w:b w:val="0"/>
                      <w:bCs w:val="0"/>
                      <w:color w:val="auto"/>
                      <w:kern w:val="2"/>
                      <w:sz w:val="21"/>
                      <w:szCs w:val="21"/>
                    </w:rPr>
                  </w:pPr>
                  <w:r>
                    <w:rPr>
                      <w:rFonts w:hint="eastAsia"/>
                      <w:b w:val="0"/>
                      <w:bCs w:val="0"/>
                      <w:color w:val="auto"/>
                      <w:kern w:val="2"/>
                      <w:sz w:val="21"/>
                      <w:szCs w:val="21"/>
                    </w:rPr>
                    <w:t>119.66389060</w:t>
                  </w:r>
                </w:p>
              </w:tc>
              <w:tc>
                <w:tcPr>
                  <w:tcW w:w="425" w:type="pct"/>
                  <w:tcBorders>
                    <w:tl2br w:val="nil"/>
                    <w:tr2bl w:val="nil"/>
                  </w:tcBorders>
                  <w:tcMar>
                    <w:top w:w="0" w:type="dxa"/>
                    <w:left w:w="0" w:type="dxa"/>
                    <w:bottom w:w="0" w:type="dxa"/>
                    <w:right w:w="0" w:type="dxa"/>
                  </w:tcMar>
                  <w:vAlign w:val="center"/>
                </w:tcPr>
                <w:p w14:paraId="47B4FAD5">
                  <w:pPr>
                    <w:pStyle w:val="55"/>
                    <w:widowControl w:val="0"/>
                    <w:rPr>
                      <w:b w:val="0"/>
                      <w:bCs w:val="0"/>
                      <w:color w:val="auto"/>
                      <w:kern w:val="2"/>
                      <w:sz w:val="21"/>
                      <w:szCs w:val="21"/>
                    </w:rPr>
                  </w:pPr>
                  <w:r>
                    <w:rPr>
                      <w:rFonts w:hint="eastAsia"/>
                      <w:b w:val="0"/>
                      <w:bCs w:val="0"/>
                      <w:color w:val="auto"/>
                      <w:kern w:val="2"/>
                      <w:sz w:val="21"/>
                      <w:szCs w:val="21"/>
                    </w:rPr>
                    <w:t>31.71784570</w:t>
                  </w:r>
                </w:p>
              </w:tc>
              <w:tc>
                <w:tcPr>
                  <w:tcW w:w="756" w:type="pct"/>
                  <w:tcBorders>
                    <w:tl2br w:val="nil"/>
                    <w:tr2bl w:val="nil"/>
                  </w:tcBorders>
                  <w:tcMar>
                    <w:top w:w="0" w:type="dxa"/>
                    <w:left w:w="0" w:type="dxa"/>
                    <w:bottom w:w="0" w:type="dxa"/>
                    <w:right w:w="0" w:type="dxa"/>
                  </w:tcMar>
                  <w:vAlign w:val="center"/>
                </w:tcPr>
                <w:p w14:paraId="4962212B">
                  <w:pPr>
                    <w:pStyle w:val="55"/>
                    <w:widowControl w:val="0"/>
                    <w:rPr>
                      <w:rFonts w:hint="eastAsia" w:eastAsia="宋体"/>
                      <w:b w:val="0"/>
                      <w:bCs w:val="0"/>
                      <w:color w:val="auto"/>
                      <w:kern w:val="2"/>
                      <w:sz w:val="21"/>
                      <w:szCs w:val="21"/>
                      <w:lang w:eastAsia="zh-CN"/>
                    </w:rPr>
                  </w:pPr>
                  <w:r>
                    <w:rPr>
                      <w:rFonts w:hint="eastAsia"/>
                      <w:b w:val="0"/>
                      <w:bCs w:val="0"/>
                      <w:color w:val="auto"/>
                      <w:kern w:val="2"/>
                      <w:sz w:val="21"/>
                      <w:szCs w:val="21"/>
                      <w:lang w:val="en-US" w:eastAsia="zh-CN"/>
                    </w:rPr>
                    <w:t>小学</w:t>
                  </w:r>
                  <w:r>
                    <w:rPr>
                      <w:rFonts w:hint="eastAsia"/>
                      <w:b w:val="0"/>
                      <w:bCs w:val="0"/>
                      <w:color w:val="auto"/>
                      <w:sz w:val="21"/>
                      <w:szCs w:val="21"/>
                      <w:lang w:val="en-US" w:eastAsia="zh-CN"/>
                    </w:rPr>
                    <w:t>（规划）</w:t>
                  </w:r>
                </w:p>
              </w:tc>
              <w:tc>
                <w:tcPr>
                  <w:tcW w:w="528" w:type="pct"/>
                  <w:tcBorders>
                    <w:tl2br w:val="nil"/>
                    <w:tr2bl w:val="nil"/>
                  </w:tcBorders>
                  <w:tcMar>
                    <w:top w:w="0" w:type="dxa"/>
                    <w:left w:w="0" w:type="dxa"/>
                    <w:bottom w:w="0" w:type="dxa"/>
                    <w:right w:w="0" w:type="dxa"/>
                  </w:tcMar>
                  <w:vAlign w:val="center"/>
                </w:tcPr>
                <w:p w14:paraId="6327C4A2">
                  <w:pPr>
                    <w:pStyle w:val="55"/>
                    <w:widowControl w:val="0"/>
                    <w:rPr>
                      <w:rFonts w:hint="eastAsia" w:eastAsia="宋体"/>
                      <w:b w:val="0"/>
                      <w:bCs w:val="0"/>
                      <w:color w:val="auto"/>
                      <w:kern w:val="2"/>
                      <w:sz w:val="21"/>
                      <w:szCs w:val="21"/>
                      <w:lang w:eastAsia="zh-CN"/>
                    </w:rPr>
                  </w:pPr>
                  <w:r>
                    <w:rPr>
                      <w:rFonts w:hint="eastAsia"/>
                      <w:b w:val="0"/>
                      <w:bCs w:val="0"/>
                      <w:color w:val="auto"/>
                      <w:sz w:val="21"/>
                      <w:szCs w:val="21"/>
                      <w:lang w:val="en-US" w:eastAsia="zh-CN"/>
                    </w:rPr>
                    <w:t>师生</w:t>
                  </w:r>
                </w:p>
              </w:tc>
              <w:tc>
                <w:tcPr>
                  <w:tcW w:w="1370" w:type="pct"/>
                  <w:tcBorders>
                    <w:tl2br w:val="nil"/>
                    <w:tr2bl w:val="nil"/>
                  </w:tcBorders>
                  <w:tcMar>
                    <w:top w:w="0" w:type="dxa"/>
                    <w:left w:w="0" w:type="dxa"/>
                    <w:bottom w:w="0" w:type="dxa"/>
                    <w:right w:w="0" w:type="dxa"/>
                  </w:tcMar>
                  <w:vAlign w:val="center"/>
                </w:tcPr>
                <w:p w14:paraId="5CB947AB">
                  <w:pPr>
                    <w:adjustRightInd w:val="0"/>
                    <w:snapToGrid w:val="0"/>
                    <w:jc w:val="center"/>
                    <w:rPr>
                      <w:b w:val="0"/>
                      <w:bCs w:val="0"/>
                      <w:color w:val="auto"/>
                    </w:rPr>
                  </w:pPr>
                  <w:r>
                    <w:rPr>
                      <w:b w:val="0"/>
                      <w:bCs w:val="0"/>
                      <w:color w:val="auto"/>
                    </w:rPr>
                    <w:t>《环境空气质量标准》</w:t>
                  </w:r>
                </w:p>
                <w:p w14:paraId="5903E53A">
                  <w:pPr>
                    <w:adjustRightInd w:val="0"/>
                    <w:snapToGrid w:val="0"/>
                    <w:jc w:val="center"/>
                    <w:rPr>
                      <w:b w:val="0"/>
                      <w:bCs w:val="0"/>
                      <w:color w:val="auto"/>
                    </w:rPr>
                  </w:pPr>
                  <w:r>
                    <w:rPr>
                      <w:b w:val="0"/>
                      <w:bCs w:val="0"/>
                      <w:color w:val="auto"/>
                    </w:rPr>
                    <w:t>（GB3095-2012）中二类功能区</w:t>
                  </w:r>
                </w:p>
              </w:tc>
              <w:tc>
                <w:tcPr>
                  <w:tcW w:w="497" w:type="pct"/>
                  <w:tcBorders>
                    <w:tl2br w:val="nil"/>
                    <w:tr2bl w:val="nil"/>
                  </w:tcBorders>
                  <w:tcMar>
                    <w:top w:w="0" w:type="dxa"/>
                    <w:left w:w="0" w:type="dxa"/>
                    <w:bottom w:w="0" w:type="dxa"/>
                    <w:right w:w="0" w:type="dxa"/>
                  </w:tcMar>
                  <w:vAlign w:val="center"/>
                </w:tcPr>
                <w:p w14:paraId="4CAD854B">
                  <w:pPr>
                    <w:pStyle w:val="698"/>
                    <w:rPr>
                      <w:rFonts w:hint="eastAsia" w:eastAsia="宋体"/>
                      <w:b w:val="0"/>
                      <w:bCs w:val="0"/>
                      <w:color w:val="auto"/>
                      <w:lang w:val="en-US" w:eastAsia="zh-CN"/>
                    </w:rPr>
                  </w:pPr>
                  <w:r>
                    <w:rPr>
                      <w:rFonts w:hint="eastAsia" w:eastAsia="宋体"/>
                      <w:b w:val="0"/>
                      <w:bCs w:val="0"/>
                      <w:color w:val="auto"/>
                      <w:lang w:val="en-US" w:eastAsia="zh-CN"/>
                    </w:rPr>
                    <w:t>南</w:t>
                  </w:r>
                </w:p>
              </w:tc>
              <w:tc>
                <w:tcPr>
                  <w:tcW w:w="497" w:type="pct"/>
                  <w:tcBorders>
                    <w:tl2br w:val="nil"/>
                    <w:tr2bl w:val="nil"/>
                  </w:tcBorders>
                  <w:tcMar>
                    <w:top w:w="0" w:type="dxa"/>
                    <w:left w:w="0" w:type="dxa"/>
                    <w:bottom w:w="0" w:type="dxa"/>
                    <w:right w:w="0" w:type="dxa"/>
                  </w:tcMar>
                  <w:vAlign w:val="center"/>
                </w:tcPr>
                <w:p w14:paraId="7BEA4DC5">
                  <w:pPr>
                    <w:pStyle w:val="55"/>
                    <w:widowControl w:val="0"/>
                    <w:rPr>
                      <w:rFonts w:hint="default" w:eastAsia="宋体"/>
                      <w:b w:val="0"/>
                      <w:bCs w:val="0"/>
                      <w:color w:val="auto"/>
                      <w:sz w:val="21"/>
                      <w:szCs w:val="21"/>
                      <w:lang w:val="en-US" w:eastAsia="zh-CN"/>
                    </w:rPr>
                  </w:pPr>
                  <w:r>
                    <w:rPr>
                      <w:rFonts w:hint="eastAsia"/>
                      <w:b w:val="0"/>
                      <w:bCs w:val="0"/>
                      <w:color w:val="auto"/>
                      <w:sz w:val="21"/>
                      <w:szCs w:val="21"/>
                      <w:lang w:val="en-US" w:eastAsia="zh-CN"/>
                    </w:rPr>
                    <w:t>120</w:t>
                  </w:r>
                </w:p>
              </w:tc>
            </w:tr>
            <w:tr w14:paraId="343F475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66" w:hRule="atLeast"/>
                <w:jc w:val="center"/>
              </w:trPr>
              <w:tc>
                <w:tcPr>
                  <w:tcW w:w="498" w:type="pct"/>
                  <w:tcBorders>
                    <w:tl2br w:val="nil"/>
                    <w:tr2bl w:val="nil"/>
                  </w:tcBorders>
                  <w:tcMar>
                    <w:top w:w="0" w:type="dxa"/>
                    <w:left w:w="0" w:type="dxa"/>
                    <w:bottom w:w="0" w:type="dxa"/>
                    <w:right w:w="0" w:type="dxa"/>
                  </w:tcMar>
                  <w:vAlign w:val="center"/>
                </w:tcPr>
                <w:p w14:paraId="221BB2C5">
                  <w:pPr>
                    <w:adjustRightInd w:val="0"/>
                    <w:snapToGrid w:val="0"/>
                    <w:jc w:val="center"/>
                    <w:rPr>
                      <w:color w:val="auto"/>
                    </w:rPr>
                  </w:pPr>
                  <w:r>
                    <w:rPr>
                      <w:color w:val="auto"/>
                    </w:rPr>
                    <w:t>地表水环境</w:t>
                  </w:r>
                </w:p>
              </w:tc>
              <w:tc>
                <w:tcPr>
                  <w:tcW w:w="425" w:type="pct"/>
                  <w:tcBorders>
                    <w:tl2br w:val="nil"/>
                    <w:tr2bl w:val="nil"/>
                  </w:tcBorders>
                  <w:tcMar>
                    <w:top w:w="0" w:type="dxa"/>
                    <w:left w:w="0" w:type="dxa"/>
                    <w:bottom w:w="0" w:type="dxa"/>
                    <w:right w:w="0" w:type="dxa"/>
                  </w:tcMar>
                  <w:vAlign w:val="center"/>
                </w:tcPr>
                <w:p w14:paraId="637F0923">
                  <w:pPr>
                    <w:spacing w:line="240" w:lineRule="exact"/>
                    <w:jc w:val="center"/>
                    <w:rPr>
                      <w:color w:val="auto"/>
                    </w:rPr>
                  </w:pPr>
                  <w:r>
                    <w:rPr>
                      <w:rFonts w:hint="eastAsia"/>
                      <w:color w:val="auto"/>
                    </w:rPr>
                    <w:t>119.66357946</w:t>
                  </w:r>
                </w:p>
              </w:tc>
              <w:tc>
                <w:tcPr>
                  <w:tcW w:w="425" w:type="pct"/>
                  <w:tcBorders>
                    <w:tl2br w:val="nil"/>
                    <w:tr2bl w:val="nil"/>
                  </w:tcBorders>
                  <w:tcMar>
                    <w:top w:w="0" w:type="dxa"/>
                    <w:left w:w="0" w:type="dxa"/>
                    <w:bottom w:w="0" w:type="dxa"/>
                    <w:right w:w="0" w:type="dxa"/>
                  </w:tcMar>
                  <w:vAlign w:val="center"/>
                </w:tcPr>
                <w:p w14:paraId="5530324E">
                  <w:pPr>
                    <w:spacing w:line="240" w:lineRule="exact"/>
                    <w:jc w:val="center"/>
                    <w:rPr>
                      <w:color w:val="auto"/>
                    </w:rPr>
                  </w:pPr>
                  <w:r>
                    <w:rPr>
                      <w:rFonts w:hint="eastAsia"/>
                      <w:color w:val="auto"/>
                    </w:rPr>
                    <w:t>31.71164863</w:t>
                  </w:r>
                </w:p>
              </w:tc>
              <w:tc>
                <w:tcPr>
                  <w:tcW w:w="756" w:type="pct"/>
                  <w:tcBorders>
                    <w:tl2br w:val="nil"/>
                    <w:tr2bl w:val="nil"/>
                  </w:tcBorders>
                  <w:tcMar>
                    <w:top w:w="0" w:type="dxa"/>
                    <w:left w:w="0" w:type="dxa"/>
                    <w:bottom w:w="0" w:type="dxa"/>
                    <w:right w:w="0" w:type="dxa"/>
                  </w:tcMar>
                  <w:vAlign w:val="center"/>
                </w:tcPr>
                <w:p w14:paraId="357D5443">
                  <w:pPr>
                    <w:spacing w:line="240" w:lineRule="exact"/>
                    <w:jc w:val="center"/>
                    <w:rPr>
                      <w:color w:val="auto"/>
                    </w:rPr>
                  </w:pPr>
                  <w:r>
                    <w:rPr>
                      <w:rFonts w:hint="eastAsia"/>
                      <w:color w:val="auto"/>
                    </w:rPr>
                    <w:t>尧塘河</w:t>
                  </w:r>
                </w:p>
              </w:tc>
              <w:tc>
                <w:tcPr>
                  <w:tcW w:w="528" w:type="pct"/>
                  <w:tcBorders>
                    <w:tl2br w:val="nil"/>
                    <w:tr2bl w:val="nil"/>
                  </w:tcBorders>
                  <w:tcMar>
                    <w:top w:w="0" w:type="dxa"/>
                    <w:left w:w="0" w:type="dxa"/>
                    <w:bottom w:w="0" w:type="dxa"/>
                    <w:right w:w="0" w:type="dxa"/>
                  </w:tcMar>
                  <w:vAlign w:val="center"/>
                </w:tcPr>
                <w:p w14:paraId="73B09409">
                  <w:pPr>
                    <w:adjustRightInd w:val="0"/>
                    <w:snapToGrid w:val="0"/>
                    <w:jc w:val="center"/>
                    <w:rPr>
                      <w:color w:val="auto"/>
                    </w:rPr>
                  </w:pPr>
                  <w:r>
                    <w:rPr>
                      <w:rFonts w:hint="eastAsia"/>
                      <w:color w:val="auto"/>
                    </w:rPr>
                    <w:t>河流</w:t>
                  </w:r>
                </w:p>
              </w:tc>
              <w:tc>
                <w:tcPr>
                  <w:tcW w:w="1370" w:type="pct"/>
                  <w:tcBorders>
                    <w:tl2br w:val="nil"/>
                    <w:tr2bl w:val="nil"/>
                  </w:tcBorders>
                  <w:tcMar>
                    <w:top w:w="0" w:type="dxa"/>
                    <w:left w:w="0" w:type="dxa"/>
                    <w:bottom w:w="0" w:type="dxa"/>
                    <w:right w:w="0" w:type="dxa"/>
                  </w:tcMar>
                  <w:vAlign w:val="center"/>
                </w:tcPr>
                <w:p w14:paraId="610C1BED">
                  <w:pPr>
                    <w:adjustRightInd w:val="0"/>
                    <w:snapToGrid w:val="0"/>
                    <w:jc w:val="center"/>
                    <w:rPr>
                      <w:color w:val="auto"/>
                    </w:rPr>
                  </w:pPr>
                  <w:r>
                    <w:rPr>
                      <w:color w:val="auto"/>
                    </w:rPr>
                    <w:t>《地表水环境质量标准》（GB3838-2002）</w:t>
                  </w:r>
                  <w:r>
                    <w:rPr>
                      <w:rFonts w:hint="eastAsia"/>
                      <w:color w:val="auto"/>
                    </w:rPr>
                    <w:t>III</w:t>
                  </w:r>
                  <w:r>
                    <w:rPr>
                      <w:color w:val="auto"/>
                    </w:rPr>
                    <w:t>类区</w:t>
                  </w:r>
                </w:p>
              </w:tc>
              <w:tc>
                <w:tcPr>
                  <w:tcW w:w="497" w:type="pct"/>
                  <w:tcBorders>
                    <w:tl2br w:val="nil"/>
                    <w:tr2bl w:val="nil"/>
                  </w:tcBorders>
                  <w:tcMar>
                    <w:top w:w="0" w:type="dxa"/>
                    <w:left w:w="0" w:type="dxa"/>
                    <w:bottom w:w="0" w:type="dxa"/>
                    <w:right w:w="0" w:type="dxa"/>
                  </w:tcMar>
                  <w:vAlign w:val="center"/>
                </w:tcPr>
                <w:p w14:paraId="22B54A38">
                  <w:pPr>
                    <w:spacing w:line="240" w:lineRule="exact"/>
                    <w:jc w:val="center"/>
                    <w:rPr>
                      <w:rFonts w:hint="eastAsia" w:eastAsia="宋体"/>
                      <w:color w:val="auto"/>
                      <w:lang w:eastAsia="zh-CN"/>
                    </w:rPr>
                  </w:pPr>
                  <w:r>
                    <w:rPr>
                      <w:rFonts w:hint="eastAsia"/>
                      <w:color w:val="auto"/>
                      <w:lang w:val="en-US" w:eastAsia="zh-CN"/>
                    </w:rPr>
                    <w:t>东</w:t>
                  </w:r>
                </w:p>
              </w:tc>
              <w:tc>
                <w:tcPr>
                  <w:tcW w:w="497" w:type="pct"/>
                  <w:tcBorders>
                    <w:tl2br w:val="nil"/>
                    <w:tr2bl w:val="nil"/>
                  </w:tcBorders>
                  <w:tcMar>
                    <w:top w:w="0" w:type="dxa"/>
                    <w:left w:w="0" w:type="dxa"/>
                    <w:bottom w:w="0" w:type="dxa"/>
                    <w:right w:w="0" w:type="dxa"/>
                  </w:tcMar>
                  <w:vAlign w:val="center"/>
                </w:tcPr>
                <w:p w14:paraId="1CCA4804">
                  <w:pPr>
                    <w:spacing w:line="240" w:lineRule="exact"/>
                    <w:jc w:val="center"/>
                    <w:rPr>
                      <w:rFonts w:hint="default" w:eastAsia="宋体"/>
                      <w:color w:val="auto"/>
                      <w:lang w:val="en-US" w:eastAsia="zh-CN"/>
                    </w:rPr>
                  </w:pPr>
                  <w:r>
                    <w:rPr>
                      <w:rFonts w:hint="eastAsia"/>
                      <w:color w:val="auto"/>
                      <w:lang w:val="en-US" w:eastAsia="zh-CN"/>
                    </w:rPr>
                    <w:t>1300</w:t>
                  </w:r>
                </w:p>
              </w:tc>
            </w:tr>
            <w:tr w14:paraId="65419AD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40" w:hRule="atLeast"/>
                <w:jc w:val="center"/>
              </w:trPr>
              <w:tc>
                <w:tcPr>
                  <w:tcW w:w="498" w:type="pct"/>
                  <w:tcBorders>
                    <w:tl2br w:val="nil"/>
                    <w:tr2bl w:val="nil"/>
                  </w:tcBorders>
                  <w:tcMar>
                    <w:top w:w="0" w:type="dxa"/>
                    <w:left w:w="0" w:type="dxa"/>
                    <w:bottom w:w="0" w:type="dxa"/>
                    <w:right w:w="0" w:type="dxa"/>
                  </w:tcMar>
                  <w:vAlign w:val="center"/>
                </w:tcPr>
                <w:p w14:paraId="6C00A0BD">
                  <w:pPr>
                    <w:adjustRightInd w:val="0"/>
                    <w:snapToGrid w:val="0"/>
                    <w:jc w:val="center"/>
                    <w:rPr>
                      <w:color w:val="auto"/>
                    </w:rPr>
                  </w:pPr>
                  <w:r>
                    <w:rPr>
                      <w:color w:val="auto"/>
                    </w:rPr>
                    <w:t>声环境</w:t>
                  </w:r>
                </w:p>
              </w:tc>
              <w:tc>
                <w:tcPr>
                  <w:tcW w:w="425" w:type="pct"/>
                  <w:tcBorders>
                    <w:tl2br w:val="nil"/>
                    <w:tr2bl w:val="nil"/>
                  </w:tcBorders>
                  <w:tcMar>
                    <w:top w:w="0" w:type="dxa"/>
                    <w:left w:w="0" w:type="dxa"/>
                    <w:bottom w:w="0" w:type="dxa"/>
                    <w:right w:w="0" w:type="dxa"/>
                  </w:tcMar>
                  <w:vAlign w:val="center"/>
                </w:tcPr>
                <w:p w14:paraId="1F7C764E">
                  <w:pPr>
                    <w:adjustRightInd w:val="0"/>
                    <w:snapToGrid w:val="0"/>
                    <w:jc w:val="center"/>
                    <w:rPr>
                      <w:color w:val="auto"/>
                    </w:rPr>
                  </w:pPr>
                  <w:r>
                    <w:rPr>
                      <w:color w:val="auto"/>
                    </w:rPr>
                    <w:t>/</w:t>
                  </w:r>
                </w:p>
              </w:tc>
              <w:tc>
                <w:tcPr>
                  <w:tcW w:w="425" w:type="pct"/>
                  <w:tcBorders>
                    <w:tl2br w:val="nil"/>
                    <w:tr2bl w:val="nil"/>
                  </w:tcBorders>
                  <w:tcMar>
                    <w:top w:w="0" w:type="dxa"/>
                    <w:left w:w="0" w:type="dxa"/>
                    <w:bottom w:w="0" w:type="dxa"/>
                    <w:right w:w="0" w:type="dxa"/>
                  </w:tcMar>
                  <w:vAlign w:val="center"/>
                </w:tcPr>
                <w:p w14:paraId="103E0A82">
                  <w:pPr>
                    <w:adjustRightInd w:val="0"/>
                    <w:snapToGrid w:val="0"/>
                    <w:jc w:val="center"/>
                    <w:rPr>
                      <w:color w:val="auto"/>
                    </w:rPr>
                  </w:pPr>
                  <w:r>
                    <w:rPr>
                      <w:color w:val="auto"/>
                    </w:rPr>
                    <w:t>/</w:t>
                  </w:r>
                </w:p>
              </w:tc>
              <w:tc>
                <w:tcPr>
                  <w:tcW w:w="756" w:type="pct"/>
                  <w:tcBorders>
                    <w:tl2br w:val="nil"/>
                    <w:tr2bl w:val="nil"/>
                  </w:tcBorders>
                  <w:tcMar>
                    <w:top w:w="0" w:type="dxa"/>
                    <w:left w:w="0" w:type="dxa"/>
                    <w:bottom w:w="0" w:type="dxa"/>
                    <w:right w:w="0" w:type="dxa"/>
                  </w:tcMar>
                  <w:vAlign w:val="center"/>
                </w:tcPr>
                <w:p w14:paraId="6F58FDBB">
                  <w:pPr>
                    <w:adjustRightInd w:val="0"/>
                    <w:snapToGrid w:val="0"/>
                    <w:jc w:val="center"/>
                    <w:rPr>
                      <w:color w:val="auto"/>
                    </w:rPr>
                  </w:pPr>
                  <w:r>
                    <w:rPr>
                      <w:color w:val="auto"/>
                    </w:rPr>
                    <w:t>厂界50m</w:t>
                  </w:r>
                </w:p>
              </w:tc>
              <w:tc>
                <w:tcPr>
                  <w:tcW w:w="528" w:type="pct"/>
                  <w:tcBorders>
                    <w:tl2br w:val="nil"/>
                    <w:tr2bl w:val="nil"/>
                  </w:tcBorders>
                  <w:tcMar>
                    <w:top w:w="0" w:type="dxa"/>
                    <w:left w:w="0" w:type="dxa"/>
                    <w:bottom w:w="0" w:type="dxa"/>
                    <w:right w:w="0" w:type="dxa"/>
                  </w:tcMar>
                  <w:vAlign w:val="center"/>
                </w:tcPr>
                <w:p w14:paraId="72509CDF">
                  <w:pPr>
                    <w:adjustRightInd w:val="0"/>
                    <w:snapToGrid w:val="0"/>
                    <w:jc w:val="center"/>
                    <w:rPr>
                      <w:color w:val="auto"/>
                    </w:rPr>
                  </w:pPr>
                  <w:r>
                    <w:rPr>
                      <w:color w:val="auto"/>
                    </w:rPr>
                    <w:t>/</w:t>
                  </w:r>
                </w:p>
              </w:tc>
              <w:tc>
                <w:tcPr>
                  <w:tcW w:w="1370" w:type="pct"/>
                  <w:tcBorders>
                    <w:tl2br w:val="nil"/>
                    <w:tr2bl w:val="nil"/>
                  </w:tcBorders>
                  <w:tcMar>
                    <w:top w:w="0" w:type="dxa"/>
                    <w:left w:w="0" w:type="dxa"/>
                    <w:bottom w:w="0" w:type="dxa"/>
                    <w:right w:w="0" w:type="dxa"/>
                  </w:tcMar>
                  <w:vAlign w:val="center"/>
                </w:tcPr>
                <w:p w14:paraId="1AADE389">
                  <w:pPr>
                    <w:adjustRightInd w:val="0"/>
                    <w:snapToGrid w:val="0"/>
                    <w:jc w:val="center"/>
                    <w:rPr>
                      <w:color w:val="auto"/>
                    </w:rPr>
                  </w:pPr>
                  <w:r>
                    <w:rPr>
                      <w:color w:val="auto"/>
                    </w:rPr>
                    <w:t>《声环境质量标准》（GB 3096-2008）</w:t>
                  </w:r>
                  <w:r>
                    <w:rPr>
                      <w:rFonts w:hint="eastAsia"/>
                      <w:color w:val="auto"/>
                      <w:lang w:val="en-US" w:eastAsia="zh-CN"/>
                    </w:rPr>
                    <w:t>3</w:t>
                  </w:r>
                  <w:r>
                    <w:rPr>
                      <w:color w:val="auto"/>
                    </w:rPr>
                    <w:t>类区</w:t>
                  </w:r>
                </w:p>
              </w:tc>
              <w:tc>
                <w:tcPr>
                  <w:tcW w:w="497" w:type="pct"/>
                  <w:tcBorders>
                    <w:tl2br w:val="nil"/>
                    <w:tr2bl w:val="nil"/>
                  </w:tcBorders>
                  <w:tcMar>
                    <w:top w:w="0" w:type="dxa"/>
                    <w:left w:w="0" w:type="dxa"/>
                    <w:bottom w:w="0" w:type="dxa"/>
                    <w:right w:w="0" w:type="dxa"/>
                  </w:tcMar>
                  <w:vAlign w:val="center"/>
                </w:tcPr>
                <w:p w14:paraId="365EF41B">
                  <w:pPr>
                    <w:adjustRightInd w:val="0"/>
                    <w:snapToGrid w:val="0"/>
                    <w:jc w:val="center"/>
                    <w:rPr>
                      <w:color w:val="auto"/>
                    </w:rPr>
                  </w:pPr>
                  <w:r>
                    <w:rPr>
                      <w:color w:val="auto"/>
                    </w:rPr>
                    <w:t>/</w:t>
                  </w:r>
                </w:p>
              </w:tc>
              <w:tc>
                <w:tcPr>
                  <w:tcW w:w="497" w:type="pct"/>
                  <w:tcBorders>
                    <w:tl2br w:val="nil"/>
                    <w:tr2bl w:val="nil"/>
                  </w:tcBorders>
                  <w:tcMar>
                    <w:top w:w="0" w:type="dxa"/>
                    <w:left w:w="0" w:type="dxa"/>
                    <w:bottom w:w="0" w:type="dxa"/>
                    <w:right w:w="0" w:type="dxa"/>
                  </w:tcMar>
                  <w:vAlign w:val="center"/>
                </w:tcPr>
                <w:p w14:paraId="72894208">
                  <w:pPr>
                    <w:adjustRightInd w:val="0"/>
                    <w:snapToGrid w:val="0"/>
                    <w:jc w:val="center"/>
                    <w:rPr>
                      <w:color w:val="auto"/>
                    </w:rPr>
                  </w:pPr>
                  <w:r>
                    <w:rPr>
                      <w:color w:val="auto"/>
                    </w:rPr>
                    <w:t>/</w:t>
                  </w:r>
                </w:p>
              </w:tc>
            </w:tr>
            <w:tr w14:paraId="02423DF3">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40" w:hRule="atLeast"/>
                <w:jc w:val="center"/>
              </w:trPr>
              <w:tc>
                <w:tcPr>
                  <w:tcW w:w="498" w:type="pct"/>
                  <w:vMerge w:val="restart"/>
                  <w:tcBorders>
                    <w:tl2br w:val="nil"/>
                    <w:tr2bl w:val="nil"/>
                  </w:tcBorders>
                  <w:tcMar>
                    <w:top w:w="0" w:type="dxa"/>
                    <w:left w:w="0" w:type="dxa"/>
                    <w:bottom w:w="0" w:type="dxa"/>
                    <w:right w:w="0" w:type="dxa"/>
                  </w:tcMar>
                  <w:vAlign w:val="center"/>
                </w:tcPr>
                <w:p w14:paraId="6322622F">
                  <w:pPr>
                    <w:adjustRightInd w:val="0"/>
                    <w:snapToGrid w:val="0"/>
                    <w:jc w:val="center"/>
                    <w:rPr>
                      <w:color w:val="auto"/>
                    </w:rPr>
                  </w:pPr>
                  <w:r>
                    <w:rPr>
                      <w:color w:val="auto"/>
                    </w:rPr>
                    <w:t>生态环境</w:t>
                  </w:r>
                </w:p>
              </w:tc>
              <w:tc>
                <w:tcPr>
                  <w:tcW w:w="425" w:type="pct"/>
                  <w:tcBorders>
                    <w:tl2br w:val="nil"/>
                    <w:tr2bl w:val="nil"/>
                  </w:tcBorders>
                  <w:tcMar>
                    <w:top w:w="0" w:type="dxa"/>
                    <w:left w:w="0" w:type="dxa"/>
                    <w:bottom w:w="0" w:type="dxa"/>
                    <w:right w:w="0" w:type="dxa"/>
                  </w:tcMar>
                  <w:vAlign w:val="center"/>
                </w:tcPr>
                <w:p w14:paraId="73BA9AF9">
                  <w:pPr>
                    <w:adjustRightInd w:val="0"/>
                    <w:snapToGrid w:val="0"/>
                    <w:jc w:val="center"/>
                    <w:rPr>
                      <w:color w:val="auto"/>
                    </w:rPr>
                  </w:pPr>
                  <w:r>
                    <w:rPr>
                      <w:rFonts w:hint="eastAsia"/>
                      <w:color w:val="auto"/>
                    </w:rPr>
                    <w:t>119.72780228</w:t>
                  </w:r>
                </w:p>
              </w:tc>
              <w:tc>
                <w:tcPr>
                  <w:tcW w:w="425" w:type="pct"/>
                  <w:tcBorders>
                    <w:tl2br w:val="nil"/>
                    <w:tr2bl w:val="nil"/>
                  </w:tcBorders>
                  <w:tcMar>
                    <w:top w:w="0" w:type="dxa"/>
                    <w:left w:w="0" w:type="dxa"/>
                    <w:bottom w:w="0" w:type="dxa"/>
                    <w:right w:w="0" w:type="dxa"/>
                  </w:tcMar>
                  <w:vAlign w:val="center"/>
                </w:tcPr>
                <w:p w14:paraId="6BF6D799">
                  <w:pPr>
                    <w:adjustRightInd w:val="0"/>
                    <w:snapToGrid w:val="0"/>
                    <w:jc w:val="center"/>
                    <w:rPr>
                      <w:color w:val="auto"/>
                    </w:rPr>
                  </w:pPr>
                  <w:r>
                    <w:rPr>
                      <w:rFonts w:hint="eastAsia"/>
                      <w:color w:val="auto"/>
                    </w:rPr>
                    <w:t>31.71950670</w:t>
                  </w:r>
                </w:p>
              </w:tc>
              <w:tc>
                <w:tcPr>
                  <w:tcW w:w="756" w:type="pct"/>
                  <w:tcBorders>
                    <w:tl2br w:val="nil"/>
                    <w:tr2bl w:val="nil"/>
                  </w:tcBorders>
                  <w:tcMar>
                    <w:top w:w="0" w:type="dxa"/>
                    <w:left w:w="0" w:type="dxa"/>
                    <w:bottom w:w="0" w:type="dxa"/>
                    <w:right w:w="0" w:type="dxa"/>
                  </w:tcMar>
                  <w:vAlign w:val="center"/>
                </w:tcPr>
                <w:p w14:paraId="1D78E9B8">
                  <w:pPr>
                    <w:spacing w:line="240" w:lineRule="exact"/>
                    <w:jc w:val="center"/>
                    <w:rPr>
                      <w:color w:val="auto"/>
                    </w:rPr>
                  </w:pPr>
                  <w:r>
                    <w:rPr>
                      <w:color w:val="auto"/>
                    </w:rPr>
                    <w:t>新孟河（金坛区）清水通道维护区</w:t>
                  </w:r>
                </w:p>
              </w:tc>
              <w:tc>
                <w:tcPr>
                  <w:tcW w:w="528" w:type="pct"/>
                  <w:tcBorders>
                    <w:tl2br w:val="nil"/>
                    <w:tr2bl w:val="nil"/>
                  </w:tcBorders>
                  <w:tcMar>
                    <w:top w:w="0" w:type="dxa"/>
                    <w:left w:w="0" w:type="dxa"/>
                    <w:bottom w:w="0" w:type="dxa"/>
                    <w:right w:w="0" w:type="dxa"/>
                  </w:tcMar>
                  <w:vAlign w:val="center"/>
                </w:tcPr>
                <w:p w14:paraId="1C18B143">
                  <w:pPr>
                    <w:spacing w:line="240" w:lineRule="exact"/>
                    <w:jc w:val="center"/>
                    <w:rPr>
                      <w:color w:val="auto"/>
                    </w:rPr>
                  </w:pPr>
                  <w:r>
                    <w:rPr>
                      <w:color w:val="auto"/>
                    </w:rPr>
                    <w:t>水源水质保护</w:t>
                  </w:r>
                </w:p>
              </w:tc>
              <w:tc>
                <w:tcPr>
                  <w:tcW w:w="1370" w:type="pct"/>
                  <w:vMerge w:val="restart"/>
                  <w:tcBorders>
                    <w:tl2br w:val="nil"/>
                    <w:tr2bl w:val="nil"/>
                  </w:tcBorders>
                  <w:tcMar>
                    <w:top w:w="0" w:type="dxa"/>
                    <w:left w:w="0" w:type="dxa"/>
                    <w:bottom w:w="0" w:type="dxa"/>
                    <w:right w:w="0" w:type="dxa"/>
                  </w:tcMar>
                  <w:vAlign w:val="center"/>
                </w:tcPr>
                <w:p w14:paraId="3DC5E36D">
                  <w:pPr>
                    <w:adjustRightInd w:val="0"/>
                    <w:snapToGrid w:val="0"/>
                    <w:jc w:val="center"/>
                    <w:rPr>
                      <w:color w:val="auto"/>
                    </w:rPr>
                  </w:pPr>
                  <w:r>
                    <w:rPr>
                      <w:color w:val="auto"/>
                    </w:rPr>
                    <w:t>《江苏省生态空间管控区域规划》</w:t>
                  </w:r>
                </w:p>
              </w:tc>
              <w:tc>
                <w:tcPr>
                  <w:tcW w:w="497" w:type="pct"/>
                  <w:tcBorders>
                    <w:tl2br w:val="nil"/>
                    <w:tr2bl w:val="nil"/>
                  </w:tcBorders>
                  <w:tcMar>
                    <w:top w:w="0" w:type="dxa"/>
                    <w:left w:w="0" w:type="dxa"/>
                    <w:bottom w:w="0" w:type="dxa"/>
                    <w:right w:w="0" w:type="dxa"/>
                  </w:tcMar>
                  <w:vAlign w:val="center"/>
                </w:tcPr>
                <w:p w14:paraId="5B6439E1">
                  <w:pPr>
                    <w:adjustRightInd w:val="0"/>
                    <w:snapToGrid w:val="0"/>
                    <w:jc w:val="center"/>
                    <w:rPr>
                      <w:rFonts w:hint="eastAsia" w:eastAsia="宋体"/>
                      <w:color w:val="auto"/>
                      <w:lang w:eastAsia="zh-CN"/>
                    </w:rPr>
                  </w:pPr>
                  <w:r>
                    <w:rPr>
                      <w:rFonts w:hint="eastAsia"/>
                      <w:color w:val="auto"/>
                      <w:lang w:val="en-US" w:eastAsia="zh-CN"/>
                    </w:rPr>
                    <w:t>东南</w:t>
                  </w:r>
                </w:p>
              </w:tc>
              <w:tc>
                <w:tcPr>
                  <w:tcW w:w="497" w:type="pct"/>
                  <w:tcBorders>
                    <w:tl2br w:val="nil"/>
                    <w:tr2bl w:val="nil"/>
                  </w:tcBorders>
                  <w:tcMar>
                    <w:top w:w="0" w:type="dxa"/>
                    <w:left w:w="0" w:type="dxa"/>
                    <w:bottom w:w="0" w:type="dxa"/>
                    <w:right w:w="0" w:type="dxa"/>
                  </w:tcMar>
                  <w:vAlign w:val="center"/>
                </w:tcPr>
                <w:p w14:paraId="7F4684A3">
                  <w:pPr>
                    <w:adjustRightInd w:val="0"/>
                    <w:snapToGrid w:val="0"/>
                    <w:jc w:val="center"/>
                    <w:rPr>
                      <w:rFonts w:hint="default" w:eastAsia="宋体"/>
                      <w:color w:val="auto"/>
                      <w:lang w:val="en-US" w:eastAsia="zh-CN"/>
                    </w:rPr>
                  </w:pPr>
                  <w:r>
                    <w:rPr>
                      <w:rFonts w:hint="eastAsia"/>
                      <w:color w:val="auto"/>
                      <w:lang w:val="en-US" w:eastAsia="zh-CN"/>
                    </w:rPr>
                    <w:t>5200</w:t>
                  </w:r>
                </w:p>
              </w:tc>
            </w:tr>
            <w:tr w14:paraId="355D6A7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40" w:hRule="atLeast"/>
                <w:jc w:val="center"/>
              </w:trPr>
              <w:tc>
                <w:tcPr>
                  <w:tcW w:w="498" w:type="pct"/>
                  <w:vMerge w:val="continue"/>
                  <w:tcBorders>
                    <w:tl2br w:val="nil"/>
                    <w:tr2bl w:val="nil"/>
                  </w:tcBorders>
                  <w:tcMar>
                    <w:top w:w="0" w:type="dxa"/>
                    <w:left w:w="0" w:type="dxa"/>
                    <w:bottom w:w="0" w:type="dxa"/>
                    <w:right w:w="0" w:type="dxa"/>
                  </w:tcMar>
                  <w:vAlign w:val="center"/>
                </w:tcPr>
                <w:p w14:paraId="2CD27AC8">
                  <w:pPr>
                    <w:adjustRightInd w:val="0"/>
                    <w:snapToGrid w:val="0"/>
                    <w:jc w:val="center"/>
                    <w:rPr>
                      <w:color w:val="auto"/>
                    </w:rPr>
                  </w:pPr>
                </w:p>
              </w:tc>
              <w:tc>
                <w:tcPr>
                  <w:tcW w:w="425" w:type="pct"/>
                  <w:tcBorders>
                    <w:tl2br w:val="nil"/>
                    <w:tr2bl w:val="nil"/>
                  </w:tcBorders>
                  <w:tcMar>
                    <w:top w:w="0" w:type="dxa"/>
                    <w:left w:w="0" w:type="dxa"/>
                    <w:bottom w:w="0" w:type="dxa"/>
                    <w:right w:w="0" w:type="dxa"/>
                  </w:tcMar>
                  <w:vAlign w:val="center"/>
                </w:tcPr>
                <w:p w14:paraId="230247A9">
                  <w:pPr>
                    <w:adjustRightInd w:val="0"/>
                    <w:snapToGrid w:val="0"/>
                    <w:jc w:val="center"/>
                    <w:rPr>
                      <w:color w:val="auto"/>
                    </w:rPr>
                  </w:pPr>
                  <w:r>
                    <w:rPr>
                      <w:rFonts w:hint="eastAsia"/>
                      <w:color w:val="auto"/>
                    </w:rPr>
                    <w:t>119.60512877</w:t>
                  </w:r>
                </w:p>
              </w:tc>
              <w:tc>
                <w:tcPr>
                  <w:tcW w:w="425" w:type="pct"/>
                  <w:tcBorders>
                    <w:tl2br w:val="nil"/>
                    <w:tr2bl w:val="nil"/>
                  </w:tcBorders>
                  <w:tcMar>
                    <w:top w:w="0" w:type="dxa"/>
                    <w:left w:w="0" w:type="dxa"/>
                    <w:bottom w:w="0" w:type="dxa"/>
                    <w:right w:w="0" w:type="dxa"/>
                  </w:tcMar>
                  <w:vAlign w:val="center"/>
                </w:tcPr>
                <w:p w14:paraId="19A14521">
                  <w:pPr>
                    <w:adjustRightInd w:val="0"/>
                    <w:snapToGrid w:val="0"/>
                    <w:jc w:val="center"/>
                    <w:rPr>
                      <w:color w:val="auto"/>
                    </w:rPr>
                  </w:pPr>
                  <w:r>
                    <w:rPr>
                      <w:rFonts w:hint="eastAsia"/>
                      <w:color w:val="auto"/>
                    </w:rPr>
                    <w:t>31.66707959</w:t>
                  </w:r>
                </w:p>
              </w:tc>
              <w:tc>
                <w:tcPr>
                  <w:tcW w:w="756" w:type="pct"/>
                  <w:tcBorders>
                    <w:tl2br w:val="nil"/>
                    <w:tr2bl w:val="nil"/>
                  </w:tcBorders>
                  <w:tcMar>
                    <w:top w:w="0" w:type="dxa"/>
                    <w:left w:w="0" w:type="dxa"/>
                    <w:bottom w:w="0" w:type="dxa"/>
                    <w:right w:w="0" w:type="dxa"/>
                  </w:tcMar>
                  <w:vAlign w:val="center"/>
                </w:tcPr>
                <w:p w14:paraId="2A3817EC">
                  <w:pPr>
                    <w:spacing w:line="240" w:lineRule="exact"/>
                    <w:jc w:val="center"/>
                    <w:rPr>
                      <w:color w:val="auto"/>
                    </w:rPr>
                  </w:pPr>
                  <w:r>
                    <w:rPr>
                      <w:color w:val="auto"/>
                    </w:rPr>
                    <w:t>长荡湖重要湿地（金坛区）</w:t>
                  </w:r>
                </w:p>
              </w:tc>
              <w:tc>
                <w:tcPr>
                  <w:tcW w:w="528" w:type="pct"/>
                  <w:tcBorders>
                    <w:tl2br w:val="nil"/>
                    <w:tr2bl w:val="nil"/>
                  </w:tcBorders>
                  <w:tcMar>
                    <w:top w:w="0" w:type="dxa"/>
                    <w:left w:w="0" w:type="dxa"/>
                    <w:bottom w:w="0" w:type="dxa"/>
                    <w:right w:w="0" w:type="dxa"/>
                  </w:tcMar>
                  <w:vAlign w:val="center"/>
                </w:tcPr>
                <w:p w14:paraId="7AAC3780">
                  <w:pPr>
                    <w:spacing w:line="240" w:lineRule="exact"/>
                    <w:jc w:val="center"/>
                    <w:rPr>
                      <w:color w:val="auto"/>
                    </w:rPr>
                  </w:pPr>
                  <w:r>
                    <w:rPr>
                      <w:rFonts w:hint="eastAsia"/>
                      <w:color w:val="auto"/>
                    </w:rPr>
                    <w:t>重要湖泊湿地</w:t>
                  </w:r>
                </w:p>
              </w:tc>
              <w:tc>
                <w:tcPr>
                  <w:tcW w:w="1370" w:type="pct"/>
                  <w:vMerge w:val="continue"/>
                  <w:tcBorders>
                    <w:tl2br w:val="nil"/>
                    <w:tr2bl w:val="nil"/>
                  </w:tcBorders>
                  <w:tcMar>
                    <w:top w:w="0" w:type="dxa"/>
                    <w:left w:w="0" w:type="dxa"/>
                    <w:bottom w:w="0" w:type="dxa"/>
                    <w:right w:w="0" w:type="dxa"/>
                  </w:tcMar>
                  <w:vAlign w:val="center"/>
                </w:tcPr>
                <w:p w14:paraId="70C1779B">
                  <w:pPr>
                    <w:adjustRightInd w:val="0"/>
                    <w:snapToGrid w:val="0"/>
                    <w:jc w:val="center"/>
                    <w:rPr>
                      <w:color w:val="auto"/>
                    </w:rPr>
                  </w:pPr>
                </w:p>
              </w:tc>
              <w:tc>
                <w:tcPr>
                  <w:tcW w:w="497" w:type="pct"/>
                  <w:tcBorders>
                    <w:tl2br w:val="nil"/>
                    <w:tr2bl w:val="nil"/>
                  </w:tcBorders>
                  <w:tcMar>
                    <w:top w:w="0" w:type="dxa"/>
                    <w:left w:w="0" w:type="dxa"/>
                    <w:bottom w:w="0" w:type="dxa"/>
                    <w:right w:w="0" w:type="dxa"/>
                  </w:tcMar>
                  <w:vAlign w:val="center"/>
                </w:tcPr>
                <w:p w14:paraId="12C4AF12">
                  <w:pPr>
                    <w:adjustRightInd w:val="0"/>
                    <w:snapToGrid w:val="0"/>
                    <w:jc w:val="center"/>
                    <w:rPr>
                      <w:color w:val="auto"/>
                    </w:rPr>
                  </w:pPr>
                  <w:r>
                    <w:rPr>
                      <w:rFonts w:hint="eastAsia"/>
                      <w:color w:val="auto"/>
                      <w:lang w:val="en-US" w:eastAsia="zh-CN"/>
                    </w:rPr>
                    <w:t>西南</w:t>
                  </w:r>
                </w:p>
              </w:tc>
              <w:tc>
                <w:tcPr>
                  <w:tcW w:w="497" w:type="pct"/>
                  <w:tcBorders>
                    <w:tl2br w:val="nil"/>
                    <w:tr2bl w:val="nil"/>
                  </w:tcBorders>
                  <w:tcMar>
                    <w:top w:w="0" w:type="dxa"/>
                    <w:left w:w="0" w:type="dxa"/>
                    <w:bottom w:w="0" w:type="dxa"/>
                    <w:right w:w="0" w:type="dxa"/>
                  </w:tcMar>
                  <w:vAlign w:val="center"/>
                </w:tcPr>
                <w:p w14:paraId="1A6DE7B5">
                  <w:pPr>
                    <w:adjustRightInd w:val="0"/>
                    <w:snapToGrid w:val="0"/>
                    <w:jc w:val="center"/>
                    <w:rPr>
                      <w:rFonts w:hint="default" w:eastAsia="宋体"/>
                      <w:color w:val="auto"/>
                      <w:lang w:val="en-US" w:eastAsia="zh-CN"/>
                    </w:rPr>
                  </w:pPr>
                  <w:r>
                    <w:rPr>
                      <w:rFonts w:hint="eastAsia"/>
                      <w:color w:val="auto"/>
                      <w:lang w:val="en-US" w:eastAsia="zh-CN"/>
                    </w:rPr>
                    <w:t>8000</w:t>
                  </w:r>
                </w:p>
              </w:tc>
            </w:tr>
            <w:tr w14:paraId="5F1E9D2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40" w:hRule="atLeast"/>
                <w:jc w:val="center"/>
              </w:trPr>
              <w:tc>
                <w:tcPr>
                  <w:tcW w:w="498" w:type="pct"/>
                  <w:tcBorders>
                    <w:tl2br w:val="nil"/>
                    <w:tr2bl w:val="nil"/>
                  </w:tcBorders>
                  <w:tcMar>
                    <w:top w:w="0" w:type="dxa"/>
                    <w:left w:w="0" w:type="dxa"/>
                    <w:bottom w:w="0" w:type="dxa"/>
                    <w:right w:w="0" w:type="dxa"/>
                  </w:tcMar>
                  <w:vAlign w:val="center"/>
                </w:tcPr>
                <w:p w14:paraId="10D6AED6">
                  <w:pPr>
                    <w:adjustRightInd w:val="0"/>
                    <w:snapToGrid w:val="0"/>
                    <w:jc w:val="center"/>
                    <w:rPr>
                      <w:color w:val="auto"/>
                    </w:rPr>
                  </w:pPr>
                  <w:r>
                    <w:rPr>
                      <w:color w:val="auto"/>
                    </w:rPr>
                    <w:t>地下水</w:t>
                  </w:r>
                </w:p>
              </w:tc>
              <w:tc>
                <w:tcPr>
                  <w:tcW w:w="2135" w:type="pct"/>
                  <w:gridSpan w:val="4"/>
                  <w:tcBorders>
                    <w:tl2br w:val="nil"/>
                    <w:tr2bl w:val="nil"/>
                  </w:tcBorders>
                  <w:tcMar>
                    <w:top w:w="0" w:type="dxa"/>
                    <w:left w:w="0" w:type="dxa"/>
                    <w:bottom w:w="0" w:type="dxa"/>
                    <w:right w:w="0" w:type="dxa"/>
                  </w:tcMar>
                  <w:vAlign w:val="center"/>
                </w:tcPr>
                <w:p w14:paraId="7B51F928">
                  <w:pPr>
                    <w:adjustRightInd w:val="0"/>
                    <w:snapToGrid w:val="0"/>
                    <w:jc w:val="center"/>
                    <w:rPr>
                      <w:color w:val="auto"/>
                    </w:rPr>
                  </w:pPr>
                  <w:r>
                    <w:rPr>
                      <w:color w:val="auto"/>
                    </w:rPr>
                    <w:t>项目所在区域500m范围</w:t>
                  </w:r>
                </w:p>
              </w:tc>
              <w:tc>
                <w:tcPr>
                  <w:tcW w:w="2365" w:type="pct"/>
                  <w:gridSpan w:val="3"/>
                  <w:tcBorders>
                    <w:tl2br w:val="nil"/>
                    <w:tr2bl w:val="nil"/>
                  </w:tcBorders>
                  <w:tcMar>
                    <w:top w:w="0" w:type="dxa"/>
                    <w:left w:w="0" w:type="dxa"/>
                    <w:bottom w:w="0" w:type="dxa"/>
                    <w:right w:w="0" w:type="dxa"/>
                  </w:tcMar>
                  <w:vAlign w:val="center"/>
                </w:tcPr>
                <w:p w14:paraId="57D7AF2A">
                  <w:pPr>
                    <w:adjustRightInd w:val="0"/>
                    <w:snapToGrid w:val="0"/>
                    <w:jc w:val="center"/>
                    <w:rPr>
                      <w:color w:val="auto"/>
                    </w:rPr>
                  </w:pPr>
                  <w:r>
                    <w:rPr>
                      <w:color w:val="auto"/>
                    </w:rPr>
                    <w:t>本项目厂界外500米范围内无地下水集中式饮用水水源等特殊地下水资源</w:t>
                  </w:r>
                </w:p>
              </w:tc>
            </w:tr>
            <w:tr w14:paraId="3EA308F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40" w:hRule="atLeast"/>
                <w:jc w:val="center"/>
              </w:trPr>
              <w:tc>
                <w:tcPr>
                  <w:tcW w:w="5000" w:type="pct"/>
                  <w:gridSpan w:val="8"/>
                  <w:tcBorders>
                    <w:tl2br w:val="nil"/>
                    <w:tr2bl w:val="nil"/>
                  </w:tcBorders>
                  <w:tcMar>
                    <w:top w:w="0" w:type="dxa"/>
                    <w:left w:w="0" w:type="dxa"/>
                    <w:bottom w:w="0" w:type="dxa"/>
                    <w:right w:w="0" w:type="dxa"/>
                  </w:tcMar>
                  <w:vAlign w:val="center"/>
                </w:tcPr>
                <w:p w14:paraId="178F3D7A">
                  <w:pPr>
                    <w:adjustRightInd w:val="0"/>
                    <w:snapToGrid w:val="0"/>
                    <w:jc w:val="left"/>
                    <w:rPr>
                      <w:rFonts w:hint="eastAsia" w:eastAsia="宋体"/>
                      <w:color w:val="auto"/>
                      <w:lang w:val="en-US" w:eastAsia="zh-CN"/>
                    </w:rPr>
                  </w:pPr>
                  <w:r>
                    <w:rPr>
                      <w:rFonts w:hint="eastAsia"/>
                      <w:b/>
                      <w:bCs/>
                      <w:color w:val="auto"/>
                      <w:lang w:val="en-US" w:eastAsia="zh-CN"/>
                    </w:rPr>
                    <w:t>注：项目距离国控站点（金坛城区）直线距离约7.3km，距离省控站点（金坛监测站）8.2km，不在常州市空气质量监测国控、省控站点位置。</w:t>
                  </w:r>
                </w:p>
              </w:tc>
            </w:tr>
          </w:tbl>
          <w:p w14:paraId="24570904">
            <w:pPr>
              <w:adjustRightInd w:val="0"/>
              <w:snapToGrid w:val="0"/>
              <w:spacing w:line="360" w:lineRule="auto"/>
              <w:rPr>
                <w:bCs/>
                <w:color w:val="auto"/>
              </w:rPr>
            </w:pPr>
          </w:p>
        </w:tc>
      </w:tr>
      <w:tr w14:paraId="05B63FC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863" w:hRule="atLeast"/>
          <w:jc w:val="center"/>
        </w:trPr>
        <w:tc>
          <w:tcPr>
            <w:tcW w:w="456" w:type="dxa"/>
            <w:tcMar>
              <w:left w:w="28" w:type="dxa"/>
              <w:right w:w="28" w:type="dxa"/>
            </w:tcMar>
            <w:vAlign w:val="center"/>
          </w:tcPr>
          <w:p w14:paraId="11B47D55">
            <w:pPr>
              <w:adjustRightInd w:val="0"/>
              <w:snapToGrid w:val="0"/>
              <w:jc w:val="center"/>
              <w:rPr>
                <w:color w:val="auto"/>
                <w:kern w:val="0"/>
              </w:rPr>
            </w:pPr>
            <w:r>
              <w:rPr>
                <w:b/>
                <w:bCs/>
                <w:color w:val="auto"/>
                <w:kern w:val="0"/>
              </w:rPr>
              <w:t>污染物排放控制标准</w:t>
            </w:r>
          </w:p>
        </w:tc>
        <w:tc>
          <w:tcPr>
            <w:tcW w:w="8945" w:type="dxa"/>
            <w:vAlign w:val="center"/>
          </w:tcPr>
          <w:p w14:paraId="6910CEF4">
            <w:pPr>
              <w:spacing w:line="360" w:lineRule="auto"/>
              <w:ind w:firstLine="422" w:firstLineChars="200"/>
              <w:rPr>
                <w:color w:val="auto"/>
              </w:rPr>
            </w:pPr>
            <w:r>
              <w:rPr>
                <w:rFonts w:hint="eastAsia"/>
                <w:b/>
                <w:bCs/>
                <w:color w:val="auto"/>
              </w:rPr>
              <w:t>1、</w:t>
            </w:r>
            <w:r>
              <w:rPr>
                <w:b/>
                <w:bCs/>
                <w:color w:val="auto"/>
              </w:rPr>
              <w:t>废气：</w:t>
            </w:r>
          </w:p>
          <w:p w14:paraId="12B7BCEE">
            <w:pPr>
              <w:adjustRightInd w:val="0"/>
              <w:snapToGrid w:val="0"/>
              <w:spacing w:line="360" w:lineRule="auto"/>
              <w:ind w:firstLine="420" w:firstLineChars="200"/>
              <w:rPr>
                <w:rFonts w:hint="default" w:eastAsia="宋体"/>
                <w:color w:val="auto"/>
                <w:lang w:val="en-US" w:eastAsia="zh-CN"/>
              </w:rPr>
            </w:pPr>
            <w:r>
              <w:rPr>
                <w:rFonts w:hint="eastAsia"/>
                <w:color w:val="auto"/>
              </w:rPr>
              <w:t>①有组织废气：</w:t>
            </w:r>
            <w:r>
              <w:rPr>
                <w:bCs/>
                <w:color w:val="auto"/>
              </w:rPr>
              <w:t>项目</w:t>
            </w:r>
            <w:r>
              <w:rPr>
                <w:rFonts w:hint="eastAsia"/>
                <w:bCs/>
                <w:color w:val="auto"/>
                <w:lang w:val="en-US" w:eastAsia="zh-CN"/>
              </w:rPr>
              <w:t>喷涂有组织</w:t>
            </w:r>
            <w:r>
              <w:rPr>
                <w:bCs/>
                <w:color w:val="auto"/>
              </w:rPr>
              <w:t>非甲烷总烃</w:t>
            </w:r>
            <w:r>
              <w:rPr>
                <w:rFonts w:hint="eastAsia"/>
                <w:bCs/>
                <w:color w:val="auto"/>
                <w:lang w:eastAsia="zh-CN"/>
              </w:rPr>
              <w:t>、</w:t>
            </w:r>
            <w:r>
              <w:rPr>
                <w:rFonts w:hint="eastAsia"/>
                <w:bCs/>
                <w:color w:val="auto"/>
                <w:lang w:val="en-US" w:eastAsia="zh-CN"/>
              </w:rPr>
              <w:t>颗粒物、苯系物</w:t>
            </w:r>
            <w:r>
              <w:rPr>
                <w:bCs/>
                <w:color w:val="auto"/>
              </w:rPr>
              <w:t>执行</w:t>
            </w:r>
            <w:r>
              <w:rPr>
                <w:rFonts w:hint="eastAsia"/>
                <w:color w:val="auto"/>
                <w:kern w:val="0"/>
                <w:sz w:val="21"/>
              </w:rPr>
              <w:t>《</w:t>
            </w:r>
            <w:r>
              <w:rPr>
                <w:rFonts w:hint="eastAsia"/>
                <w:color w:val="auto"/>
                <w:kern w:val="0"/>
                <w:sz w:val="21"/>
                <w:lang w:val="en-US" w:eastAsia="zh-CN"/>
              </w:rPr>
              <w:t>工业涂装工序大气污染物排放标准</w:t>
            </w:r>
            <w:r>
              <w:rPr>
                <w:rFonts w:hint="eastAsia"/>
                <w:color w:val="auto"/>
                <w:kern w:val="0"/>
                <w:sz w:val="21"/>
              </w:rPr>
              <w:t>》</w:t>
            </w:r>
            <w:r>
              <w:rPr>
                <w:rFonts w:hint="eastAsia"/>
                <w:color w:val="auto"/>
                <w:kern w:val="0"/>
                <w:sz w:val="21"/>
                <w:lang w:eastAsia="zh-CN"/>
              </w:rPr>
              <w:t>（</w:t>
            </w:r>
            <w:r>
              <w:rPr>
                <w:rFonts w:hint="eastAsia"/>
                <w:color w:val="auto"/>
                <w:kern w:val="0"/>
                <w:sz w:val="21"/>
              </w:rPr>
              <w:t>DB32/4439-2022</w:t>
            </w:r>
            <w:r>
              <w:rPr>
                <w:rFonts w:hint="eastAsia"/>
                <w:color w:val="auto"/>
                <w:kern w:val="0"/>
                <w:sz w:val="21"/>
                <w:lang w:eastAsia="zh-CN"/>
              </w:rPr>
              <w:t>）</w:t>
            </w:r>
            <w:r>
              <w:rPr>
                <w:rFonts w:hint="eastAsia"/>
                <w:color w:val="auto"/>
                <w:kern w:val="0"/>
                <w:sz w:val="21"/>
                <w:lang w:val="en-US" w:eastAsia="zh-CN"/>
              </w:rPr>
              <w:t>表1标准、二甲苯执行</w:t>
            </w:r>
            <w:r>
              <w:rPr>
                <w:rFonts w:hint="eastAsia"/>
                <w:color w:val="auto"/>
                <w:lang w:val="en-US" w:eastAsia="zh-CN"/>
              </w:rPr>
              <w:t>《大气污染物综合排放标准》（DB32/4041-2021）表1标准</w:t>
            </w:r>
            <w:r>
              <w:rPr>
                <w:rFonts w:hint="eastAsia"/>
                <w:color w:val="auto"/>
              </w:rPr>
              <w:t>；</w:t>
            </w:r>
            <w:r>
              <w:rPr>
                <w:rFonts w:hint="eastAsia"/>
                <w:color w:val="auto"/>
                <w:lang w:val="en-US" w:eastAsia="zh-CN"/>
              </w:rPr>
              <w:t>喷砂、喷锌颗粒物执行《大气污染物综合排放标准》（DB32/4041-2021）表1标准；</w:t>
            </w:r>
          </w:p>
          <w:p w14:paraId="0995D7B4">
            <w:pPr>
              <w:adjustRightInd w:val="0"/>
              <w:snapToGrid w:val="0"/>
              <w:spacing w:line="360" w:lineRule="auto"/>
              <w:ind w:firstLine="420" w:firstLineChars="200"/>
              <w:rPr>
                <w:color w:val="auto"/>
              </w:rPr>
            </w:pPr>
            <w:r>
              <w:rPr>
                <w:rFonts w:hint="eastAsia"/>
                <w:color w:val="auto"/>
              </w:rPr>
              <w:t>②无组织废气：</w:t>
            </w:r>
            <w:r>
              <w:rPr>
                <w:rFonts w:hint="eastAsia"/>
                <w:color w:val="auto"/>
                <w:lang w:val="en-US" w:eastAsia="zh-CN"/>
              </w:rPr>
              <w:t>厂界</w:t>
            </w:r>
            <w:r>
              <w:rPr>
                <w:rFonts w:hint="eastAsia"/>
                <w:bCs/>
                <w:color w:val="auto"/>
                <w:lang w:val="en-US" w:eastAsia="zh-CN"/>
              </w:rPr>
              <w:t>非甲烷总烃、颗粒物、二甲苯、苯系物</w:t>
            </w:r>
            <w:r>
              <w:rPr>
                <w:color w:val="auto"/>
              </w:rPr>
              <w:t>无组织排放标准</w:t>
            </w:r>
            <w:r>
              <w:rPr>
                <w:rFonts w:hint="eastAsia"/>
                <w:color w:val="auto"/>
                <w:lang w:val="en-US" w:eastAsia="zh-CN"/>
              </w:rPr>
              <w:t>执行《大气污染物综合排放标准》（DB32 4041-2021）表3</w:t>
            </w:r>
            <w:r>
              <w:rPr>
                <w:color w:val="auto"/>
              </w:rPr>
              <w:t>标准</w:t>
            </w:r>
            <w:r>
              <w:rPr>
                <w:rFonts w:hint="eastAsia"/>
                <w:bCs/>
                <w:color w:val="auto"/>
                <w:lang w:eastAsia="zh-CN"/>
              </w:rPr>
              <w:t>；</w:t>
            </w:r>
            <w:r>
              <w:rPr>
                <w:rFonts w:hint="eastAsia"/>
                <w:color w:val="auto"/>
                <w:lang w:val="en-US" w:eastAsia="zh-CN"/>
              </w:rPr>
              <w:t>车间外非甲烷总烃执行</w:t>
            </w:r>
            <w:r>
              <w:rPr>
                <w:rFonts w:hint="eastAsia"/>
                <w:color w:val="auto"/>
                <w:kern w:val="0"/>
                <w:sz w:val="21"/>
              </w:rPr>
              <w:t>《</w:t>
            </w:r>
            <w:r>
              <w:rPr>
                <w:rFonts w:hint="eastAsia"/>
                <w:color w:val="auto"/>
                <w:kern w:val="0"/>
                <w:sz w:val="21"/>
                <w:lang w:val="en-US" w:eastAsia="zh-CN"/>
              </w:rPr>
              <w:t>工业涂装工序大气污染物排放标准</w:t>
            </w:r>
            <w:r>
              <w:rPr>
                <w:rFonts w:hint="eastAsia"/>
                <w:color w:val="auto"/>
                <w:kern w:val="0"/>
                <w:sz w:val="21"/>
              </w:rPr>
              <w:t>》</w:t>
            </w:r>
            <w:r>
              <w:rPr>
                <w:rFonts w:hint="eastAsia"/>
                <w:color w:val="auto"/>
                <w:kern w:val="0"/>
                <w:sz w:val="21"/>
                <w:lang w:eastAsia="zh-CN"/>
              </w:rPr>
              <w:t>（</w:t>
            </w:r>
            <w:r>
              <w:rPr>
                <w:rFonts w:hint="eastAsia"/>
                <w:color w:val="auto"/>
                <w:kern w:val="0"/>
                <w:sz w:val="21"/>
              </w:rPr>
              <w:t>DB32/4439-2022</w:t>
            </w:r>
            <w:r>
              <w:rPr>
                <w:rFonts w:hint="eastAsia"/>
                <w:color w:val="auto"/>
                <w:kern w:val="0"/>
                <w:sz w:val="21"/>
                <w:lang w:eastAsia="zh-CN"/>
              </w:rPr>
              <w:t>）</w:t>
            </w:r>
            <w:r>
              <w:rPr>
                <w:rFonts w:hint="eastAsia"/>
                <w:color w:val="auto"/>
                <w:kern w:val="0"/>
                <w:sz w:val="21"/>
                <w:lang w:val="en-US" w:eastAsia="zh-CN"/>
              </w:rPr>
              <w:t>表3标准</w:t>
            </w:r>
            <w:r>
              <w:rPr>
                <w:color w:val="auto"/>
              </w:rPr>
              <w:t>；</w:t>
            </w:r>
          </w:p>
          <w:p w14:paraId="09CAFC85">
            <w:pPr>
              <w:adjustRightInd w:val="0"/>
              <w:snapToGrid w:val="0"/>
              <w:spacing w:line="360" w:lineRule="auto"/>
              <w:ind w:firstLine="420" w:firstLineChars="200"/>
              <w:rPr>
                <w:color w:val="auto"/>
              </w:rPr>
            </w:pPr>
            <w:r>
              <w:rPr>
                <w:rFonts w:hint="eastAsia"/>
                <w:color w:val="auto"/>
              </w:rPr>
              <w:t>具体排放限值如下：</w:t>
            </w:r>
          </w:p>
          <w:p w14:paraId="34E151BD">
            <w:pPr>
              <w:adjustRightInd w:val="0"/>
              <w:snapToGrid w:val="0"/>
              <w:jc w:val="center"/>
              <w:rPr>
                <w:color w:val="auto"/>
              </w:rPr>
            </w:pPr>
            <w:r>
              <w:rPr>
                <w:b/>
                <w:color w:val="auto"/>
              </w:rPr>
              <w:t>表3-</w:t>
            </w:r>
            <w:r>
              <w:rPr>
                <w:rFonts w:hint="eastAsia"/>
                <w:b/>
                <w:color w:val="auto"/>
              </w:rPr>
              <w:t>5</w:t>
            </w:r>
            <w:r>
              <w:rPr>
                <w:b/>
                <w:color w:val="auto"/>
              </w:rPr>
              <w:t xml:space="preserve">   </w:t>
            </w:r>
            <w:r>
              <w:rPr>
                <w:rFonts w:hint="eastAsia"/>
                <w:b/>
                <w:color w:val="auto"/>
              </w:rPr>
              <w:t>有组织废气排放限值</w:t>
            </w:r>
          </w:p>
          <w:tbl>
            <w:tblPr>
              <w:tblStyle w:val="59"/>
              <w:tblW w:w="4998"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28" w:type="dxa"/>
                <w:bottom w:w="0" w:type="dxa"/>
                <w:right w:w="28" w:type="dxa"/>
              </w:tblCellMar>
            </w:tblPr>
            <w:tblGrid>
              <w:gridCol w:w="1814"/>
              <w:gridCol w:w="1409"/>
              <w:gridCol w:w="1439"/>
              <w:gridCol w:w="1232"/>
              <w:gridCol w:w="2832"/>
            </w:tblGrid>
            <w:tr w14:paraId="382CA74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28" w:type="dxa"/>
                  <w:bottom w:w="0" w:type="dxa"/>
                  <w:right w:w="28" w:type="dxa"/>
                </w:tblCellMar>
              </w:tblPrEx>
              <w:trPr>
                <w:cantSplit/>
                <w:trHeight w:val="23" w:hRule="atLeast"/>
                <w:jc w:val="center"/>
              </w:trPr>
              <w:tc>
                <w:tcPr>
                  <w:tcW w:w="1039" w:type="pct"/>
                  <w:tcBorders>
                    <w:tl2br w:val="nil"/>
                    <w:tr2bl w:val="nil"/>
                  </w:tcBorders>
                  <w:vAlign w:val="center"/>
                </w:tcPr>
                <w:p w14:paraId="73A7987B">
                  <w:pPr>
                    <w:jc w:val="center"/>
                    <w:rPr>
                      <w:b/>
                      <w:bCs/>
                      <w:color w:val="auto"/>
                    </w:rPr>
                  </w:pPr>
                  <w:r>
                    <w:rPr>
                      <w:b/>
                      <w:bCs/>
                      <w:color w:val="auto"/>
                    </w:rPr>
                    <w:t>污染物名称</w:t>
                  </w:r>
                </w:p>
              </w:tc>
              <w:tc>
                <w:tcPr>
                  <w:tcW w:w="807" w:type="pct"/>
                  <w:tcBorders>
                    <w:tl2br w:val="nil"/>
                    <w:tr2bl w:val="nil"/>
                  </w:tcBorders>
                  <w:vAlign w:val="center"/>
                </w:tcPr>
                <w:p w14:paraId="0F18FC8D">
                  <w:pPr>
                    <w:jc w:val="center"/>
                    <w:rPr>
                      <w:b/>
                      <w:bCs/>
                      <w:color w:val="auto"/>
                    </w:rPr>
                  </w:pPr>
                  <w:r>
                    <w:rPr>
                      <w:b/>
                      <w:bCs/>
                      <w:color w:val="auto"/>
                    </w:rPr>
                    <w:t>最高允许排放浓度（mg/m</w:t>
                  </w:r>
                  <w:r>
                    <w:rPr>
                      <w:b/>
                      <w:bCs/>
                      <w:color w:val="auto"/>
                      <w:vertAlign w:val="superscript"/>
                    </w:rPr>
                    <w:t>3</w:t>
                  </w:r>
                  <w:r>
                    <w:rPr>
                      <w:b/>
                      <w:bCs/>
                      <w:color w:val="auto"/>
                    </w:rPr>
                    <w:t>）</w:t>
                  </w:r>
                </w:p>
              </w:tc>
              <w:tc>
                <w:tcPr>
                  <w:tcW w:w="824" w:type="pct"/>
                  <w:tcBorders>
                    <w:tl2br w:val="nil"/>
                    <w:tr2bl w:val="nil"/>
                  </w:tcBorders>
                  <w:vAlign w:val="center"/>
                </w:tcPr>
                <w:p w14:paraId="2CC8FA45">
                  <w:pPr>
                    <w:jc w:val="center"/>
                    <w:rPr>
                      <w:b/>
                      <w:bCs/>
                      <w:color w:val="auto"/>
                    </w:rPr>
                  </w:pPr>
                  <w:r>
                    <w:rPr>
                      <w:b/>
                      <w:bCs/>
                      <w:color w:val="auto"/>
                    </w:rPr>
                    <w:t>最高允许排放速率（kg/h）</w:t>
                  </w:r>
                </w:p>
              </w:tc>
              <w:tc>
                <w:tcPr>
                  <w:tcW w:w="705" w:type="pct"/>
                  <w:tcBorders>
                    <w:tl2br w:val="nil"/>
                    <w:tr2bl w:val="nil"/>
                  </w:tcBorders>
                  <w:vAlign w:val="center"/>
                </w:tcPr>
                <w:p w14:paraId="4DB90A1E">
                  <w:pPr>
                    <w:jc w:val="center"/>
                    <w:rPr>
                      <w:b/>
                      <w:bCs/>
                      <w:color w:val="auto"/>
                    </w:rPr>
                  </w:pPr>
                  <w:r>
                    <w:rPr>
                      <w:rFonts w:hint="eastAsia"/>
                      <w:b/>
                      <w:bCs/>
                      <w:color w:val="auto"/>
                    </w:rPr>
                    <w:t>污染物排放监控位置</w:t>
                  </w:r>
                </w:p>
              </w:tc>
              <w:tc>
                <w:tcPr>
                  <w:tcW w:w="1622" w:type="pct"/>
                  <w:tcBorders>
                    <w:tl2br w:val="nil"/>
                    <w:tr2bl w:val="nil"/>
                  </w:tcBorders>
                  <w:vAlign w:val="center"/>
                </w:tcPr>
                <w:p w14:paraId="353814C2">
                  <w:pPr>
                    <w:jc w:val="center"/>
                    <w:rPr>
                      <w:b/>
                      <w:bCs/>
                      <w:color w:val="auto"/>
                    </w:rPr>
                  </w:pPr>
                  <w:r>
                    <w:rPr>
                      <w:b/>
                      <w:bCs/>
                      <w:color w:val="auto"/>
                    </w:rPr>
                    <w:t>标准来源</w:t>
                  </w:r>
                </w:p>
              </w:tc>
            </w:tr>
            <w:tr w14:paraId="43C31293">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28" w:type="dxa"/>
                  <w:bottom w:w="0" w:type="dxa"/>
                  <w:right w:w="28" w:type="dxa"/>
                </w:tblCellMar>
              </w:tblPrEx>
              <w:trPr>
                <w:cantSplit/>
                <w:trHeight w:val="367" w:hRule="atLeast"/>
                <w:jc w:val="center"/>
              </w:trPr>
              <w:tc>
                <w:tcPr>
                  <w:tcW w:w="1039" w:type="pct"/>
                  <w:tcBorders>
                    <w:tl2br w:val="nil"/>
                    <w:tr2bl w:val="nil"/>
                  </w:tcBorders>
                  <w:vAlign w:val="center"/>
                </w:tcPr>
                <w:p w14:paraId="26B8FF31">
                  <w:pPr>
                    <w:jc w:val="center"/>
                    <w:rPr>
                      <w:color w:val="auto"/>
                    </w:rPr>
                  </w:pPr>
                  <w:r>
                    <w:rPr>
                      <w:color w:val="auto"/>
                      <w:lang w:val="zh-CN"/>
                    </w:rPr>
                    <w:t>非甲烷总烃</w:t>
                  </w:r>
                </w:p>
              </w:tc>
              <w:tc>
                <w:tcPr>
                  <w:tcW w:w="807" w:type="pct"/>
                  <w:tcBorders>
                    <w:tl2br w:val="nil"/>
                    <w:tr2bl w:val="nil"/>
                  </w:tcBorders>
                  <w:vAlign w:val="center"/>
                </w:tcPr>
                <w:p w14:paraId="51567875">
                  <w:pPr>
                    <w:jc w:val="center"/>
                    <w:rPr>
                      <w:rFonts w:hint="default" w:eastAsia="宋体"/>
                      <w:color w:val="auto"/>
                      <w:lang w:val="en-US" w:eastAsia="zh-CN"/>
                    </w:rPr>
                  </w:pPr>
                  <w:r>
                    <w:rPr>
                      <w:rFonts w:hint="eastAsia"/>
                      <w:color w:val="auto"/>
                      <w:lang w:val="en-US" w:eastAsia="zh-CN"/>
                    </w:rPr>
                    <w:t>50</w:t>
                  </w:r>
                </w:p>
              </w:tc>
              <w:tc>
                <w:tcPr>
                  <w:tcW w:w="824" w:type="pct"/>
                  <w:tcBorders>
                    <w:tl2br w:val="nil"/>
                    <w:tr2bl w:val="nil"/>
                  </w:tcBorders>
                  <w:vAlign w:val="center"/>
                </w:tcPr>
                <w:p w14:paraId="23A40360">
                  <w:pPr>
                    <w:jc w:val="center"/>
                    <w:rPr>
                      <w:rFonts w:hint="default" w:eastAsia="宋体"/>
                      <w:color w:val="auto"/>
                      <w:lang w:val="en-US" w:eastAsia="zh-CN"/>
                    </w:rPr>
                  </w:pPr>
                  <w:r>
                    <w:rPr>
                      <w:rFonts w:hint="eastAsia"/>
                      <w:color w:val="auto"/>
                      <w:lang w:val="en-US" w:eastAsia="zh-CN"/>
                    </w:rPr>
                    <w:t>2.0</w:t>
                  </w:r>
                </w:p>
              </w:tc>
              <w:tc>
                <w:tcPr>
                  <w:tcW w:w="705" w:type="pct"/>
                  <w:vMerge w:val="restart"/>
                  <w:tcBorders>
                    <w:tl2br w:val="nil"/>
                    <w:tr2bl w:val="nil"/>
                  </w:tcBorders>
                  <w:vAlign w:val="center"/>
                </w:tcPr>
                <w:p w14:paraId="3788BC7D">
                  <w:pPr>
                    <w:jc w:val="center"/>
                    <w:rPr>
                      <w:rFonts w:hint="default"/>
                      <w:color w:val="auto"/>
                      <w:lang w:val="en-US"/>
                    </w:rPr>
                  </w:pPr>
                  <w:r>
                    <w:rPr>
                      <w:rFonts w:hint="eastAsia"/>
                      <w:color w:val="auto"/>
                      <w:lang w:val="en-US" w:eastAsia="zh-CN"/>
                    </w:rPr>
                    <w:t>DA002排放口</w:t>
                  </w:r>
                </w:p>
              </w:tc>
              <w:tc>
                <w:tcPr>
                  <w:tcW w:w="1622" w:type="pct"/>
                  <w:vMerge w:val="restart"/>
                  <w:tcBorders>
                    <w:tl2br w:val="nil"/>
                    <w:tr2bl w:val="nil"/>
                  </w:tcBorders>
                  <w:vAlign w:val="center"/>
                </w:tcPr>
                <w:p w14:paraId="3E142877">
                  <w:pPr>
                    <w:jc w:val="center"/>
                    <w:rPr>
                      <w:color w:val="auto"/>
                    </w:rPr>
                  </w:pPr>
                  <w:r>
                    <w:rPr>
                      <w:rFonts w:hint="eastAsia"/>
                      <w:color w:val="auto"/>
                      <w:kern w:val="0"/>
                      <w:sz w:val="21"/>
                    </w:rPr>
                    <w:t>《</w:t>
                  </w:r>
                  <w:r>
                    <w:rPr>
                      <w:rFonts w:hint="eastAsia"/>
                      <w:color w:val="auto"/>
                      <w:kern w:val="0"/>
                      <w:sz w:val="21"/>
                      <w:lang w:val="en-US" w:eastAsia="zh-CN"/>
                    </w:rPr>
                    <w:t>工业涂装工序大气污染物排放标准</w:t>
                  </w:r>
                  <w:r>
                    <w:rPr>
                      <w:rFonts w:hint="eastAsia"/>
                      <w:color w:val="auto"/>
                      <w:kern w:val="0"/>
                      <w:sz w:val="21"/>
                    </w:rPr>
                    <w:t>》</w:t>
                  </w:r>
                  <w:r>
                    <w:rPr>
                      <w:rFonts w:hint="eastAsia"/>
                      <w:color w:val="auto"/>
                      <w:kern w:val="0"/>
                      <w:sz w:val="21"/>
                      <w:lang w:eastAsia="zh-CN"/>
                    </w:rPr>
                    <w:t>（</w:t>
                  </w:r>
                  <w:r>
                    <w:rPr>
                      <w:rFonts w:hint="eastAsia"/>
                      <w:color w:val="auto"/>
                      <w:kern w:val="0"/>
                      <w:sz w:val="21"/>
                    </w:rPr>
                    <w:t>DB32/4439-2022</w:t>
                  </w:r>
                  <w:r>
                    <w:rPr>
                      <w:rFonts w:hint="eastAsia"/>
                      <w:color w:val="auto"/>
                      <w:kern w:val="0"/>
                      <w:sz w:val="21"/>
                      <w:lang w:eastAsia="zh-CN"/>
                    </w:rPr>
                    <w:t>）</w:t>
                  </w:r>
                  <w:r>
                    <w:rPr>
                      <w:rFonts w:hint="eastAsia"/>
                      <w:color w:val="auto"/>
                      <w:kern w:val="0"/>
                      <w:sz w:val="21"/>
                      <w:lang w:val="en-US" w:eastAsia="zh-CN"/>
                    </w:rPr>
                    <w:t>表1</w:t>
                  </w:r>
                </w:p>
              </w:tc>
            </w:tr>
            <w:tr w14:paraId="376F410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28" w:type="dxa"/>
                  <w:bottom w:w="0" w:type="dxa"/>
                  <w:right w:w="28" w:type="dxa"/>
                </w:tblCellMar>
              </w:tblPrEx>
              <w:trPr>
                <w:cantSplit/>
                <w:trHeight w:val="23" w:hRule="atLeast"/>
                <w:jc w:val="center"/>
              </w:trPr>
              <w:tc>
                <w:tcPr>
                  <w:tcW w:w="1039" w:type="pct"/>
                  <w:tcBorders>
                    <w:tl2br w:val="nil"/>
                    <w:tr2bl w:val="nil"/>
                  </w:tcBorders>
                  <w:vAlign w:val="center"/>
                </w:tcPr>
                <w:p w14:paraId="7E762691">
                  <w:pPr>
                    <w:jc w:val="center"/>
                    <w:rPr>
                      <w:rFonts w:hint="eastAsia" w:eastAsia="宋体"/>
                      <w:color w:val="auto"/>
                      <w:lang w:val="en-US" w:eastAsia="zh-CN"/>
                    </w:rPr>
                  </w:pPr>
                  <w:r>
                    <w:rPr>
                      <w:rFonts w:hint="eastAsia"/>
                      <w:color w:val="auto"/>
                      <w:lang w:val="en-US" w:eastAsia="zh-CN"/>
                    </w:rPr>
                    <w:t>颗粒物</w:t>
                  </w:r>
                </w:p>
              </w:tc>
              <w:tc>
                <w:tcPr>
                  <w:tcW w:w="807" w:type="pct"/>
                  <w:tcBorders>
                    <w:tl2br w:val="nil"/>
                    <w:tr2bl w:val="nil"/>
                  </w:tcBorders>
                  <w:vAlign w:val="center"/>
                </w:tcPr>
                <w:p w14:paraId="0B9563F7">
                  <w:pPr>
                    <w:jc w:val="center"/>
                    <w:rPr>
                      <w:rFonts w:hint="default"/>
                      <w:color w:val="auto"/>
                      <w:lang w:val="en-US" w:eastAsia="zh-CN"/>
                    </w:rPr>
                  </w:pPr>
                  <w:r>
                    <w:rPr>
                      <w:rFonts w:hint="eastAsia"/>
                      <w:color w:val="auto"/>
                      <w:lang w:val="en-US" w:eastAsia="zh-CN"/>
                    </w:rPr>
                    <w:t>10</w:t>
                  </w:r>
                </w:p>
              </w:tc>
              <w:tc>
                <w:tcPr>
                  <w:tcW w:w="824" w:type="pct"/>
                  <w:tcBorders>
                    <w:tl2br w:val="nil"/>
                    <w:tr2bl w:val="nil"/>
                  </w:tcBorders>
                  <w:vAlign w:val="center"/>
                </w:tcPr>
                <w:p w14:paraId="4B315E0F">
                  <w:pPr>
                    <w:jc w:val="center"/>
                    <w:rPr>
                      <w:rFonts w:hint="default"/>
                      <w:color w:val="auto"/>
                      <w:lang w:val="en-US" w:eastAsia="zh-CN"/>
                    </w:rPr>
                  </w:pPr>
                  <w:r>
                    <w:rPr>
                      <w:rFonts w:hint="eastAsia"/>
                      <w:color w:val="auto"/>
                      <w:lang w:val="en-US" w:eastAsia="zh-CN"/>
                    </w:rPr>
                    <w:t>0.4</w:t>
                  </w:r>
                </w:p>
              </w:tc>
              <w:tc>
                <w:tcPr>
                  <w:tcW w:w="705" w:type="pct"/>
                  <w:vMerge w:val="continue"/>
                  <w:tcBorders>
                    <w:tl2br w:val="nil"/>
                    <w:tr2bl w:val="nil"/>
                  </w:tcBorders>
                  <w:vAlign w:val="center"/>
                </w:tcPr>
                <w:p w14:paraId="4135A1B8">
                  <w:pPr>
                    <w:jc w:val="center"/>
                    <w:rPr>
                      <w:rFonts w:hint="eastAsia"/>
                      <w:color w:val="auto"/>
                    </w:rPr>
                  </w:pPr>
                </w:p>
              </w:tc>
              <w:tc>
                <w:tcPr>
                  <w:tcW w:w="1622" w:type="pct"/>
                  <w:vMerge w:val="continue"/>
                  <w:tcBorders>
                    <w:tl2br w:val="nil"/>
                    <w:tr2bl w:val="nil"/>
                  </w:tcBorders>
                  <w:vAlign w:val="center"/>
                </w:tcPr>
                <w:p w14:paraId="7FD8A099">
                  <w:pPr>
                    <w:jc w:val="center"/>
                    <w:rPr>
                      <w:rFonts w:hint="eastAsia"/>
                      <w:color w:val="auto"/>
                      <w:kern w:val="0"/>
                      <w:sz w:val="21"/>
                    </w:rPr>
                  </w:pPr>
                </w:p>
              </w:tc>
            </w:tr>
            <w:tr w14:paraId="1AD0530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28" w:type="dxa"/>
                  <w:bottom w:w="0" w:type="dxa"/>
                  <w:right w:w="28" w:type="dxa"/>
                </w:tblCellMar>
              </w:tblPrEx>
              <w:trPr>
                <w:cantSplit/>
                <w:trHeight w:val="23" w:hRule="atLeast"/>
                <w:jc w:val="center"/>
              </w:trPr>
              <w:tc>
                <w:tcPr>
                  <w:tcW w:w="1039" w:type="pct"/>
                  <w:tcBorders>
                    <w:tl2br w:val="nil"/>
                    <w:tr2bl w:val="nil"/>
                  </w:tcBorders>
                  <w:vAlign w:val="center"/>
                </w:tcPr>
                <w:p w14:paraId="69B00E94">
                  <w:pPr>
                    <w:jc w:val="center"/>
                    <w:rPr>
                      <w:rFonts w:hint="default"/>
                      <w:color w:val="auto"/>
                      <w:lang w:val="en-US" w:eastAsia="zh-CN"/>
                    </w:rPr>
                  </w:pPr>
                  <w:r>
                    <w:rPr>
                      <w:rFonts w:hint="eastAsia"/>
                      <w:color w:val="auto"/>
                      <w:lang w:val="en-US" w:eastAsia="zh-CN"/>
                    </w:rPr>
                    <w:t>苯系物</w:t>
                  </w:r>
                </w:p>
              </w:tc>
              <w:tc>
                <w:tcPr>
                  <w:tcW w:w="807" w:type="pct"/>
                  <w:tcBorders>
                    <w:tl2br w:val="nil"/>
                    <w:tr2bl w:val="nil"/>
                  </w:tcBorders>
                  <w:vAlign w:val="center"/>
                </w:tcPr>
                <w:p w14:paraId="61F47485">
                  <w:pPr>
                    <w:jc w:val="center"/>
                    <w:rPr>
                      <w:rFonts w:hint="default"/>
                      <w:color w:val="auto"/>
                      <w:lang w:val="en-US" w:eastAsia="zh-CN"/>
                    </w:rPr>
                  </w:pPr>
                  <w:r>
                    <w:rPr>
                      <w:rFonts w:hint="eastAsia"/>
                      <w:color w:val="auto"/>
                      <w:lang w:val="en-US" w:eastAsia="zh-CN"/>
                    </w:rPr>
                    <w:t>20</w:t>
                  </w:r>
                </w:p>
              </w:tc>
              <w:tc>
                <w:tcPr>
                  <w:tcW w:w="824" w:type="pct"/>
                  <w:tcBorders>
                    <w:tl2br w:val="nil"/>
                    <w:tr2bl w:val="nil"/>
                  </w:tcBorders>
                  <w:vAlign w:val="center"/>
                </w:tcPr>
                <w:p w14:paraId="4AD9728F">
                  <w:pPr>
                    <w:jc w:val="center"/>
                    <w:rPr>
                      <w:rFonts w:hint="default"/>
                      <w:color w:val="auto"/>
                      <w:lang w:val="en-US" w:eastAsia="zh-CN"/>
                    </w:rPr>
                  </w:pPr>
                  <w:r>
                    <w:rPr>
                      <w:rFonts w:hint="eastAsia"/>
                      <w:color w:val="auto"/>
                      <w:lang w:val="en-US" w:eastAsia="zh-CN"/>
                    </w:rPr>
                    <w:t>0.8</w:t>
                  </w:r>
                </w:p>
              </w:tc>
              <w:tc>
                <w:tcPr>
                  <w:tcW w:w="705" w:type="pct"/>
                  <w:vMerge w:val="continue"/>
                  <w:tcBorders>
                    <w:tl2br w:val="nil"/>
                    <w:tr2bl w:val="nil"/>
                  </w:tcBorders>
                  <w:vAlign w:val="center"/>
                </w:tcPr>
                <w:p w14:paraId="730FE793">
                  <w:pPr>
                    <w:jc w:val="center"/>
                    <w:rPr>
                      <w:rFonts w:hint="eastAsia"/>
                      <w:color w:val="auto"/>
                    </w:rPr>
                  </w:pPr>
                </w:p>
              </w:tc>
              <w:tc>
                <w:tcPr>
                  <w:tcW w:w="1622" w:type="pct"/>
                  <w:vMerge w:val="continue"/>
                  <w:tcBorders>
                    <w:tl2br w:val="nil"/>
                    <w:tr2bl w:val="nil"/>
                  </w:tcBorders>
                  <w:vAlign w:val="center"/>
                </w:tcPr>
                <w:p w14:paraId="62F8961F">
                  <w:pPr>
                    <w:jc w:val="center"/>
                    <w:rPr>
                      <w:rFonts w:hint="eastAsia"/>
                      <w:color w:val="auto"/>
                      <w:kern w:val="0"/>
                      <w:sz w:val="21"/>
                    </w:rPr>
                  </w:pPr>
                </w:p>
              </w:tc>
            </w:tr>
            <w:tr w14:paraId="3F24EAF3">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28" w:type="dxa"/>
                  <w:bottom w:w="0" w:type="dxa"/>
                  <w:right w:w="28" w:type="dxa"/>
                </w:tblCellMar>
              </w:tblPrEx>
              <w:trPr>
                <w:cantSplit/>
                <w:trHeight w:val="23" w:hRule="atLeast"/>
                <w:jc w:val="center"/>
              </w:trPr>
              <w:tc>
                <w:tcPr>
                  <w:tcW w:w="1039" w:type="pct"/>
                  <w:tcBorders>
                    <w:tl2br w:val="nil"/>
                    <w:tr2bl w:val="nil"/>
                  </w:tcBorders>
                  <w:vAlign w:val="center"/>
                </w:tcPr>
                <w:p w14:paraId="29A5D236">
                  <w:pPr>
                    <w:jc w:val="center"/>
                    <w:rPr>
                      <w:rFonts w:hint="default"/>
                      <w:color w:val="auto"/>
                      <w:lang w:val="en-US" w:eastAsia="zh-CN"/>
                    </w:rPr>
                  </w:pPr>
                  <w:r>
                    <w:rPr>
                      <w:rFonts w:hint="eastAsia"/>
                      <w:color w:val="auto"/>
                      <w:lang w:val="en-US" w:eastAsia="zh-CN"/>
                    </w:rPr>
                    <w:t>二甲苯</w:t>
                  </w:r>
                </w:p>
              </w:tc>
              <w:tc>
                <w:tcPr>
                  <w:tcW w:w="807" w:type="pct"/>
                  <w:tcBorders>
                    <w:tl2br w:val="nil"/>
                    <w:tr2bl w:val="nil"/>
                  </w:tcBorders>
                  <w:vAlign w:val="center"/>
                </w:tcPr>
                <w:p w14:paraId="4F5D8855">
                  <w:pPr>
                    <w:jc w:val="center"/>
                    <w:rPr>
                      <w:rFonts w:hint="default"/>
                      <w:color w:val="auto"/>
                      <w:lang w:val="en-US" w:eastAsia="zh-CN"/>
                    </w:rPr>
                  </w:pPr>
                  <w:r>
                    <w:rPr>
                      <w:rFonts w:hint="eastAsia"/>
                      <w:color w:val="auto"/>
                      <w:lang w:val="en-US" w:eastAsia="zh-CN"/>
                    </w:rPr>
                    <w:t>10</w:t>
                  </w:r>
                </w:p>
              </w:tc>
              <w:tc>
                <w:tcPr>
                  <w:tcW w:w="824" w:type="pct"/>
                  <w:tcBorders>
                    <w:tl2br w:val="nil"/>
                    <w:tr2bl w:val="nil"/>
                  </w:tcBorders>
                  <w:vAlign w:val="center"/>
                </w:tcPr>
                <w:p w14:paraId="59015399">
                  <w:pPr>
                    <w:jc w:val="center"/>
                    <w:rPr>
                      <w:rFonts w:hint="default"/>
                      <w:color w:val="auto"/>
                      <w:lang w:val="en-US" w:eastAsia="zh-CN"/>
                    </w:rPr>
                  </w:pPr>
                  <w:r>
                    <w:rPr>
                      <w:rFonts w:hint="eastAsia"/>
                      <w:color w:val="auto"/>
                      <w:lang w:val="en-US" w:eastAsia="zh-CN"/>
                    </w:rPr>
                    <w:t>0.72</w:t>
                  </w:r>
                </w:p>
              </w:tc>
              <w:tc>
                <w:tcPr>
                  <w:tcW w:w="705" w:type="pct"/>
                  <w:vMerge w:val="continue"/>
                  <w:tcBorders>
                    <w:tl2br w:val="nil"/>
                    <w:tr2bl w:val="nil"/>
                  </w:tcBorders>
                  <w:vAlign w:val="center"/>
                </w:tcPr>
                <w:p w14:paraId="2FE324B0">
                  <w:pPr>
                    <w:jc w:val="center"/>
                    <w:rPr>
                      <w:rFonts w:hint="eastAsia"/>
                      <w:color w:val="auto"/>
                    </w:rPr>
                  </w:pPr>
                </w:p>
              </w:tc>
              <w:tc>
                <w:tcPr>
                  <w:tcW w:w="1622" w:type="pct"/>
                  <w:vMerge w:val="restart"/>
                  <w:tcBorders>
                    <w:tl2br w:val="nil"/>
                    <w:tr2bl w:val="nil"/>
                  </w:tcBorders>
                  <w:vAlign w:val="center"/>
                </w:tcPr>
                <w:p w14:paraId="01182245">
                  <w:pPr>
                    <w:jc w:val="center"/>
                    <w:rPr>
                      <w:rFonts w:hint="eastAsia"/>
                      <w:color w:val="auto"/>
                      <w:kern w:val="0"/>
                      <w:sz w:val="21"/>
                    </w:rPr>
                  </w:pPr>
                  <w:r>
                    <w:rPr>
                      <w:rFonts w:hint="eastAsia"/>
                      <w:color w:val="auto"/>
                      <w:kern w:val="0"/>
                      <w:sz w:val="21"/>
                    </w:rPr>
                    <w:t>《大气污染物综合排放标准》（DB32/4041-2021）表1</w:t>
                  </w:r>
                </w:p>
              </w:tc>
            </w:tr>
            <w:tr w14:paraId="595A90F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28" w:type="dxa"/>
                  <w:bottom w:w="0" w:type="dxa"/>
                  <w:right w:w="28" w:type="dxa"/>
                </w:tblCellMar>
              </w:tblPrEx>
              <w:trPr>
                <w:cantSplit/>
                <w:trHeight w:val="23" w:hRule="atLeast"/>
                <w:jc w:val="center"/>
              </w:trPr>
              <w:tc>
                <w:tcPr>
                  <w:tcW w:w="1039" w:type="pct"/>
                  <w:tcBorders>
                    <w:tl2br w:val="nil"/>
                    <w:tr2bl w:val="nil"/>
                  </w:tcBorders>
                  <w:vAlign w:val="center"/>
                </w:tcPr>
                <w:p w14:paraId="5BF548CD">
                  <w:pPr>
                    <w:jc w:val="center"/>
                    <w:rPr>
                      <w:rFonts w:hint="default"/>
                      <w:color w:val="auto"/>
                      <w:lang w:val="en-US" w:eastAsia="zh-CN"/>
                    </w:rPr>
                  </w:pPr>
                  <w:r>
                    <w:rPr>
                      <w:rFonts w:hint="eastAsia"/>
                      <w:color w:val="auto"/>
                      <w:lang w:val="en-US" w:eastAsia="zh-CN"/>
                    </w:rPr>
                    <w:t>颗粒物</w:t>
                  </w:r>
                </w:p>
              </w:tc>
              <w:tc>
                <w:tcPr>
                  <w:tcW w:w="807" w:type="pct"/>
                  <w:tcBorders>
                    <w:tl2br w:val="nil"/>
                    <w:tr2bl w:val="nil"/>
                  </w:tcBorders>
                  <w:vAlign w:val="center"/>
                </w:tcPr>
                <w:p w14:paraId="2DFB1735">
                  <w:pPr>
                    <w:jc w:val="center"/>
                    <w:rPr>
                      <w:rFonts w:hint="default"/>
                      <w:color w:val="auto"/>
                      <w:lang w:val="en-US" w:eastAsia="zh-CN"/>
                    </w:rPr>
                  </w:pPr>
                  <w:r>
                    <w:rPr>
                      <w:rFonts w:hint="eastAsia"/>
                      <w:color w:val="auto"/>
                      <w:lang w:val="en-US" w:eastAsia="zh-CN"/>
                    </w:rPr>
                    <w:t>20</w:t>
                  </w:r>
                </w:p>
              </w:tc>
              <w:tc>
                <w:tcPr>
                  <w:tcW w:w="824" w:type="pct"/>
                  <w:tcBorders>
                    <w:tl2br w:val="nil"/>
                    <w:tr2bl w:val="nil"/>
                  </w:tcBorders>
                  <w:vAlign w:val="center"/>
                </w:tcPr>
                <w:p w14:paraId="57B237AF">
                  <w:pPr>
                    <w:jc w:val="center"/>
                    <w:rPr>
                      <w:rFonts w:hint="default"/>
                      <w:color w:val="auto"/>
                      <w:lang w:val="en-US" w:eastAsia="zh-CN"/>
                    </w:rPr>
                  </w:pPr>
                  <w:r>
                    <w:rPr>
                      <w:rFonts w:hint="eastAsia"/>
                      <w:color w:val="auto"/>
                      <w:lang w:val="en-US" w:eastAsia="zh-CN"/>
                    </w:rPr>
                    <w:t>1</w:t>
                  </w:r>
                </w:p>
              </w:tc>
              <w:tc>
                <w:tcPr>
                  <w:tcW w:w="705" w:type="pct"/>
                  <w:tcBorders>
                    <w:tl2br w:val="nil"/>
                    <w:tr2bl w:val="nil"/>
                  </w:tcBorders>
                  <w:vAlign w:val="center"/>
                </w:tcPr>
                <w:p w14:paraId="5B17FEA0">
                  <w:pPr>
                    <w:jc w:val="center"/>
                    <w:rPr>
                      <w:rFonts w:hint="default" w:eastAsia="宋体"/>
                      <w:color w:val="auto"/>
                      <w:lang w:val="en-US" w:eastAsia="zh-CN"/>
                    </w:rPr>
                  </w:pPr>
                  <w:r>
                    <w:rPr>
                      <w:rFonts w:hint="eastAsia"/>
                      <w:color w:val="auto"/>
                      <w:lang w:val="en-US" w:eastAsia="zh-CN"/>
                    </w:rPr>
                    <w:t>DA001排放口</w:t>
                  </w:r>
                </w:p>
              </w:tc>
              <w:tc>
                <w:tcPr>
                  <w:tcW w:w="1622" w:type="pct"/>
                  <w:vMerge w:val="continue"/>
                  <w:tcBorders>
                    <w:tl2br w:val="nil"/>
                    <w:tr2bl w:val="nil"/>
                  </w:tcBorders>
                  <w:vAlign w:val="center"/>
                </w:tcPr>
                <w:p w14:paraId="4A4FFA3C">
                  <w:pPr>
                    <w:jc w:val="center"/>
                    <w:rPr>
                      <w:rFonts w:hint="eastAsia"/>
                      <w:color w:val="auto"/>
                      <w:kern w:val="0"/>
                      <w:sz w:val="21"/>
                    </w:rPr>
                  </w:pPr>
                </w:p>
              </w:tc>
            </w:tr>
          </w:tbl>
          <w:p w14:paraId="2EAB0E18">
            <w:pPr>
              <w:adjustRightInd w:val="0"/>
              <w:snapToGrid w:val="0"/>
              <w:jc w:val="center"/>
              <w:rPr>
                <w:color w:val="auto"/>
              </w:rPr>
            </w:pPr>
            <w:r>
              <w:rPr>
                <w:b/>
                <w:color w:val="auto"/>
              </w:rPr>
              <w:t>表3</w:t>
            </w:r>
            <w:r>
              <w:rPr>
                <w:rFonts w:hint="eastAsia"/>
                <w:b/>
                <w:color w:val="auto"/>
              </w:rPr>
              <w:t>-6</w:t>
            </w:r>
            <w:r>
              <w:rPr>
                <w:b/>
                <w:color w:val="auto"/>
              </w:rPr>
              <w:t xml:space="preserve">   </w:t>
            </w:r>
            <w:r>
              <w:rPr>
                <w:rFonts w:hint="eastAsia"/>
                <w:b/>
                <w:color w:val="auto"/>
              </w:rPr>
              <w:t>无组织废气排放限值</w:t>
            </w:r>
          </w:p>
          <w:tbl>
            <w:tblPr>
              <w:tblStyle w:val="59"/>
              <w:tblW w:w="4998"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28" w:type="dxa"/>
                <w:bottom w:w="0" w:type="dxa"/>
                <w:right w:w="28" w:type="dxa"/>
              </w:tblCellMar>
            </w:tblPr>
            <w:tblGrid>
              <w:gridCol w:w="1305"/>
              <w:gridCol w:w="2220"/>
              <w:gridCol w:w="1141"/>
              <w:gridCol w:w="4060"/>
            </w:tblGrid>
            <w:tr w14:paraId="5218BF0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PrEx>
              <w:trPr>
                <w:cantSplit/>
                <w:jc w:val="center"/>
              </w:trPr>
              <w:tc>
                <w:tcPr>
                  <w:tcW w:w="747" w:type="pct"/>
                  <w:vMerge w:val="restart"/>
                  <w:tcBorders>
                    <w:tl2br w:val="nil"/>
                    <w:tr2bl w:val="nil"/>
                  </w:tcBorders>
                  <w:vAlign w:val="center"/>
                </w:tcPr>
                <w:p w14:paraId="0885413A">
                  <w:pPr>
                    <w:adjustRightInd w:val="0"/>
                    <w:snapToGrid w:val="0"/>
                    <w:jc w:val="center"/>
                    <w:rPr>
                      <w:b/>
                      <w:bCs/>
                      <w:color w:val="auto"/>
                    </w:rPr>
                  </w:pPr>
                  <w:r>
                    <w:rPr>
                      <w:b/>
                      <w:bCs/>
                      <w:color w:val="auto"/>
                    </w:rPr>
                    <w:t>污染物名称</w:t>
                  </w:r>
                </w:p>
              </w:tc>
              <w:tc>
                <w:tcPr>
                  <w:tcW w:w="1925" w:type="pct"/>
                  <w:gridSpan w:val="2"/>
                  <w:tcBorders>
                    <w:tl2br w:val="nil"/>
                    <w:tr2bl w:val="nil"/>
                  </w:tcBorders>
                  <w:vAlign w:val="center"/>
                </w:tcPr>
                <w:p w14:paraId="1F0A582B">
                  <w:pPr>
                    <w:adjustRightInd w:val="0"/>
                    <w:snapToGrid w:val="0"/>
                    <w:jc w:val="center"/>
                    <w:rPr>
                      <w:b/>
                      <w:bCs/>
                      <w:color w:val="auto"/>
                    </w:rPr>
                  </w:pPr>
                  <w:r>
                    <w:rPr>
                      <w:b/>
                      <w:bCs/>
                      <w:color w:val="auto"/>
                    </w:rPr>
                    <w:t>无组织排放监控浓度值</w:t>
                  </w:r>
                </w:p>
              </w:tc>
              <w:tc>
                <w:tcPr>
                  <w:tcW w:w="2326" w:type="pct"/>
                  <w:vMerge w:val="restart"/>
                  <w:tcBorders>
                    <w:tl2br w:val="nil"/>
                    <w:tr2bl w:val="nil"/>
                  </w:tcBorders>
                  <w:vAlign w:val="center"/>
                </w:tcPr>
                <w:p w14:paraId="222C5C95">
                  <w:pPr>
                    <w:adjustRightInd w:val="0"/>
                    <w:snapToGrid w:val="0"/>
                    <w:jc w:val="center"/>
                    <w:rPr>
                      <w:b/>
                      <w:bCs/>
                      <w:color w:val="auto"/>
                    </w:rPr>
                  </w:pPr>
                  <w:r>
                    <w:rPr>
                      <w:b/>
                      <w:bCs/>
                      <w:color w:val="auto"/>
                    </w:rPr>
                    <w:t>标准来源</w:t>
                  </w:r>
                </w:p>
              </w:tc>
            </w:tr>
            <w:tr w14:paraId="3A4F457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28" w:type="dxa"/>
                  <w:bottom w:w="0" w:type="dxa"/>
                  <w:right w:w="28" w:type="dxa"/>
                </w:tblCellMar>
              </w:tblPrEx>
              <w:trPr>
                <w:cantSplit/>
                <w:jc w:val="center"/>
              </w:trPr>
              <w:tc>
                <w:tcPr>
                  <w:tcW w:w="747" w:type="pct"/>
                  <w:vMerge w:val="continue"/>
                  <w:tcBorders>
                    <w:tl2br w:val="nil"/>
                    <w:tr2bl w:val="nil"/>
                  </w:tcBorders>
                  <w:vAlign w:val="center"/>
                </w:tcPr>
                <w:p w14:paraId="54B3773F">
                  <w:pPr>
                    <w:adjustRightInd w:val="0"/>
                    <w:snapToGrid w:val="0"/>
                    <w:jc w:val="center"/>
                    <w:rPr>
                      <w:b/>
                      <w:bCs/>
                      <w:color w:val="auto"/>
                    </w:rPr>
                  </w:pPr>
                </w:p>
              </w:tc>
              <w:tc>
                <w:tcPr>
                  <w:tcW w:w="1272" w:type="pct"/>
                  <w:tcBorders>
                    <w:tl2br w:val="nil"/>
                    <w:tr2bl w:val="nil"/>
                  </w:tcBorders>
                  <w:vAlign w:val="center"/>
                </w:tcPr>
                <w:p w14:paraId="2D360BC6">
                  <w:pPr>
                    <w:adjustRightInd w:val="0"/>
                    <w:snapToGrid w:val="0"/>
                    <w:jc w:val="center"/>
                    <w:rPr>
                      <w:b/>
                      <w:bCs/>
                      <w:color w:val="auto"/>
                    </w:rPr>
                  </w:pPr>
                  <w:r>
                    <w:rPr>
                      <w:b/>
                      <w:bCs/>
                      <w:color w:val="auto"/>
                    </w:rPr>
                    <w:t>监控点浓度（mg/m</w:t>
                  </w:r>
                  <w:r>
                    <w:rPr>
                      <w:b/>
                      <w:bCs/>
                      <w:color w:val="auto"/>
                      <w:vertAlign w:val="superscript"/>
                    </w:rPr>
                    <w:t>3</w:t>
                  </w:r>
                  <w:r>
                    <w:rPr>
                      <w:b/>
                      <w:bCs/>
                      <w:color w:val="auto"/>
                    </w:rPr>
                    <w:t>）</w:t>
                  </w:r>
                </w:p>
              </w:tc>
              <w:tc>
                <w:tcPr>
                  <w:tcW w:w="653" w:type="pct"/>
                  <w:tcBorders>
                    <w:tl2br w:val="nil"/>
                    <w:tr2bl w:val="nil"/>
                  </w:tcBorders>
                  <w:vAlign w:val="center"/>
                </w:tcPr>
                <w:p w14:paraId="0563DB3D">
                  <w:pPr>
                    <w:adjustRightInd w:val="0"/>
                    <w:snapToGrid w:val="0"/>
                    <w:jc w:val="center"/>
                    <w:rPr>
                      <w:b/>
                      <w:bCs/>
                      <w:color w:val="auto"/>
                    </w:rPr>
                  </w:pPr>
                  <w:r>
                    <w:rPr>
                      <w:rFonts w:hint="eastAsia"/>
                      <w:b/>
                      <w:bCs/>
                      <w:color w:val="auto"/>
                    </w:rPr>
                    <w:t>监控点</w:t>
                  </w:r>
                </w:p>
              </w:tc>
              <w:tc>
                <w:tcPr>
                  <w:tcW w:w="2326" w:type="pct"/>
                  <w:vMerge w:val="continue"/>
                  <w:tcBorders>
                    <w:tl2br w:val="nil"/>
                    <w:tr2bl w:val="nil"/>
                  </w:tcBorders>
                  <w:vAlign w:val="center"/>
                </w:tcPr>
                <w:p w14:paraId="21B80D4B">
                  <w:pPr>
                    <w:adjustRightInd w:val="0"/>
                    <w:snapToGrid w:val="0"/>
                    <w:jc w:val="center"/>
                    <w:rPr>
                      <w:color w:val="auto"/>
                    </w:rPr>
                  </w:pPr>
                </w:p>
              </w:tc>
            </w:tr>
            <w:tr w14:paraId="245D07D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28" w:type="dxa"/>
                  <w:bottom w:w="0" w:type="dxa"/>
                  <w:right w:w="28" w:type="dxa"/>
                </w:tblCellMar>
              </w:tblPrEx>
              <w:trPr>
                <w:cantSplit/>
                <w:jc w:val="center"/>
              </w:trPr>
              <w:tc>
                <w:tcPr>
                  <w:tcW w:w="747" w:type="pct"/>
                  <w:tcBorders>
                    <w:tl2br w:val="nil"/>
                    <w:tr2bl w:val="nil"/>
                  </w:tcBorders>
                  <w:vAlign w:val="center"/>
                </w:tcPr>
                <w:p w14:paraId="23794C69">
                  <w:pPr>
                    <w:adjustRightInd w:val="0"/>
                    <w:snapToGrid w:val="0"/>
                    <w:jc w:val="center"/>
                    <w:rPr>
                      <w:color w:val="auto"/>
                    </w:rPr>
                  </w:pPr>
                  <w:r>
                    <w:rPr>
                      <w:rFonts w:hint="eastAsia"/>
                      <w:color w:val="auto"/>
                    </w:rPr>
                    <w:t>颗粒物</w:t>
                  </w:r>
                </w:p>
              </w:tc>
              <w:tc>
                <w:tcPr>
                  <w:tcW w:w="1272" w:type="pct"/>
                  <w:tcBorders>
                    <w:tl2br w:val="nil"/>
                    <w:tr2bl w:val="nil"/>
                  </w:tcBorders>
                  <w:vAlign w:val="center"/>
                </w:tcPr>
                <w:p w14:paraId="510DE380">
                  <w:pPr>
                    <w:adjustRightInd w:val="0"/>
                    <w:snapToGrid w:val="0"/>
                    <w:jc w:val="center"/>
                    <w:rPr>
                      <w:rFonts w:hint="default" w:eastAsia="宋体"/>
                      <w:color w:val="auto"/>
                      <w:lang w:val="en-US" w:eastAsia="zh-CN"/>
                    </w:rPr>
                  </w:pPr>
                  <w:r>
                    <w:rPr>
                      <w:rFonts w:hint="eastAsia"/>
                      <w:color w:val="auto"/>
                      <w:lang w:val="en-US" w:eastAsia="zh-CN"/>
                    </w:rPr>
                    <w:t>0.5</w:t>
                  </w:r>
                </w:p>
              </w:tc>
              <w:tc>
                <w:tcPr>
                  <w:tcW w:w="653" w:type="pct"/>
                  <w:vMerge w:val="restart"/>
                  <w:tcBorders>
                    <w:tl2br w:val="nil"/>
                    <w:tr2bl w:val="nil"/>
                  </w:tcBorders>
                  <w:vAlign w:val="center"/>
                </w:tcPr>
                <w:p w14:paraId="368D94ED">
                  <w:pPr>
                    <w:adjustRightInd w:val="0"/>
                    <w:snapToGrid w:val="0"/>
                    <w:jc w:val="center"/>
                    <w:rPr>
                      <w:color w:val="auto"/>
                    </w:rPr>
                  </w:pPr>
                  <w:r>
                    <w:rPr>
                      <w:rFonts w:hint="eastAsia"/>
                      <w:color w:val="auto"/>
                    </w:rPr>
                    <w:t>边界外浓度最高点</w:t>
                  </w:r>
                </w:p>
              </w:tc>
              <w:tc>
                <w:tcPr>
                  <w:tcW w:w="2326" w:type="pct"/>
                  <w:vMerge w:val="restart"/>
                  <w:tcBorders>
                    <w:tl2br w:val="nil"/>
                    <w:tr2bl w:val="nil"/>
                  </w:tcBorders>
                  <w:vAlign w:val="center"/>
                </w:tcPr>
                <w:p w14:paraId="4BD3A231">
                  <w:pPr>
                    <w:adjustRightInd w:val="0"/>
                    <w:snapToGrid w:val="0"/>
                    <w:jc w:val="center"/>
                    <w:rPr>
                      <w:rFonts w:hint="eastAsia" w:eastAsia="宋体"/>
                      <w:color w:val="auto"/>
                      <w:lang w:val="en-US" w:eastAsia="zh-CN"/>
                    </w:rPr>
                  </w:pPr>
                  <w:r>
                    <w:rPr>
                      <w:rFonts w:hint="eastAsia"/>
                      <w:color w:val="auto"/>
                      <w:lang w:val="en-US" w:eastAsia="zh-CN"/>
                    </w:rPr>
                    <w:t>《大气污染物综合排放标准》（DB32 4041-2021）表3</w:t>
                  </w:r>
                </w:p>
              </w:tc>
            </w:tr>
            <w:tr w14:paraId="4FBC56B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28" w:type="dxa"/>
                  <w:bottom w:w="0" w:type="dxa"/>
                  <w:right w:w="28" w:type="dxa"/>
                </w:tblCellMar>
              </w:tblPrEx>
              <w:trPr>
                <w:cantSplit/>
                <w:trHeight w:val="90" w:hRule="atLeast"/>
                <w:jc w:val="center"/>
              </w:trPr>
              <w:tc>
                <w:tcPr>
                  <w:tcW w:w="747" w:type="pct"/>
                  <w:tcBorders>
                    <w:tl2br w:val="nil"/>
                    <w:tr2bl w:val="nil"/>
                  </w:tcBorders>
                  <w:vAlign w:val="center"/>
                </w:tcPr>
                <w:p w14:paraId="761639C4">
                  <w:pPr>
                    <w:adjustRightInd w:val="0"/>
                    <w:snapToGrid w:val="0"/>
                    <w:jc w:val="center"/>
                    <w:rPr>
                      <w:color w:val="auto"/>
                    </w:rPr>
                  </w:pPr>
                  <w:r>
                    <w:rPr>
                      <w:rFonts w:hint="eastAsia"/>
                      <w:color w:val="auto"/>
                    </w:rPr>
                    <w:t>非甲烷总烃</w:t>
                  </w:r>
                </w:p>
              </w:tc>
              <w:tc>
                <w:tcPr>
                  <w:tcW w:w="1272" w:type="pct"/>
                  <w:tcBorders>
                    <w:tl2br w:val="nil"/>
                    <w:tr2bl w:val="nil"/>
                  </w:tcBorders>
                  <w:vAlign w:val="center"/>
                </w:tcPr>
                <w:p w14:paraId="1E97E25E">
                  <w:pPr>
                    <w:adjustRightInd w:val="0"/>
                    <w:snapToGrid w:val="0"/>
                    <w:jc w:val="center"/>
                    <w:rPr>
                      <w:color w:val="auto"/>
                    </w:rPr>
                  </w:pPr>
                  <w:r>
                    <w:rPr>
                      <w:rFonts w:hint="eastAsia"/>
                      <w:color w:val="auto"/>
                    </w:rPr>
                    <w:t>4</w:t>
                  </w:r>
                  <w:r>
                    <w:rPr>
                      <w:color w:val="auto"/>
                    </w:rPr>
                    <w:t>.0</w:t>
                  </w:r>
                </w:p>
              </w:tc>
              <w:tc>
                <w:tcPr>
                  <w:tcW w:w="653" w:type="pct"/>
                  <w:vMerge w:val="continue"/>
                  <w:tcBorders>
                    <w:tl2br w:val="nil"/>
                    <w:tr2bl w:val="nil"/>
                  </w:tcBorders>
                  <w:vAlign w:val="center"/>
                </w:tcPr>
                <w:p w14:paraId="09B0FA86">
                  <w:pPr>
                    <w:adjustRightInd w:val="0"/>
                    <w:snapToGrid w:val="0"/>
                    <w:jc w:val="center"/>
                    <w:rPr>
                      <w:color w:val="auto"/>
                    </w:rPr>
                  </w:pPr>
                </w:p>
              </w:tc>
              <w:tc>
                <w:tcPr>
                  <w:tcW w:w="2326" w:type="pct"/>
                  <w:vMerge w:val="continue"/>
                  <w:tcBorders>
                    <w:tl2br w:val="nil"/>
                    <w:tr2bl w:val="nil"/>
                  </w:tcBorders>
                  <w:vAlign w:val="center"/>
                </w:tcPr>
                <w:p w14:paraId="5E743B83">
                  <w:pPr>
                    <w:adjustRightInd w:val="0"/>
                    <w:snapToGrid w:val="0"/>
                    <w:jc w:val="center"/>
                    <w:rPr>
                      <w:color w:val="auto"/>
                    </w:rPr>
                  </w:pPr>
                </w:p>
              </w:tc>
            </w:tr>
            <w:tr w14:paraId="571EBD3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28" w:type="dxa"/>
                  <w:bottom w:w="0" w:type="dxa"/>
                  <w:right w:w="28" w:type="dxa"/>
                </w:tblCellMar>
              </w:tblPrEx>
              <w:trPr>
                <w:cantSplit/>
                <w:trHeight w:val="90" w:hRule="atLeast"/>
                <w:jc w:val="center"/>
              </w:trPr>
              <w:tc>
                <w:tcPr>
                  <w:tcW w:w="747" w:type="pct"/>
                  <w:tcBorders>
                    <w:tl2br w:val="nil"/>
                    <w:tr2bl w:val="nil"/>
                  </w:tcBorders>
                  <w:vAlign w:val="center"/>
                </w:tcPr>
                <w:p w14:paraId="4A852F6F">
                  <w:pPr>
                    <w:adjustRightInd w:val="0"/>
                    <w:snapToGrid w:val="0"/>
                    <w:jc w:val="center"/>
                    <w:rPr>
                      <w:rFonts w:hint="eastAsia" w:eastAsia="宋体"/>
                      <w:color w:val="auto"/>
                      <w:lang w:val="en-US" w:eastAsia="zh-CN"/>
                    </w:rPr>
                  </w:pPr>
                  <w:r>
                    <w:rPr>
                      <w:rFonts w:hint="eastAsia"/>
                      <w:color w:val="auto"/>
                      <w:lang w:val="en-US" w:eastAsia="zh-CN"/>
                    </w:rPr>
                    <w:t>二甲苯</w:t>
                  </w:r>
                </w:p>
              </w:tc>
              <w:tc>
                <w:tcPr>
                  <w:tcW w:w="1272" w:type="pct"/>
                  <w:tcBorders>
                    <w:tl2br w:val="nil"/>
                    <w:tr2bl w:val="nil"/>
                  </w:tcBorders>
                  <w:vAlign w:val="center"/>
                </w:tcPr>
                <w:p w14:paraId="38B34331">
                  <w:pPr>
                    <w:adjustRightInd w:val="0"/>
                    <w:snapToGrid w:val="0"/>
                    <w:jc w:val="center"/>
                    <w:rPr>
                      <w:rFonts w:hint="default" w:eastAsia="宋体"/>
                      <w:color w:val="auto"/>
                      <w:lang w:val="en-US" w:eastAsia="zh-CN"/>
                    </w:rPr>
                  </w:pPr>
                  <w:r>
                    <w:rPr>
                      <w:rFonts w:hint="eastAsia"/>
                      <w:color w:val="auto"/>
                      <w:lang w:val="en-US" w:eastAsia="zh-CN"/>
                    </w:rPr>
                    <w:t>0.2</w:t>
                  </w:r>
                </w:p>
              </w:tc>
              <w:tc>
                <w:tcPr>
                  <w:tcW w:w="653" w:type="pct"/>
                  <w:vMerge w:val="continue"/>
                  <w:tcBorders>
                    <w:tl2br w:val="nil"/>
                    <w:tr2bl w:val="nil"/>
                  </w:tcBorders>
                  <w:vAlign w:val="center"/>
                </w:tcPr>
                <w:p w14:paraId="7EE918DE">
                  <w:pPr>
                    <w:adjustRightInd w:val="0"/>
                    <w:snapToGrid w:val="0"/>
                    <w:jc w:val="center"/>
                    <w:rPr>
                      <w:color w:val="auto"/>
                    </w:rPr>
                  </w:pPr>
                </w:p>
              </w:tc>
              <w:tc>
                <w:tcPr>
                  <w:tcW w:w="2326" w:type="pct"/>
                  <w:vMerge w:val="continue"/>
                  <w:tcBorders>
                    <w:tl2br w:val="nil"/>
                    <w:tr2bl w:val="nil"/>
                  </w:tcBorders>
                  <w:vAlign w:val="center"/>
                </w:tcPr>
                <w:p w14:paraId="2886DEDF">
                  <w:pPr>
                    <w:adjustRightInd w:val="0"/>
                    <w:snapToGrid w:val="0"/>
                    <w:jc w:val="center"/>
                    <w:rPr>
                      <w:color w:val="auto"/>
                    </w:rPr>
                  </w:pPr>
                </w:p>
              </w:tc>
            </w:tr>
            <w:tr w14:paraId="18A0293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28" w:type="dxa"/>
                  <w:bottom w:w="0" w:type="dxa"/>
                  <w:right w:w="28" w:type="dxa"/>
                </w:tblCellMar>
              </w:tblPrEx>
              <w:trPr>
                <w:cantSplit/>
                <w:trHeight w:val="90" w:hRule="atLeast"/>
                <w:jc w:val="center"/>
              </w:trPr>
              <w:tc>
                <w:tcPr>
                  <w:tcW w:w="747" w:type="pct"/>
                  <w:tcBorders>
                    <w:tl2br w:val="nil"/>
                    <w:tr2bl w:val="nil"/>
                  </w:tcBorders>
                  <w:vAlign w:val="center"/>
                </w:tcPr>
                <w:p w14:paraId="451A9F4E">
                  <w:pPr>
                    <w:adjustRightInd w:val="0"/>
                    <w:snapToGrid w:val="0"/>
                    <w:jc w:val="center"/>
                    <w:rPr>
                      <w:rFonts w:hint="eastAsia" w:eastAsia="宋体"/>
                      <w:color w:val="auto"/>
                      <w:lang w:val="en-US" w:eastAsia="zh-CN"/>
                    </w:rPr>
                  </w:pPr>
                  <w:r>
                    <w:rPr>
                      <w:rFonts w:hint="eastAsia"/>
                      <w:color w:val="auto"/>
                      <w:lang w:val="en-US" w:eastAsia="zh-CN"/>
                    </w:rPr>
                    <w:t>苯系物</w:t>
                  </w:r>
                </w:p>
              </w:tc>
              <w:tc>
                <w:tcPr>
                  <w:tcW w:w="1272" w:type="pct"/>
                  <w:tcBorders>
                    <w:tl2br w:val="nil"/>
                    <w:tr2bl w:val="nil"/>
                  </w:tcBorders>
                  <w:vAlign w:val="center"/>
                </w:tcPr>
                <w:p w14:paraId="62942561">
                  <w:pPr>
                    <w:adjustRightInd w:val="0"/>
                    <w:snapToGrid w:val="0"/>
                    <w:jc w:val="center"/>
                    <w:rPr>
                      <w:rFonts w:hint="default" w:eastAsia="宋体"/>
                      <w:color w:val="auto"/>
                      <w:lang w:val="en-US" w:eastAsia="zh-CN"/>
                    </w:rPr>
                  </w:pPr>
                  <w:r>
                    <w:rPr>
                      <w:rFonts w:hint="eastAsia"/>
                      <w:color w:val="auto"/>
                      <w:lang w:val="en-US" w:eastAsia="zh-CN"/>
                    </w:rPr>
                    <w:t>0.4</w:t>
                  </w:r>
                </w:p>
              </w:tc>
              <w:tc>
                <w:tcPr>
                  <w:tcW w:w="653" w:type="pct"/>
                  <w:vMerge w:val="continue"/>
                  <w:tcBorders>
                    <w:tl2br w:val="nil"/>
                    <w:tr2bl w:val="nil"/>
                  </w:tcBorders>
                  <w:vAlign w:val="center"/>
                </w:tcPr>
                <w:p w14:paraId="2C0FAEDE">
                  <w:pPr>
                    <w:adjustRightInd w:val="0"/>
                    <w:snapToGrid w:val="0"/>
                    <w:jc w:val="center"/>
                    <w:rPr>
                      <w:color w:val="auto"/>
                    </w:rPr>
                  </w:pPr>
                </w:p>
              </w:tc>
              <w:tc>
                <w:tcPr>
                  <w:tcW w:w="2326" w:type="pct"/>
                  <w:vMerge w:val="continue"/>
                  <w:tcBorders>
                    <w:tl2br w:val="nil"/>
                    <w:tr2bl w:val="nil"/>
                  </w:tcBorders>
                  <w:vAlign w:val="center"/>
                </w:tcPr>
                <w:p w14:paraId="3F1E9DB5">
                  <w:pPr>
                    <w:adjustRightInd w:val="0"/>
                    <w:snapToGrid w:val="0"/>
                    <w:jc w:val="center"/>
                    <w:rPr>
                      <w:color w:val="auto"/>
                    </w:rPr>
                  </w:pPr>
                </w:p>
              </w:tc>
            </w:tr>
          </w:tbl>
          <w:p w14:paraId="7FD52013">
            <w:pPr>
              <w:adjustRightInd w:val="0"/>
              <w:snapToGrid w:val="0"/>
              <w:jc w:val="center"/>
              <w:rPr>
                <w:b/>
                <w:color w:val="auto"/>
              </w:rPr>
            </w:pPr>
            <w:r>
              <w:rPr>
                <w:b/>
                <w:color w:val="auto"/>
              </w:rPr>
              <w:t>表3-</w:t>
            </w:r>
            <w:r>
              <w:rPr>
                <w:rFonts w:hint="eastAsia"/>
                <w:b/>
                <w:color w:val="auto"/>
              </w:rPr>
              <w:t>7</w:t>
            </w:r>
            <w:r>
              <w:rPr>
                <w:b/>
                <w:color w:val="auto"/>
              </w:rPr>
              <w:t xml:space="preserve">   </w:t>
            </w:r>
            <w:r>
              <w:rPr>
                <w:rFonts w:hint="eastAsia"/>
                <w:b/>
                <w:color w:val="auto"/>
              </w:rPr>
              <w:t>厂区内VOCs</w:t>
            </w:r>
            <w:r>
              <w:rPr>
                <w:b/>
                <w:color w:val="auto"/>
              </w:rPr>
              <w:t>无组织排放限值</w:t>
            </w:r>
          </w:p>
          <w:tbl>
            <w:tblPr>
              <w:tblStyle w:val="59"/>
              <w:tblW w:w="4998"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1363"/>
              <w:gridCol w:w="1545"/>
              <w:gridCol w:w="2909"/>
              <w:gridCol w:w="2909"/>
            </w:tblGrid>
            <w:tr w14:paraId="2D6FC3D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780" w:type="pct"/>
                  <w:tcBorders>
                    <w:tl2br w:val="nil"/>
                    <w:tr2bl w:val="nil"/>
                  </w:tcBorders>
                  <w:vAlign w:val="center"/>
                </w:tcPr>
                <w:p w14:paraId="0074DE45">
                  <w:pPr>
                    <w:pStyle w:val="704"/>
                    <w:rPr>
                      <w:b/>
                      <w:color w:val="auto"/>
                      <w:szCs w:val="21"/>
                    </w:rPr>
                  </w:pPr>
                  <w:r>
                    <w:rPr>
                      <w:rFonts w:hint="eastAsia"/>
                      <w:b/>
                      <w:color w:val="auto"/>
                      <w:szCs w:val="21"/>
                      <w:lang w:val="en-US" w:eastAsia="zh-CN"/>
                    </w:rPr>
                    <w:t>污染物</w:t>
                  </w:r>
                  <w:r>
                    <w:rPr>
                      <w:b/>
                      <w:color w:val="auto"/>
                      <w:szCs w:val="21"/>
                    </w:rPr>
                    <w:t>项目</w:t>
                  </w:r>
                </w:p>
              </w:tc>
              <w:tc>
                <w:tcPr>
                  <w:tcW w:w="885" w:type="pct"/>
                  <w:tcBorders>
                    <w:tl2br w:val="nil"/>
                    <w:tr2bl w:val="nil"/>
                  </w:tcBorders>
                  <w:vAlign w:val="center"/>
                </w:tcPr>
                <w:p w14:paraId="60823685">
                  <w:pPr>
                    <w:pStyle w:val="704"/>
                    <w:rPr>
                      <w:b/>
                      <w:color w:val="auto"/>
                      <w:szCs w:val="21"/>
                    </w:rPr>
                  </w:pPr>
                  <w:r>
                    <w:rPr>
                      <w:rFonts w:hint="eastAsia"/>
                      <w:b/>
                      <w:color w:val="auto"/>
                      <w:szCs w:val="21"/>
                      <w:lang w:val="en-US" w:eastAsia="zh-CN"/>
                    </w:rPr>
                    <w:t>监控点</w:t>
                  </w:r>
                  <w:r>
                    <w:rPr>
                      <w:b/>
                      <w:color w:val="auto"/>
                      <w:szCs w:val="21"/>
                    </w:rPr>
                    <w:t>限值</w:t>
                  </w:r>
                  <w:r>
                    <w:rPr>
                      <w:b/>
                      <w:bCs/>
                      <w:color w:val="auto"/>
                      <w:szCs w:val="21"/>
                    </w:rPr>
                    <w:t>mg/m</w:t>
                  </w:r>
                  <w:r>
                    <w:rPr>
                      <w:b/>
                      <w:bCs/>
                      <w:color w:val="auto"/>
                      <w:szCs w:val="21"/>
                      <w:vertAlign w:val="superscript"/>
                    </w:rPr>
                    <w:t>3</w:t>
                  </w:r>
                </w:p>
              </w:tc>
              <w:tc>
                <w:tcPr>
                  <w:tcW w:w="1666" w:type="pct"/>
                  <w:tcBorders>
                    <w:tl2br w:val="nil"/>
                    <w:tr2bl w:val="nil"/>
                  </w:tcBorders>
                  <w:vAlign w:val="center"/>
                </w:tcPr>
                <w:p w14:paraId="47950366">
                  <w:pPr>
                    <w:pStyle w:val="704"/>
                    <w:rPr>
                      <w:b/>
                      <w:color w:val="auto"/>
                      <w:szCs w:val="21"/>
                    </w:rPr>
                  </w:pPr>
                  <w:r>
                    <w:rPr>
                      <w:b/>
                      <w:color w:val="auto"/>
                      <w:szCs w:val="21"/>
                    </w:rPr>
                    <w:t>限值含义</w:t>
                  </w:r>
                </w:p>
              </w:tc>
              <w:tc>
                <w:tcPr>
                  <w:tcW w:w="1666" w:type="pct"/>
                  <w:tcBorders>
                    <w:tl2br w:val="nil"/>
                    <w:tr2bl w:val="nil"/>
                  </w:tcBorders>
                  <w:vAlign w:val="center"/>
                </w:tcPr>
                <w:p w14:paraId="08EEABFE">
                  <w:pPr>
                    <w:pStyle w:val="704"/>
                    <w:rPr>
                      <w:b/>
                      <w:color w:val="auto"/>
                      <w:szCs w:val="21"/>
                    </w:rPr>
                  </w:pPr>
                  <w:r>
                    <w:rPr>
                      <w:b/>
                      <w:color w:val="auto"/>
                      <w:szCs w:val="21"/>
                    </w:rPr>
                    <w:t>无组织排放监控位置</w:t>
                  </w:r>
                </w:p>
              </w:tc>
            </w:tr>
            <w:tr w14:paraId="1331886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780" w:type="pct"/>
                  <w:vMerge w:val="restart"/>
                  <w:tcBorders>
                    <w:tl2br w:val="nil"/>
                    <w:tr2bl w:val="nil"/>
                  </w:tcBorders>
                  <w:vAlign w:val="center"/>
                </w:tcPr>
                <w:p w14:paraId="616E8A5D">
                  <w:pPr>
                    <w:pStyle w:val="704"/>
                    <w:rPr>
                      <w:rFonts w:hint="eastAsia" w:eastAsia="宋体"/>
                      <w:color w:val="auto"/>
                      <w:szCs w:val="21"/>
                      <w:lang w:eastAsia="zh-CN"/>
                    </w:rPr>
                  </w:pPr>
                  <w:r>
                    <w:rPr>
                      <w:rFonts w:hint="eastAsia"/>
                      <w:color w:val="auto"/>
                      <w:szCs w:val="21"/>
                      <w:lang w:val="en-US" w:eastAsia="zh-CN"/>
                    </w:rPr>
                    <w:t>非甲烷总烃</w:t>
                  </w:r>
                </w:p>
              </w:tc>
              <w:tc>
                <w:tcPr>
                  <w:tcW w:w="885" w:type="pct"/>
                  <w:tcBorders>
                    <w:tl2br w:val="nil"/>
                    <w:tr2bl w:val="nil"/>
                  </w:tcBorders>
                  <w:vAlign w:val="center"/>
                </w:tcPr>
                <w:p w14:paraId="0F20FC86">
                  <w:pPr>
                    <w:pStyle w:val="704"/>
                    <w:rPr>
                      <w:color w:val="auto"/>
                      <w:szCs w:val="21"/>
                    </w:rPr>
                  </w:pPr>
                  <w:r>
                    <w:rPr>
                      <w:color w:val="auto"/>
                      <w:szCs w:val="21"/>
                    </w:rPr>
                    <w:t>6</w:t>
                  </w:r>
                </w:p>
              </w:tc>
              <w:tc>
                <w:tcPr>
                  <w:tcW w:w="1666" w:type="pct"/>
                  <w:tcBorders>
                    <w:tl2br w:val="nil"/>
                    <w:tr2bl w:val="nil"/>
                  </w:tcBorders>
                  <w:vAlign w:val="center"/>
                </w:tcPr>
                <w:p w14:paraId="4B4C724E">
                  <w:pPr>
                    <w:pStyle w:val="704"/>
                    <w:rPr>
                      <w:color w:val="auto"/>
                      <w:szCs w:val="21"/>
                    </w:rPr>
                  </w:pPr>
                  <w:r>
                    <w:rPr>
                      <w:color w:val="auto"/>
                      <w:szCs w:val="21"/>
                    </w:rPr>
                    <w:t>监控点</w:t>
                  </w:r>
                  <w:r>
                    <w:rPr>
                      <w:rFonts w:hint="eastAsia"/>
                      <w:color w:val="auto"/>
                      <w:szCs w:val="21"/>
                      <w:lang w:val="en-US" w:eastAsia="zh-CN"/>
                    </w:rPr>
                    <w:t>处</w:t>
                  </w:r>
                  <w:r>
                    <w:rPr>
                      <w:color w:val="auto"/>
                      <w:szCs w:val="21"/>
                    </w:rPr>
                    <w:t>1h平均浓度值</w:t>
                  </w:r>
                </w:p>
              </w:tc>
              <w:tc>
                <w:tcPr>
                  <w:tcW w:w="1666" w:type="pct"/>
                  <w:vMerge w:val="restart"/>
                  <w:tcBorders>
                    <w:tl2br w:val="nil"/>
                    <w:tr2bl w:val="nil"/>
                  </w:tcBorders>
                  <w:vAlign w:val="center"/>
                </w:tcPr>
                <w:p w14:paraId="0955CCA2">
                  <w:pPr>
                    <w:pStyle w:val="704"/>
                    <w:rPr>
                      <w:color w:val="auto"/>
                      <w:szCs w:val="21"/>
                    </w:rPr>
                  </w:pPr>
                  <w:r>
                    <w:rPr>
                      <w:color w:val="auto"/>
                      <w:szCs w:val="21"/>
                    </w:rPr>
                    <w:t>在厂房外设置监控点</w:t>
                  </w:r>
                </w:p>
              </w:tc>
            </w:tr>
            <w:tr w14:paraId="6217939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780" w:type="pct"/>
                  <w:vMerge w:val="continue"/>
                  <w:tcBorders>
                    <w:tl2br w:val="nil"/>
                    <w:tr2bl w:val="nil"/>
                  </w:tcBorders>
                  <w:vAlign w:val="center"/>
                </w:tcPr>
                <w:p w14:paraId="263761D2">
                  <w:pPr>
                    <w:pStyle w:val="704"/>
                    <w:rPr>
                      <w:color w:val="auto"/>
                      <w:szCs w:val="21"/>
                    </w:rPr>
                  </w:pPr>
                </w:p>
              </w:tc>
              <w:tc>
                <w:tcPr>
                  <w:tcW w:w="885" w:type="pct"/>
                  <w:tcBorders>
                    <w:tl2br w:val="nil"/>
                    <w:tr2bl w:val="nil"/>
                  </w:tcBorders>
                  <w:vAlign w:val="center"/>
                </w:tcPr>
                <w:p w14:paraId="0F512ED7">
                  <w:pPr>
                    <w:pStyle w:val="704"/>
                    <w:rPr>
                      <w:color w:val="auto"/>
                      <w:szCs w:val="21"/>
                    </w:rPr>
                  </w:pPr>
                  <w:r>
                    <w:rPr>
                      <w:color w:val="auto"/>
                      <w:szCs w:val="21"/>
                    </w:rPr>
                    <w:t>20</w:t>
                  </w:r>
                </w:p>
              </w:tc>
              <w:tc>
                <w:tcPr>
                  <w:tcW w:w="1666" w:type="pct"/>
                  <w:tcBorders>
                    <w:tl2br w:val="nil"/>
                    <w:tr2bl w:val="nil"/>
                  </w:tcBorders>
                  <w:vAlign w:val="center"/>
                </w:tcPr>
                <w:p w14:paraId="76138439">
                  <w:pPr>
                    <w:pStyle w:val="704"/>
                    <w:rPr>
                      <w:color w:val="auto"/>
                      <w:szCs w:val="21"/>
                    </w:rPr>
                  </w:pPr>
                  <w:r>
                    <w:rPr>
                      <w:color w:val="auto"/>
                      <w:szCs w:val="21"/>
                    </w:rPr>
                    <w:t>监控点处任意一次浓度值</w:t>
                  </w:r>
                </w:p>
              </w:tc>
              <w:tc>
                <w:tcPr>
                  <w:tcW w:w="1666" w:type="pct"/>
                  <w:vMerge w:val="continue"/>
                  <w:tcBorders>
                    <w:tl2br w:val="nil"/>
                    <w:tr2bl w:val="nil"/>
                  </w:tcBorders>
                  <w:vAlign w:val="center"/>
                </w:tcPr>
                <w:p w14:paraId="72E5A1DD">
                  <w:pPr>
                    <w:pStyle w:val="704"/>
                    <w:rPr>
                      <w:color w:val="auto"/>
                      <w:szCs w:val="21"/>
                    </w:rPr>
                  </w:pPr>
                </w:p>
              </w:tc>
            </w:tr>
          </w:tbl>
          <w:p w14:paraId="7F1B5B17">
            <w:pPr>
              <w:adjustRightInd w:val="0"/>
              <w:snapToGrid w:val="0"/>
              <w:spacing w:line="360" w:lineRule="auto"/>
              <w:rPr>
                <w:b/>
                <w:bCs/>
                <w:color w:val="auto"/>
              </w:rPr>
            </w:pPr>
            <w:r>
              <w:rPr>
                <w:rFonts w:hint="eastAsia"/>
                <w:b/>
                <w:bCs/>
                <w:color w:val="auto"/>
              </w:rPr>
              <w:t>2、废水：</w:t>
            </w:r>
          </w:p>
          <w:p w14:paraId="2F219D01">
            <w:pPr>
              <w:adjustRightInd w:val="0"/>
              <w:snapToGrid w:val="0"/>
              <w:spacing w:line="360" w:lineRule="auto"/>
              <w:ind w:firstLine="420" w:firstLineChars="200"/>
              <w:rPr>
                <w:color w:val="auto"/>
              </w:rPr>
            </w:pPr>
            <w:r>
              <w:rPr>
                <w:rFonts w:hint="eastAsia"/>
                <w:color w:val="auto"/>
              </w:rPr>
              <w:t>本项目生活污水经厂区污水管网接入市政污水管网排入常州金坛区第二污水处理有限公司处理，达标尾水排入尧塘河，污水接管标准执行常州金坛区第二污水处理有限公司接管</w:t>
            </w:r>
            <w:r>
              <w:rPr>
                <w:rFonts w:hint="eastAsia"/>
                <w:color w:val="auto"/>
                <w:lang w:val="en-US" w:eastAsia="zh-CN"/>
              </w:rPr>
              <w:t>限值</w:t>
            </w:r>
            <w:r>
              <w:rPr>
                <w:rFonts w:hint="eastAsia"/>
                <w:color w:val="auto"/>
              </w:rPr>
              <w:t>。</w:t>
            </w:r>
          </w:p>
          <w:p w14:paraId="3746B6C7">
            <w:pPr>
              <w:adjustRightInd w:val="0"/>
              <w:snapToGrid w:val="0"/>
              <w:spacing w:line="360" w:lineRule="auto"/>
              <w:ind w:firstLine="420" w:firstLineChars="200"/>
              <w:rPr>
                <w:color w:val="auto"/>
              </w:rPr>
            </w:pPr>
            <w:r>
              <w:rPr>
                <w:rFonts w:hint="eastAsia"/>
                <w:color w:val="auto"/>
              </w:rPr>
              <w:t>常州金坛区第二污水处理有限公司接管浓度限值要求见下表。</w:t>
            </w:r>
          </w:p>
          <w:p w14:paraId="59DBB548">
            <w:pPr>
              <w:adjustRightInd w:val="0"/>
              <w:snapToGrid w:val="0"/>
              <w:jc w:val="center"/>
              <w:rPr>
                <w:b/>
                <w:bCs/>
                <w:color w:val="auto"/>
              </w:rPr>
            </w:pPr>
            <w:r>
              <w:rPr>
                <w:rFonts w:hint="eastAsia"/>
                <w:b/>
                <w:bCs/>
                <w:color w:val="auto"/>
              </w:rPr>
              <w:t>表3-</w:t>
            </w:r>
            <w:r>
              <w:rPr>
                <w:rFonts w:hint="eastAsia"/>
                <w:b/>
                <w:bCs/>
                <w:color w:val="auto"/>
                <w:lang w:val="en-US" w:eastAsia="zh-CN"/>
              </w:rPr>
              <w:t>8</w:t>
            </w:r>
            <w:r>
              <w:rPr>
                <w:rFonts w:hint="eastAsia"/>
                <w:b/>
                <w:bCs/>
                <w:color w:val="auto"/>
              </w:rPr>
              <w:t xml:space="preserve">   污水接管标准 单位：mg/L</w:t>
            </w:r>
          </w:p>
          <w:tbl>
            <w:tblPr>
              <w:tblStyle w:val="59"/>
              <w:tblW w:w="4998" w:type="pct"/>
              <w:tblInd w:w="0" w:type="dxa"/>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2180"/>
              <w:gridCol w:w="2182"/>
              <w:gridCol w:w="2182"/>
              <w:gridCol w:w="2182"/>
            </w:tblGrid>
            <w:tr w14:paraId="5994355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PrEx>
              <w:tc>
                <w:tcPr>
                  <w:tcW w:w="1249" w:type="pct"/>
                  <w:tcBorders>
                    <w:tl2br w:val="nil"/>
                    <w:tr2bl w:val="nil"/>
                  </w:tcBorders>
                  <w:shd w:val="clear" w:color="auto" w:fill="auto"/>
                  <w:vAlign w:val="center"/>
                </w:tcPr>
                <w:p w14:paraId="604D0095">
                  <w:pPr>
                    <w:adjustRightInd w:val="0"/>
                    <w:snapToGrid w:val="0"/>
                    <w:jc w:val="center"/>
                    <w:rPr>
                      <w:b/>
                      <w:bCs/>
                      <w:color w:val="auto"/>
                    </w:rPr>
                  </w:pPr>
                  <w:r>
                    <w:rPr>
                      <w:rFonts w:hint="eastAsia"/>
                      <w:b/>
                      <w:bCs/>
                      <w:color w:val="auto"/>
                    </w:rPr>
                    <w:t>排放源</w:t>
                  </w:r>
                </w:p>
              </w:tc>
              <w:tc>
                <w:tcPr>
                  <w:tcW w:w="1250" w:type="pct"/>
                  <w:tcBorders>
                    <w:tl2br w:val="nil"/>
                    <w:tr2bl w:val="nil"/>
                  </w:tcBorders>
                  <w:shd w:val="clear" w:color="auto" w:fill="auto"/>
                  <w:vAlign w:val="center"/>
                </w:tcPr>
                <w:p w14:paraId="6C352A16">
                  <w:pPr>
                    <w:adjustRightInd w:val="0"/>
                    <w:snapToGrid w:val="0"/>
                    <w:jc w:val="center"/>
                    <w:rPr>
                      <w:b/>
                      <w:bCs/>
                      <w:color w:val="auto"/>
                    </w:rPr>
                  </w:pPr>
                  <w:r>
                    <w:rPr>
                      <w:rFonts w:hint="eastAsia"/>
                      <w:b/>
                      <w:bCs/>
                      <w:color w:val="auto"/>
                    </w:rPr>
                    <w:t>污染物</w:t>
                  </w:r>
                </w:p>
              </w:tc>
              <w:tc>
                <w:tcPr>
                  <w:tcW w:w="1250" w:type="pct"/>
                  <w:tcBorders>
                    <w:tl2br w:val="nil"/>
                    <w:tr2bl w:val="nil"/>
                  </w:tcBorders>
                  <w:shd w:val="clear" w:color="auto" w:fill="auto"/>
                  <w:vAlign w:val="center"/>
                </w:tcPr>
                <w:p w14:paraId="5E7105A9">
                  <w:pPr>
                    <w:adjustRightInd w:val="0"/>
                    <w:snapToGrid w:val="0"/>
                    <w:jc w:val="center"/>
                    <w:rPr>
                      <w:b/>
                      <w:bCs/>
                      <w:color w:val="auto"/>
                    </w:rPr>
                  </w:pPr>
                  <w:r>
                    <w:rPr>
                      <w:rFonts w:hint="eastAsia"/>
                      <w:b/>
                      <w:bCs/>
                      <w:color w:val="auto"/>
                    </w:rPr>
                    <w:t>标准值</w:t>
                  </w:r>
                </w:p>
              </w:tc>
              <w:tc>
                <w:tcPr>
                  <w:tcW w:w="1250" w:type="pct"/>
                  <w:tcBorders>
                    <w:tl2br w:val="nil"/>
                    <w:tr2bl w:val="nil"/>
                  </w:tcBorders>
                  <w:shd w:val="clear" w:color="auto" w:fill="auto"/>
                  <w:vAlign w:val="center"/>
                </w:tcPr>
                <w:p w14:paraId="59CF4D1F">
                  <w:pPr>
                    <w:adjustRightInd w:val="0"/>
                    <w:snapToGrid w:val="0"/>
                    <w:jc w:val="center"/>
                    <w:rPr>
                      <w:b/>
                      <w:bCs/>
                      <w:color w:val="auto"/>
                    </w:rPr>
                  </w:pPr>
                  <w:r>
                    <w:rPr>
                      <w:rFonts w:hint="eastAsia"/>
                      <w:b/>
                      <w:bCs/>
                      <w:color w:val="auto"/>
                    </w:rPr>
                    <w:t>标准来源</w:t>
                  </w:r>
                </w:p>
              </w:tc>
            </w:tr>
            <w:tr w14:paraId="56D7887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1249" w:type="pct"/>
                  <w:vMerge w:val="restart"/>
                  <w:tcBorders>
                    <w:tl2br w:val="nil"/>
                    <w:tr2bl w:val="nil"/>
                  </w:tcBorders>
                  <w:shd w:val="clear" w:color="auto" w:fill="auto"/>
                  <w:vAlign w:val="center"/>
                </w:tcPr>
                <w:p w14:paraId="0EAEF046">
                  <w:pPr>
                    <w:adjustRightInd w:val="0"/>
                    <w:snapToGrid w:val="0"/>
                    <w:jc w:val="center"/>
                    <w:rPr>
                      <w:color w:val="auto"/>
                    </w:rPr>
                  </w:pPr>
                  <w:r>
                    <w:rPr>
                      <w:rFonts w:hint="eastAsia"/>
                      <w:color w:val="auto"/>
                    </w:rPr>
                    <w:t>生活污水</w:t>
                  </w:r>
                </w:p>
              </w:tc>
              <w:tc>
                <w:tcPr>
                  <w:tcW w:w="1250" w:type="pct"/>
                  <w:tcBorders>
                    <w:tl2br w:val="nil"/>
                    <w:tr2bl w:val="nil"/>
                  </w:tcBorders>
                  <w:shd w:val="clear" w:color="auto" w:fill="auto"/>
                  <w:vAlign w:val="center"/>
                </w:tcPr>
                <w:p w14:paraId="6D78A559">
                  <w:pPr>
                    <w:adjustRightInd w:val="0"/>
                    <w:snapToGrid w:val="0"/>
                    <w:jc w:val="center"/>
                    <w:rPr>
                      <w:color w:val="auto"/>
                    </w:rPr>
                  </w:pPr>
                  <w:r>
                    <w:rPr>
                      <w:rFonts w:hint="eastAsia"/>
                      <w:color w:val="auto"/>
                    </w:rPr>
                    <w:t>pH值（无量纲）</w:t>
                  </w:r>
                </w:p>
              </w:tc>
              <w:tc>
                <w:tcPr>
                  <w:tcW w:w="1250" w:type="pct"/>
                  <w:tcBorders>
                    <w:tl2br w:val="nil"/>
                    <w:tr2bl w:val="nil"/>
                  </w:tcBorders>
                  <w:shd w:val="clear" w:color="auto" w:fill="auto"/>
                  <w:vAlign w:val="center"/>
                </w:tcPr>
                <w:p w14:paraId="5D28E78D">
                  <w:pPr>
                    <w:adjustRightInd w:val="0"/>
                    <w:snapToGrid w:val="0"/>
                    <w:jc w:val="center"/>
                    <w:rPr>
                      <w:rFonts w:hint="default"/>
                      <w:color w:val="auto"/>
                      <w:lang w:val="en-US"/>
                    </w:rPr>
                  </w:pPr>
                  <w:r>
                    <w:rPr>
                      <w:rFonts w:hint="eastAsia"/>
                      <w:color w:val="auto"/>
                    </w:rPr>
                    <w:t>6</w:t>
                  </w:r>
                  <w:r>
                    <w:rPr>
                      <w:rFonts w:hint="eastAsia"/>
                      <w:color w:val="auto"/>
                      <w:lang w:val="en-US" w:eastAsia="zh-CN"/>
                    </w:rPr>
                    <w:t>-9</w:t>
                  </w:r>
                </w:p>
              </w:tc>
              <w:tc>
                <w:tcPr>
                  <w:tcW w:w="1250" w:type="pct"/>
                  <w:vMerge w:val="restart"/>
                  <w:tcBorders>
                    <w:tl2br w:val="nil"/>
                    <w:tr2bl w:val="nil"/>
                  </w:tcBorders>
                  <w:shd w:val="clear" w:color="auto" w:fill="auto"/>
                  <w:vAlign w:val="center"/>
                </w:tcPr>
                <w:p w14:paraId="102D4623">
                  <w:pPr>
                    <w:adjustRightInd w:val="0"/>
                    <w:snapToGrid w:val="0"/>
                    <w:jc w:val="center"/>
                    <w:rPr>
                      <w:color w:val="auto"/>
                    </w:rPr>
                  </w:pPr>
                  <w:r>
                    <w:rPr>
                      <w:rFonts w:hint="eastAsia"/>
                      <w:color w:val="auto"/>
                    </w:rPr>
                    <w:t>常州金坛区第二污水处理有限公司接管</w:t>
                  </w:r>
                  <w:r>
                    <w:rPr>
                      <w:rFonts w:hint="eastAsia"/>
                      <w:color w:val="auto"/>
                      <w:lang w:val="en-US" w:eastAsia="zh-CN"/>
                    </w:rPr>
                    <w:t>限值</w:t>
                  </w:r>
                </w:p>
              </w:tc>
            </w:tr>
            <w:tr w14:paraId="7263A29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1249" w:type="pct"/>
                  <w:vMerge w:val="continue"/>
                  <w:tcBorders>
                    <w:tl2br w:val="nil"/>
                    <w:tr2bl w:val="nil"/>
                  </w:tcBorders>
                  <w:shd w:val="clear" w:color="auto" w:fill="auto"/>
                  <w:vAlign w:val="center"/>
                </w:tcPr>
                <w:p w14:paraId="73EBD7F0">
                  <w:pPr>
                    <w:adjustRightInd w:val="0"/>
                    <w:snapToGrid w:val="0"/>
                    <w:jc w:val="center"/>
                    <w:rPr>
                      <w:color w:val="auto"/>
                    </w:rPr>
                  </w:pPr>
                </w:p>
              </w:tc>
              <w:tc>
                <w:tcPr>
                  <w:tcW w:w="1250" w:type="pct"/>
                  <w:tcBorders>
                    <w:tl2br w:val="nil"/>
                    <w:tr2bl w:val="nil"/>
                  </w:tcBorders>
                  <w:shd w:val="clear" w:color="auto" w:fill="auto"/>
                  <w:vAlign w:val="center"/>
                </w:tcPr>
                <w:p w14:paraId="7C2C0853">
                  <w:pPr>
                    <w:adjustRightInd w:val="0"/>
                    <w:snapToGrid w:val="0"/>
                    <w:jc w:val="center"/>
                    <w:rPr>
                      <w:color w:val="auto"/>
                    </w:rPr>
                  </w:pPr>
                  <w:r>
                    <w:rPr>
                      <w:rFonts w:hint="eastAsia"/>
                      <w:color w:val="auto"/>
                    </w:rPr>
                    <w:t>COD</w:t>
                  </w:r>
                </w:p>
              </w:tc>
              <w:tc>
                <w:tcPr>
                  <w:tcW w:w="1250" w:type="pct"/>
                  <w:tcBorders>
                    <w:tl2br w:val="nil"/>
                    <w:tr2bl w:val="nil"/>
                  </w:tcBorders>
                  <w:shd w:val="clear" w:color="auto" w:fill="auto"/>
                  <w:vAlign w:val="center"/>
                </w:tcPr>
                <w:p w14:paraId="4EBAB320">
                  <w:pPr>
                    <w:adjustRightInd w:val="0"/>
                    <w:snapToGrid w:val="0"/>
                    <w:jc w:val="center"/>
                    <w:rPr>
                      <w:color w:val="auto"/>
                    </w:rPr>
                  </w:pPr>
                  <w:r>
                    <w:rPr>
                      <w:rFonts w:hint="eastAsia"/>
                      <w:color w:val="auto"/>
                    </w:rPr>
                    <w:t>500</w:t>
                  </w:r>
                </w:p>
              </w:tc>
              <w:tc>
                <w:tcPr>
                  <w:tcW w:w="1250" w:type="pct"/>
                  <w:vMerge w:val="continue"/>
                  <w:tcBorders>
                    <w:tl2br w:val="nil"/>
                    <w:tr2bl w:val="nil"/>
                  </w:tcBorders>
                  <w:shd w:val="clear" w:color="auto" w:fill="auto"/>
                  <w:vAlign w:val="center"/>
                </w:tcPr>
                <w:p w14:paraId="1E1DACCC">
                  <w:pPr>
                    <w:adjustRightInd w:val="0"/>
                    <w:snapToGrid w:val="0"/>
                    <w:jc w:val="center"/>
                    <w:rPr>
                      <w:color w:val="auto"/>
                    </w:rPr>
                  </w:pPr>
                </w:p>
              </w:tc>
            </w:tr>
            <w:tr w14:paraId="511AB2A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1249" w:type="pct"/>
                  <w:vMerge w:val="continue"/>
                  <w:tcBorders>
                    <w:tl2br w:val="nil"/>
                    <w:tr2bl w:val="nil"/>
                  </w:tcBorders>
                  <w:shd w:val="clear" w:color="auto" w:fill="auto"/>
                  <w:vAlign w:val="center"/>
                </w:tcPr>
                <w:p w14:paraId="2BC203FA">
                  <w:pPr>
                    <w:adjustRightInd w:val="0"/>
                    <w:snapToGrid w:val="0"/>
                    <w:jc w:val="center"/>
                    <w:rPr>
                      <w:color w:val="auto"/>
                    </w:rPr>
                  </w:pPr>
                </w:p>
              </w:tc>
              <w:tc>
                <w:tcPr>
                  <w:tcW w:w="1250" w:type="pct"/>
                  <w:tcBorders>
                    <w:tl2br w:val="nil"/>
                    <w:tr2bl w:val="nil"/>
                  </w:tcBorders>
                  <w:shd w:val="clear" w:color="auto" w:fill="auto"/>
                  <w:vAlign w:val="center"/>
                </w:tcPr>
                <w:p w14:paraId="7DF240EE">
                  <w:pPr>
                    <w:adjustRightInd w:val="0"/>
                    <w:snapToGrid w:val="0"/>
                    <w:jc w:val="center"/>
                    <w:rPr>
                      <w:color w:val="auto"/>
                    </w:rPr>
                  </w:pPr>
                  <w:r>
                    <w:rPr>
                      <w:rFonts w:hint="eastAsia"/>
                      <w:color w:val="auto"/>
                    </w:rPr>
                    <w:t>SS</w:t>
                  </w:r>
                </w:p>
              </w:tc>
              <w:tc>
                <w:tcPr>
                  <w:tcW w:w="1250" w:type="pct"/>
                  <w:tcBorders>
                    <w:tl2br w:val="nil"/>
                    <w:tr2bl w:val="nil"/>
                  </w:tcBorders>
                  <w:shd w:val="clear" w:color="auto" w:fill="auto"/>
                  <w:vAlign w:val="center"/>
                </w:tcPr>
                <w:p w14:paraId="27DB7A32">
                  <w:pPr>
                    <w:adjustRightInd w:val="0"/>
                    <w:snapToGrid w:val="0"/>
                    <w:jc w:val="center"/>
                    <w:rPr>
                      <w:color w:val="auto"/>
                    </w:rPr>
                  </w:pPr>
                  <w:r>
                    <w:rPr>
                      <w:rFonts w:hint="eastAsia"/>
                      <w:color w:val="auto"/>
                    </w:rPr>
                    <w:t>250</w:t>
                  </w:r>
                </w:p>
              </w:tc>
              <w:tc>
                <w:tcPr>
                  <w:tcW w:w="1250" w:type="pct"/>
                  <w:vMerge w:val="continue"/>
                  <w:tcBorders>
                    <w:tl2br w:val="nil"/>
                    <w:tr2bl w:val="nil"/>
                  </w:tcBorders>
                  <w:shd w:val="clear" w:color="auto" w:fill="auto"/>
                  <w:vAlign w:val="center"/>
                </w:tcPr>
                <w:p w14:paraId="138DE334">
                  <w:pPr>
                    <w:adjustRightInd w:val="0"/>
                    <w:snapToGrid w:val="0"/>
                    <w:jc w:val="center"/>
                    <w:rPr>
                      <w:color w:val="auto"/>
                    </w:rPr>
                  </w:pPr>
                </w:p>
              </w:tc>
            </w:tr>
            <w:tr w14:paraId="0266CAA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PrEx>
              <w:tc>
                <w:tcPr>
                  <w:tcW w:w="1249" w:type="pct"/>
                  <w:vMerge w:val="continue"/>
                  <w:tcBorders>
                    <w:tl2br w:val="nil"/>
                    <w:tr2bl w:val="nil"/>
                  </w:tcBorders>
                  <w:shd w:val="clear" w:color="auto" w:fill="auto"/>
                  <w:vAlign w:val="center"/>
                </w:tcPr>
                <w:p w14:paraId="47D744C1">
                  <w:pPr>
                    <w:adjustRightInd w:val="0"/>
                    <w:snapToGrid w:val="0"/>
                    <w:jc w:val="center"/>
                    <w:rPr>
                      <w:color w:val="auto"/>
                    </w:rPr>
                  </w:pPr>
                </w:p>
              </w:tc>
              <w:tc>
                <w:tcPr>
                  <w:tcW w:w="1250" w:type="pct"/>
                  <w:tcBorders>
                    <w:tl2br w:val="nil"/>
                    <w:tr2bl w:val="nil"/>
                  </w:tcBorders>
                  <w:shd w:val="clear" w:color="auto" w:fill="auto"/>
                  <w:vAlign w:val="center"/>
                </w:tcPr>
                <w:p w14:paraId="477E002D">
                  <w:pPr>
                    <w:adjustRightInd w:val="0"/>
                    <w:snapToGrid w:val="0"/>
                    <w:jc w:val="center"/>
                    <w:rPr>
                      <w:color w:val="auto"/>
                    </w:rPr>
                  </w:pPr>
                  <w:r>
                    <w:rPr>
                      <w:rFonts w:hint="eastAsia"/>
                      <w:color w:val="auto"/>
                    </w:rPr>
                    <w:t>NH</w:t>
                  </w:r>
                  <w:r>
                    <w:rPr>
                      <w:rFonts w:hint="eastAsia"/>
                      <w:color w:val="auto"/>
                      <w:vertAlign w:val="subscript"/>
                    </w:rPr>
                    <w:t>3</w:t>
                  </w:r>
                  <w:r>
                    <w:rPr>
                      <w:rFonts w:hint="eastAsia"/>
                      <w:color w:val="auto"/>
                    </w:rPr>
                    <w:t>-N</w:t>
                  </w:r>
                </w:p>
              </w:tc>
              <w:tc>
                <w:tcPr>
                  <w:tcW w:w="1250" w:type="pct"/>
                  <w:tcBorders>
                    <w:tl2br w:val="nil"/>
                    <w:tr2bl w:val="nil"/>
                  </w:tcBorders>
                  <w:shd w:val="clear" w:color="auto" w:fill="auto"/>
                  <w:vAlign w:val="center"/>
                </w:tcPr>
                <w:p w14:paraId="71FB053F">
                  <w:pPr>
                    <w:adjustRightInd w:val="0"/>
                    <w:snapToGrid w:val="0"/>
                    <w:jc w:val="center"/>
                    <w:rPr>
                      <w:color w:val="auto"/>
                    </w:rPr>
                  </w:pPr>
                  <w:r>
                    <w:rPr>
                      <w:rFonts w:hint="eastAsia"/>
                      <w:color w:val="auto"/>
                    </w:rPr>
                    <w:t>35</w:t>
                  </w:r>
                </w:p>
              </w:tc>
              <w:tc>
                <w:tcPr>
                  <w:tcW w:w="1250" w:type="pct"/>
                  <w:vMerge w:val="continue"/>
                  <w:tcBorders>
                    <w:tl2br w:val="nil"/>
                    <w:tr2bl w:val="nil"/>
                  </w:tcBorders>
                  <w:shd w:val="clear" w:color="auto" w:fill="auto"/>
                  <w:vAlign w:val="center"/>
                </w:tcPr>
                <w:p w14:paraId="2CD92479">
                  <w:pPr>
                    <w:adjustRightInd w:val="0"/>
                    <w:snapToGrid w:val="0"/>
                    <w:jc w:val="center"/>
                    <w:rPr>
                      <w:color w:val="auto"/>
                    </w:rPr>
                  </w:pPr>
                </w:p>
              </w:tc>
            </w:tr>
            <w:tr w14:paraId="7B3365A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PrEx>
              <w:tc>
                <w:tcPr>
                  <w:tcW w:w="1249" w:type="pct"/>
                  <w:vMerge w:val="continue"/>
                  <w:tcBorders>
                    <w:tl2br w:val="nil"/>
                    <w:tr2bl w:val="nil"/>
                  </w:tcBorders>
                  <w:shd w:val="clear" w:color="auto" w:fill="auto"/>
                  <w:vAlign w:val="center"/>
                </w:tcPr>
                <w:p w14:paraId="32BA8651">
                  <w:pPr>
                    <w:adjustRightInd w:val="0"/>
                    <w:snapToGrid w:val="0"/>
                    <w:jc w:val="center"/>
                    <w:rPr>
                      <w:color w:val="auto"/>
                    </w:rPr>
                  </w:pPr>
                </w:p>
              </w:tc>
              <w:tc>
                <w:tcPr>
                  <w:tcW w:w="1250" w:type="pct"/>
                  <w:tcBorders>
                    <w:tl2br w:val="nil"/>
                    <w:tr2bl w:val="nil"/>
                  </w:tcBorders>
                  <w:shd w:val="clear" w:color="auto" w:fill="auto"/>
                  <w:vAlign w:val="center"/>
                </w:tcPr>
                <w:p w14:paraId="7128DB59">
                  <w:pPr>
                    <w:adjustRightInd w:val="0"/>
                    <w:snapToGrid w:val="0"/>
                    <w:jc w:val="center"/>
                    <w:rPr>
                      <w:color w:val="auto"/>
                    </w:rPr>
                  </w:pPr>
                  <w:r>
                    <w:rPr>
                      <w:rFonts w:hint="eastAsia"/>
                      <w:color w:val="auto"/>
                    </w:rPr>
                    <w:t>TP</w:t>
                  </w:r>
                </w:p>
              </w:tc>
              <w:tc>
                <w:tcPr>
                  <w:tcW w:w="1250" w:type="pct"/>
                  <w:tcBorders>
                    <w:tl2br w:val="nil"/>
                    <w:tr2bl w:val="nil"/>
                  </w:tcBorders>
                  <w:shd w:val="clear" w:color="auto" w:fill="auto"/>
                  <w:vAlign w:val="center"/>
                </w:tcPr>
                <w:p w14:paraId="7A8A5FB9">
                  <w:pPr>
                    <w:adjustRightInd w:val="0"/>
                    <w:snapToGrid w:val="0"/>
                    <w:jc w:val="center"/>
                    <w:rPr>
                      <w:color w:val="auto"/>
                    </w:rPr>
                  </w:pPr>
                  <w:r>
                    <w:rPr>
                      <w:rFonts w:hint="eastAsia"/>
                      <w:color w:val="auto"/>
                    </w:rPr>
                    <w:t>3</w:t>
                  </w:r>
                </w:p>
              </w:tc>
              <w:tc>
                <w:tcPr>
                  <w:tcW w:w="1250" w:type="pct"/>
                  <w:vMerge w:val="continue"/>
                  <w:tcBorders>
                    <w:tl2br w:val="nil"/>
                    <w:tr2bl w:val="nil"/>
                  </w:tcBorders>
                  <w:shd w:val="clear" w:color="auto" w:fill="auto"/>
                  <w:vAlign w:val="center"/>
                </w:tcPr>
                <w:p w14:paraId="7E1AFABF">
                  <w:pPr>
                    <w:adjustRightInd w:val="0"/>
                    <w:snapToGrid w:val="0"/>
                    <w:jc w:val="center"/>
                    <w:rPr>
                      <w:color w:val="auto"/>
                    </w:rPr>
                  </w:pPr>
                </w:p>
              </w:tc>
            </w:tr>
            <w:tr w14:paraId="740751C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PrEx>
              <w:tc>
                <w:tcPr>
                  <w:tcW w:w="1249" w:type="pct"/>
                  <w:vMerge w:val="continue"/>
                  <w:tcBorders>
                    <w:tl2br w:val="nil"/>
                    <w:tr2bl w:val="nil"/>
                  </w:tcBorders>
                  <w:shd w:val="clear" w:color="auto" w:fill="auto"/>
                  <w:vAlign w:val="center"/>
                </w:tcPr>
                <w:p w14:paraId="3D442A0A">
                  <w:pPr>
                    <w:adjustRightInd w:val="0"/>
                    <w:snapToGrid w:val="0"/>
                    <w:jc w:val="center"/>
                    <w:rPr>
                      <w:color w:val="auto"/>
                    </w:rPr>
                  </w:pPr>
                </w:p>
              </w:tc>
              <w:tc>
                <w:tcPr>
                  <w:tcW w:w="1250" w:type="pct"/>
                  <w:tcBorders>
                    <w:tl2br w:val="nil"/>
                    <w:tr2bl w:val="nil"/>
                  </w:tcBorders>
                  <w:shd w:val="clear" w:color="auto" w:fill="auto"/>
                  <w:vAlign w:val="center"/>
                </w:tcPr>
                <w:p w14:paraId="60F67AEF">
                  <w:pPr>
                    <w:adjustRightInd w:val="0"/>
                    <w:snapToGrid w:val="0"/>
                    <w:jc w:val="center"/>
                    <w:rPr>
                      <w:color w:val="auto"/>
                    </w:rPr>
                  </w:pPr>
                  <w:r>
                    <w:rPr>
                      <w:rFonts w:hint="eastAsia"/>
                      <w:color w:val="auto"/>
                    </w:rPr>
                    <w:t>TN</w:t>
                  </w:r>
                </w:p>
              </w:tc>
              <w:tc>
                <w:tcPr>
                  <w:tcW w:w="1250" w:type="pct"/>
                  <w:tcBorders>
                    <w:tl2br w:val="nil"/>
                    <w:tr2bl w:val="nil"/>
                  </w:tcBorders>
                  <w:shd w:val="clear" w:color="auto" w:fill="auto"/>
                  <w:vAlign w:val="center"/>
                </w:tcPr>
                <w:p w14:paraId="3FEE5D42">
                  <w:pPr>
                    <w:adjustRightInd w:val="0"/>
                    <w:snapToGrid w:val="0"/>
                    <w:jc w:val="center"/>
                    <w:rPr>
                      <w:color w:val="auto"/>
                    </w:rPr>
                  </w:pPr>
                  <w:r>
                    <w:rPr>
                      <w:rFonts w:hint="eastAsia"/>
                      <w:color w:val="auto"/>
                    </w:rPr>
                    <w:t>50</w:t>
                  </w:r>
                </w:p>
              </w:tc>
              <w:tc>
                <w:tcPr>
                  <w:tcW w:w="1250" w:type="pct"/>
                  <w:vMerge w:val="continue"/>
                  <w:tcBorders>
                    <w:tl2br w:val="nil"/>
                    <w:tr2bl w:val="nil"/>
                  </w:tcBorders>
                  <w:shd w:val="clear" w:color="auto" w:fill="auto"/>
                  <w:vAlign w:val="center"/>
                </w:tcPr>
                <w:p w14:paraId="6227D2E0">
                  <w:pPr>
                    <w:adjustRightInd w:val="0"/>
                    <w:snapToGrid w:val="0"/>
                    <w:jc w:val="center"/>
                    <w:rPr>
                      <w:color w:val="auto"/>
                    </w:rPr>
                  </w:pPr>
                </w:p>
              </w:tc>
            </w:tr>
            <w:tr w14:paraId="7597566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PrEx>
              <w:tc>
                <w:tcPr>
                  <w:tcW w:w="1249" w:type="pct"/>
                  <w:vMerge w:val="continue"/>
                  <w:tcBorders>
                    <w:tl2br w:val="nil"/>
                    <w:tr2bl w:val="nil"/>
                  </w:tcBorders>
                  <w:shd w:val="clear" w:color="auto" w:fill="auto"/>
                  <w:vAlign w:val="center"/>
                </w:tcPr>
                <w:p w14:paraId="14A32CFA">
                  <w:pPr>
                    <w:adjustRightInd w:val="0"/>
                    <w:snapToGrid w:val="0"/>
                    <w:jc w:val="center"/>
                    <w:rPr>
                      <w:color w:val="auto"/>
                    </w:rPr>
                  </w:pPr>
                </w:p>
              </w:tc>
              <w:tc>
                <w:tcPr>
                  <w:tcW w:w="1250" w:type="pct"/>
                  <w:tcBorders>
                    <w:tl2br w:val="nil"/>
                    <w:tr2bl w:val="nil"/>
                  </w:tcBorders>
                  <w:shd w:val="clear" w:color="auto" w:fill="auto"/>
                  <w:vAlign w:val="center"/>
                </w:tcPr>
                <w:p w14:paraId="7A8E9A0F">
                  <w:pPr>
                    <w:adjustRightInd w:val="0"/>
                    <w:snapToGrid w:val="0"/>
                    <w:jc w:val="center"/>
                    <w:rPr>
                      <w:rFonts w:hint="default" w:eastAsia="宋体"/>
                      <w:color w:val="auto"/>
                      <w:lang w:val="en-US" w:eastAsia="zh-CN"/>
                    </w:rPr>
                  </w:pPr>
                  <w:r>
                    <w:rPr>
                      <w:rFonts w:hint="eastAsia"/>
                      <w:color w:val="auto"/>
                      <w:lang w:val="en-US" w:eastAsia="zh-CN"/>
                    </w:rPr>
                    <w:t>pH值（无量纲）</w:t>
                  </w:r>
                </w:p>
              </w:tc>
              <w:tc>
                <w:tcPr>
                  <w:tcW w:w="1250" w:type="pct"/>
                  <w:tcBorders>
                    <w:tl2br w:val="nil"/>
                    <w:tr2bl w:val="nil"/>
                  </w:tcBorders>
                  <w:shd w:val="clear" w:color="auto" w:fill="auto"/>
                  <w:vAlign w:val="center"/>
                </w:tcPr>
                <w:p w14:paraId="0296CD2C">
                  <w:pPr>
                    <w:adjustRightInd w:val="0"/>
                    <w:snapToGrid w:val="0"/>
                    <w:jc w:val="center"/>
                    <w:rPr>
                      <w:rFonts w:hint="default" w:eastAsia="宋体"/>
                      <w:color w:val="auto"/>
                      <w:lang w:val="en-US" w:eastAsia="zh-CN"/>
                    </w:rPr>
                  </w:pPr>
                  <w:r>
                    <w:rPr>
                      <w:rFonts w:hint="eastAsia"/>
                      <w:color w:val="auto"/>
                      <w:lang w:val="en-US" w:eastAsia="zh-CN"/>
                    </w:rPr>
                    <w:t>6.5-9.5</w:t>
                  </w:r>
                </w:p>
              </w:tc>
              <w:tc>
                <w:tcPr>
                  <w:tcW w:w="1250" w:type="pct"/>
                  <w:vMerge w:val="restart"/>
                  <w:tcBorders>
                    <w:tl2br w:val="nil"/>
                    <w:tr2bl w:val="nil"/>
                  </w:tcBorders>
                  <w:shd w:val="clear" w:color="auto" w:fill="auto"/>
                  <w:vAlign w:val="center"/>
                </w:tcPr>
                <w:p w14:paraId="596F01D8">
                  <w:pPr>
                    <w:adjustRightInd w:val="0"/>
                    <w:snapToGrid w:val="0"/>
                    <w:jc w:val="center"/>
                    <w:rPr>
                      <w:color w:val="auto"/>
                    </w:rPr>
                  </w:pPr>
                  <w:r>
                    <w:rPr>
                      <w:rFonts w:hint="eastAsia"/>
                      <w:color w:val="auto"/>
                    </w:rPr>
                    <w:t>《污水排入城镇下水道水质标准》（GB/T31962-2015）表1B级标准</w:t>
                  </w:r>
                </w:p>
              </w:tc>
            </w:tr>
            <w:tr w14:paraId="3C53BCC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1249" w:type="pct"/>
                  <w:vMerge w:val="continue"/>
                  <w:tcBorders>
                    <w:tl2br w:val="nil"/>
                    <w:tr2bl w:val="nil"/>
                  </w:tcBorders>
                  <w:shd w:val="clear" w:color="auto" w:fill="auto"/>
                  <w:vAlign w:val="center"/>
                </w:tcPr>
                <w:p w14:paraId="5A563690">
                  <w:pPr>
                    <w:adjustRightInd w:val="0"/>
                    <w:snapToGrid w:val="0"/>
                    <w:jc w:val="center"/>
                    <w:rPr>
                      <w:color w:val="auto"/>
                    </w:rPr>
                  </w:pPr>
                </w:p>
              </w:tc>
              <w:tc>
                <w:tcPr>
                  <w:tcW w:w="1250" w:type="pct"/>
                  <w:tcBorders>
                    <w:tl2br w:val="nil"/>
                    <w:tr2bl w:val="nil"/>
                  </w:tcBorders>
                  <w:shd w:val="clear" w:color="auto" w:fill="auto"/>
                  <w:vAlign w:val="center"/>
                </w:tcPr>
                <w:p w14:paraId="4614CDEC">
                  <w:pPr>
                    <w:adjustRightInd w:val="0"/>
                    <w:snapToGrid w:val="0"/>
                    <w:jc w:val="center"/>
                    <w:rPr>
                      <w:rFonts w:hint="default" w:eastAsia="宋体"/>
                      <w:color w:val="auto"/>
                      <w:lang w:val="en-US" w:eastAsia="zh-CN"/>
                    </w:rPr>
                  </w:pPr>
                  <w:r>
                    <w:rPr>
                      <w:rFonts w:hint="eastAsia"/>
                      <w:color w:val="auto"/>
                      <w:lang w:val="en-US" w:eastAsia="zh-CN"/>
                    </w:rPr>
                    <w:t>COD</w:t>
                  </w:r>
                </w:p>
              </w:tc>
              <w:tc>
                <w:tcPr>
                  <w:tcW w:w="1250" w:type="pct"/>
                  <w:tcBorders>
                    <w:tl2br w:val="nil"/>
                    <w:tr2bl w:val="nil"/>
                  </w:tcBorders>
                  <w:shd w:val="clear" w:color="auto" w:fill="auto"/>
                  <w:vAlign w:val="center"/>
                </w:tcPr>
                <w:p w14:paraId="7FDAF37A">
                  <w:pPr>
                    <w:adjustRightInd w:val="0"/>
                    <w:snapToGrid w:val="0"/>
                    <w:jc w:val="center"/>
                    <w:rPr>
                      <w:rFonts w:hint="default" w:eastAsia="宋体"/>
                      <w:color w:val="auto"/>
                      <w:lang w:val="en-US" w:eastAsia="zh-CN"/>
                    </w:rPr>
                  </w:pPr>
                  <w:r>
                    <w:rPr>
                      <w:rFonts w:hint="eastAsia"/>
                      <w:color w:val="auto"/>
                      <w:lang w:val="en-US" w:eastAsia="zh-CN"/>
                    </w:rPr>
                    <w:t>500</w:t>
                  </w:r>
                </w:p>
              </w:tc>
              <w:tc>
                <w:tcPr>
                  <w:tcW w:w="1250" w:type="pct"/>
                  <w:vMerge w:val="continue"/>
                  <w:tcBorders>
                    <w:tl2br w:val="nil"/>
                    <w:tr2bl w:val="nil"/>
                  </w:tcBorders>
                  <w:shd w:val="clear" w:color="auto" w:fill="auto"/>
                  <w:vAlign w:val="center"/>
                </w:tcPr>
                <w:p w14:paraId="296AA175">
                  <w:pPr>
                    <w:adjustRightInd w:val="0"/>
                    <w:snapToGrid w:val="0"/>
                    <w:jc w:val="center"/>
                    <w:rPr>
                      <w:color w:val="auto"/>
                    </w:rPr>
                  </w:pPr>
                </w:p>
              </w:tc>
            </w:tr>
            <w:tr w14:paraId="0D57844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1249" w:type="pct"/>
                  <w:vMerge w:val="continue"/>
                  <w:tcBorders>
                    <w:tl2br w:val="nil"/>
                    <w:tr2bl w:val="nil"/>
                  </w:tcBorders>
                  <w:shd w:val="clear" w:color="auto" w:fill="auto"/>
                  <w:vAlign w:val="center"/>
                </w:tcPr>
                <w:p w14:paraId="141ED0EE">
                  <w:pPr>
                    <w:adjustRightInd w:val="0"/>
                    <w:snapToGrid w:val="0"/>
                    <w:jc w:val="center"/>
                    <w:rPr>
                      <w:color w:val="auto"/>
                    </w:rPr>
                  </w:pPr>
                </w:p>
              </w:tc>
              <w:tc>
                <w:tcPr>
                  <w:tcW w:w="1250" w:type="pct"/>
                  <w:tcBorders>
                    <w:tl2br w:val="nil"/>
                    <w:tr2bl w:val="nil"/>
                  </w:tcBorders>
                  <w:shd w:val="clear" w:color="auto" w:fill="auto"/>
                  <w:vAlign w:val="center"/>
                </w:tcPr>
                <w:p w14:paraId="7ED7D8CD">
                  <w:pPr>
                    <w:adjustRightInd w:val="0"/>
                    <w:snapToGrid w:val="0"/>
                    <w:jc w:val="center"/>
                    <w:rPr>
                      <w:rFonts w:hint="default" w:eastAsia="宋体"/>
                      <w:color w:val="auto"/>
                      <w:lang w:val="en-US" w:eastAsia="zh-CN"/>
                    </w:rPr>
                  </w:pPr>
                  <w:r>
                    <w:rPr>
                      <w:rFonts w:hint="eastAsia"/>
                      <w:color w:val="auto"/>
                      <w:lang w:val="en-US" w:eastAsia="zh-CN"/>
                    </w:rPr>
                    <w:t>SS</w:t>
                  </w:r>
                </w:p>
              </w:tc>
              <w:tc>
                <w:tcPr>
                  <w:tcW w:w="1250" w:type="pct"/>
                  <w:tcBorders>
                    <w:tl2br w:val="nil"/>
                    <w:tr2bl w:val="nil"/>
                  </w:tcBorders>
                  <w:shd w:val="clear" w:color="auto" w:fill="auto"/>
                  <w:vAlign w:val="center"/>
                </w:tcPr>
                <w:p w14:paraId="73759306">
                  <w:pPr>
                    <w:adjustRightInd w:val="0"/>
                    <w:snapToGrid w:val="0"/>
                    <w:jc w:val="center"/>
                    <w:rPr>
                      <w:rFonts w:hint="default" w:eastAsia="宋体"/>
                      <w:color w:val="auto"/>
                      <w:lang w:val="en-US" w:eastAsia="zh-CN"/>
                    </w:rPr>
                  </w:pPr>
                  <w:r>
                    <w:rPr>
                      <w:rFonts w:hint="eastAsia"/>
                      <w:color w:val="auto"/>
                      <w:lang w:val="en-US" w:eastAsia="zh-CN"/>
                    </w:rPr>
                    <w:t>400</w:t>
                  </w:r>
                </w:p>
              </w:tc>
              <w:tc>
                <w:tcPr>
                  <w:tcW w:w="1250" w:type="pct"/>
                  <w:vMerge w:val="continue"/>
                  <w:tcBorders>
                    <w:tl2br w:val="nil"/>
                    <w:tr2bl w:val="nil"/>
                  </w:tcBorders>
                  <w:shd w:val="clear" w:color="auto" w:fill="auto"/>
                  <w:vAlign w:val="center"/>
                </w:tcPr>
                <w:p w14:paraId="76BBE43B">
                  <w:pPr>
                    <w:adjustRightInd w:val="0"/>
                    <w:snapToGrid w:val="0"/>
                    <w:jc w:val="center"/>
                    <w:rPr>
                      <w:color w:val="auto"/>
                    </w:rPr>
                  </w:pPr>
                </w:p>
              </w:tc>
            </w:tr>
            <w:tr w14:paraId="52A5087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1249" w:type="pct"/>
                  <w:vMerge w:val="continue"/>
                  <w:tcBorders>
                    <w:tl2br w:val="nil"/>
                    <w:tr2bl w:val="nil"/>
                  </w:tcBorders>
                  <w:shd w:val="clear" w:color="auto" w:fill="auto"/>
                  <w:vAlign w:val="center"/>
                </w:tcPr>
                <w:p w14:paraId="34F861BE">
                  <w:pPr>
                    <w:adjustRightInd w:val="0"/>
                    <w:snapToGrid w:val="0"/>
                    <w:jc w:val="center"/>
                    <w:rPr>
                      <w:color w:val="auto"/>
                    </w:rPr>
                  </w:pPr>
                </w:p>
              </w:tc>
              <w:tc>
                <w:tcPr>
                  <w:tcW w:w="1250" w:type="pct"/>
                  <w:tcBorders>
                    <w:tl2br w:val="nil"/>
                    <w:tr2bl w:val="nil"/>
                  </w:tcBorders>
                  <w:shd w:val="clear" w:color="auto" w:fill="auto"/>
                  <w:vAlign w:val="center"/>
                </w:tcPr>
                <w:p w14:paraId="28A3839D">
                  <w:pPr>
                    <w:adjustRightInd w:val="0"/>
                    <w:snapToGrid w:val="0"/>
                    <w:jc w:val="center"/>
                    <w:rPr>
                      <w:rFonts w:hint="default" w:eastAsia="宋体"/>
                      <w:color w:val="auto"/>
                      <w:lang w:val="en-US" w:eastAsia="zh-CN"/>
                    </w:rPr>
                  </w:pPr>
                  <w:r>
                    <w:rPr>
                      <w:rFonts w:hint="eastAsia"/>
                      <w:color w:val="auto"/>
                      <w:lang w:val="en-US" w:eastAsia="zh-CN"/>
                    </w:rPr>
                    <w:t>NH</w:t>
                  </w:r>
                  <w:r>
                    <w:rPr>
                      <w:rFonts w:hint="eastAsia"/>
                      <w:color w:val="auto"/>
                      <w:vertAlign w:val="subscript"/>
                      <w:lang w:val="en-US" w:eastAsia="zh-CN"/>
                    </w:rPr>
                    <w:t>3</w:t>
                  </w:r>
                  <w:r>
                    <w:rPr>
                      <w:rFonts w:hint="eastAsia"/>
                      <w:color w:val="auto"/>
                      <w:lang w:val="en-US" w:eastAsia="zh-CN"/>
                    </w:rPr>
                    <w:t>-N</w:t>
                  </w:r>
                </w:p>
              </w:tc>
              <w:tc>
                <w:tcPr>
                  <w:tcW w:w="1250" w:type="pct"/>
                  <w:tcBorders>
                    <w:tl2br w:val="nil"/>
                    <w:tr2bl w:val="nil"/>
                  </w:tcBorders>
                  <w:shd w:val="clear" w:color="auto" w:fill="auto"/>
                  <w:vAlign w:val="center"/>
                </w:tcPr>
                <w:p w14:paraId="24378324">
                  <w:pPr>
                    <w:adjustRightInd w:val="0"/>
                    <w:snapToGrid w:val="0"/>
                    <w:jc w:val="center"/>
                    <w:rPr>
                      <w:rFonts w:hint="default" w:eastAsia="宋体"/>
                      <w:color w:val="auto"/>
                      <w:lang w:val="en-US" w:eastAsia="zh-CN"/>
                    </w:rPr>
                  </w:pPr>
                  <w:r>
                    <w:rPr>
                      <w:rFonts w:hint="eastAsia"/>
                      <w:color w:val="auto"/>
                      <w:lang w:val="en-US" w:eastAsia="zh-CN"/>
                    </w:rPr>
                    <w:t>45</w:t>
                  </w:r>
                </w:p>
              </w:tc>
              <w:tc>
                <w:tcPr>
                  <w:tcW w:w="1250" w:type="pct"/>
                  <w:vMerge w:val="continue"/>
                  <w:tcBorders>
                    <w:tl2br w:val="nil"/>
                    <w:tr2bl w:val="nil"/>
                  </w:tcBorders>
                  <w:shd w:val="clear" w:color="auto" w:fill="auto"/>
                  <w:vAlign w:val="center"/>
                </w:tcPr>
                <w:p w14:paraId="21A9C5B7">
                  <w:pPr>
                    <w:adjustRightInd w:val="0"/>
                    <w:snapToGrid w:val="0"/>
                    <w:jc w:val="center"/>
                    <w:rPr>
                      <w:color w:val="auto"/>
                    </w:rPr>
                  </w:pPr>
                </w:p>
              </w:tc>
            </w:tr>
            <w:tr w14:paraId="5D976FF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1249" w:type="pct"/>
                  <w:vMerge w:val="continue"/>
                  <w:tcBorders>
                    <w:tl2br w:val="nil"/>
                    <w:tr2bl w:val="nil"/>
                  </w:tcBorders>
                  <w:shd w:val="clear" w:color="auto" w:fill="auto"/>
                  <w:vAlign w:val="center"/>
                </w:tcPr>
                <w:p w14:paraId="76DB4791">
                  <w:pPr>
                    <w:adjustRightInd w:val="0"/>
                    <w:snapToGrid w:val="0"/>
                    <w:jc w:val="center"/>
                    <w:rPr>
                      <w:color w:val="auto"/>
                    </w:rPr>
                  </w:pPr>
                </w:p>
              </w:tc>
              <w:tc>
                <w:tcPr>
                  <w:tcW w:w="1250" w:type="pct"/>
                  <w:tcBorders>
                    <w:tl2br w:val="nil"/>
                    <w:tr2bl w:val="nil"/>
                  </w:tcBorders>
                  <w:shd w:val="clear" w:color="auto" w:fill="auto"/>
                  <w:vAlign w:val="center"/>
                </w:tcPr>
                <w:p w14:paraId="452AF1F1">
                  <w:pPr>
                    <w:adjustRightInd w:val="0"/>
                    <w:snapToGrid w:val="0"/>
                    <w:jc w:val="center"/>
                    <w:rPr>
                      <w:rFonts w:hint="default" w:eastAsia="宋体"/>
                      <w:color w:val="auto"/>
                      <w:lang w:val="en-US" w:eastAsia="zh-CN"/>
                    </w:rPr>
                  </w:pPr>
                  <w:r>
                    <w:rPr>
                      <w:rFonts w:hint="eastAsia"/>
                      <w:color w:val="auto"/>
                      <w:lang w:val="en-US" w:eastAsia="zh-CN"/>
                    </w:rPr>
                    <w:t>TP</w:t>
                  </w:r>
                </w:p>
              </w:tc>
              <w:tc>
                <w:tcPr>
                  <w:tcW w:w="1250" w:type="pct"/>
                  <w:tcBorders>
                    <w:tl2br w:val="nil"/>
                    <w:tr2bl w:val="nil"/>
                  </w:tcBorders>
                  <w:shd w:val="clear" w:color="auto" w:fill="auto"/>
                  <w:vAlign w:val="center"/>
                </w:tcPr>
                <w:p w14:paraId="7140F12F">
                  <w:pPr>
                    <w:adjustRightInd w:val="0"/>
                    <w:snapToGrid w:val="0"/>
                    <w:jc w:val="center"/>
                    <w:rPr>
                      <w:rFonts w:hint="eastAsia" w:eastAsia="宋体"/>
                      <w:color w:val="auto"/>
                      <w:lang w:val="en-US" w:eastAsia="zh-CN"/>
                    </w:rPr>
                  </w:pPr>
                  <w:r>
                    <w:rPr>
                      <w:rFonts w:hint="eastAsia"/>
                      <w:color w:val="auto"/>
                      <w:lang w:val="en-US" w:eastAsia="zh-CN"/>
                    </w:rPr>
                    <w:t>8</w:t>
                  </w:r>
                </w:p>
              </w:tc>
              <w:tc>
                <w:tcPr>
                  <w:tcW w:w="1250" w:type="pct"/>
                  <w:vMerge w:val="continue"/>
                  <w:tcBorders>
                    <w:tl2br w:val="nil"/>
                    <w:tr2bl w:val="nil"/>
                  </w:tcBorders>
                  <w:shd w:val="clear" w:color="auto" w:fill="auto"/>
                  <w:vAlign w:val="center"/>
                </w:tcPr>
                <w:p w14:paraId="7052F026">
                  <w:pPr>
                    <w:adjustRightInd w:val="0"/>
                    <w:snapToGrid w:val="0"/>
                    <w:jc w:val="center"/>
                    <w:rPr>
                      <w:color w:val="auto"/>
                    </w:rPr>
                  </w:pPr>
                </w:p>
              </w:tc>
            </w:tr>
            <w:tr w14:paraId="562CCA2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1249" w:type="pct"/>
                  <w:vMerge w:val="continue"/>
                  <w:tcBorders>
                    <w:tl2br w:val="nil"/>
                    <w:tr2bl w:val="nil"/>
                  </w:tcBorders>
                  <w:shd w:val="clear" w:color="auto" w:fill="auto"/>
                  <w:vAlign w:val="center"/>
                </w:tcPr>
                <w:p w14:paraId="0C6D999E">
                  <w:pPr>
                    <w:adjustRightInd w:val="0"/>
                    <w:snapToGrid w:val="0"/>
                    <w:jc w:val="center"/>
                    <w:rPr>
                      <w:color w:val="auto"/>
                    </w:rPr>
                  </w:pPr>
                </w:p>
              </w:tc>
              <w:tc>
                <w:tcPr>
                  <w:tcW w:w="1250" w:type="pct"/>
                  <w:tcBorders>
                    <w:tl2br w:val="nil"/>
                    <w:tr2bl w:val="nil"/>
                  </w:tcBorders>
                  <w:shd w:val="clear" w:color="auto" w:fill="auto"/>
                  <w:vAlign w:val="center"/>
                </w:tcPr>
                <w:p w14:paraId="45B966A9">
                  <w:pPr>
                    <w:adjustRightInd w:val="0"/>
                    <w:snapToGrid w:val="0"/>
                    <w:jc w:val="center"/>
                    <w:rPr>
                      <w:rFonts w:hint="default" w:eastAsia="宋体"/>
                      <w:color w:val="auto"/>
                      <w:lang w:val="en-US" w:eastAsia="zh-CN"/>
                    </w:rPr>
                  </w:pPr>
                  <w:r>
                    <w:rPr>
                      <w:rFonts w:hint="eastAsia"/>
                      <w:color w:val="auto"/>
                      <w:lang w:val="en-US" w:eastAsia="zh-CN"/>
                    </w:rPr>
                    <w:t>TN</w:t>
                  </w:r>
                </w:p>
              </w:tc>
              <w:tc>
                <w:tcPr>
                  <w:tcW w:w="1250" w:type="pct"/>
                  <w:tcBorders>
                    <w:tl2br w:val="nil"/>
                    <w:tr2bl w:val="nil"/>
                  </w:tcBorders>
                  <w:shd w:val="clear" w:color="auto" w:fill="auto"/>
                  <w:vAlign w:val="center"/>
                </w:tcPr>
                <w:p w14:paraId="50CED5A2">
                  <w:pPr>
                    <w:adjustRightInd w:val="0"/>
                    <w:snapToGrid w:val="0"/>
                    <w:jc w:val="center"/>
                    <w:rPr>
                      <w:rFonts w:hint="default" w:eastAsia="宋体"/>
                      <w:color w:val="auto"/>
                      <w:lang w:val="en-US" w:eastAsia="zh-CN"/>
                    </w:rPr>
                  </w:pPr>
                  <w:r>
                    <w:rPr>
                      <w:rFonts w:hint="eastAsia"/>
                      <w:color w:val="auto"/>
                      <w:lang w:val="en-US" w:eastAsia="zh-CN"/>
                    </w:rPr>
                    <w:t>70</w:t>
                  </w:r>
                </w:p>
              </w:tc>
              <w:tc>
                <w:tcPr>
                  <w:tcW w:w="1250" w:type="pct"/>
                  <w:vMerge w:val="continue"/>
                  <w:tcBorders>
                    <w:tl2br w:val="nil"/>
                    <w:tr2bl w:val="nil"/>
                  </w:tcBorders>
                  <w:shd w:val="clear" w:color="auto" w:fill="auto"/>
                  <w:vAlign w:val="center"/>
                </w:tcPr>
                <w:p w14:paraId="5BB2B549">
                  <w:pPr>
                    <w:adjustRightInd w:val="0"/>
                    <w:snapToGrid w:val="0"/>
                    <w:jc w:val="center"/>
                    <w:rPr>
                      <w:color w:val="auto"/>
                    </w:rPr>
                  </w:pPr>
                </w:p>
              </w:tc>
            </w:tr>
          </w:tbl>
          <w:p w14:paraId="365EA7BF">
            <w:pPr>
              <w:adjustRightInd w:val="0"/>
              <w:snapToGrid w:val="0"/>
              <w:spacing w:line="360" w:lineRule="auto"/>
              <w:ind w:firstLine="420" w:firstLineChars="200"/>
              <w:rPr>
                <w:color w:val="auto"/>
              </w:rPr>
            </w:pPr>
            <w:r>
              <w:rPr>
                <w:rFonts w:hint="eastAsia"/>
                <w:color w:val="auto"/>
              </w:rPr>
              <w:t>常州金坛区第二污水处理有限公司尾水排放标准执行《太湖地区城镇污水处理厂及重点工业行业主要水污染物排放限值》（DB32/1072-2018）中表2标准及《城镇污水处理厂污染物排放标准》（GB18918-2002）中表1一级A标准。</w:t>
            </w:r>
          </w:p>
          <w:p w14:paraId="44C9009F">
            <w:pPr>
              <w:pStyle w:val="16"/>
              <w:keepNext/>
              <w:adjustRightInd w:val="0"/>
              <w:snapToGrid w:val="0"/>
              <w:jc w:val="center"/>
              <w:rPr>
                <w:rFonts w:ascii="Times New Roman" w:hAnsi="Times New Roman" w:eastAsia="宋体"/>
                <w:b/>
                <w:color w:val="auto"/>
                <w:sz w:val="21"/>
                <w:szCs w:val="21"/>
              </w:rPr>
            </w:pPr>
            <w:r>
              <w:rPr>
                <w:rFonts w:ascii="Times New Roman" w:hAnsi="Times New Roman" w:eastAsia="宋体"/>
                <w:b/>
                <w:color w:val="auto"/>
                <w:sz w:val="21"/>
                <w:szCs w:val="21"/>
              </w:rPr>
              <w:t>表3-</w:t>
            </w:r>
            <w:r>
              <w:rPr>
                <w:rFonts w:hint="eastAsia" w:ascii="Times New Roman" w:hAnsi="Times New Roman" w:eastAsia="宋体"/>
                <w:b/>
                <w:color w:val="auto"/>
                <w:sz w:val="21"/>
                <w:szCs w:val="21"/>
                <w:lang w:val="en-US" w:eastAsia="zh-CN"/>
              </w:rPr>
              <w:t>9</w:t>
            </w:r>
            <w:r>
              <w:rPr>
                <w:rFonts w:ascii="Times New Roman" w:hAnsi="Times New Roman" w:eastAsia="宋体"/>
                <w:b/>
                <w:color w:val="auto"/>
                <w:sz w:val="21"/>
                <w:szCs w:val="21"/>
              </w:rPr>
              <w:t xml:space="preserve">   </w:t>
            </w:r>
            <w:r>
              <w:rPr>
                <w:rFonts w:hint="eastAsia" w:ascii="Times New Roman" w:hAnsi="Times New Roman" w:eastAsia="宋体"/>
                <w:b/>
                <w:color w:val="auto"/>
                <w:sz w:val="21"/>
                <w:szCs w:val="21"/>
              </w:rPr>
              <w:t>常州金坛区第二污水处理有限公司</w:t>
            </w:r>
            <w:r>
              <w:rPr>
                <w:rFonts w:ascii="Times New Roman" w:hAnsi="Times New Roman" w:eastAsia="宋体"/>
                <w:b/>
                <w:color w:val="auto"/>
                <w:sz w:val="21"/>
                <w:szCs w:val="21"/>
              </w:rPr>
              <w:t>尾水排放标准 单位：mg/L</w:t>
            </w:r>
          </w:p>
          <w:tbl>
            <w:tblPr>
              <w:tblStyle w:val="59"/>
              <w:tblW w:w="5000"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1893"/>
              <w:gridCol w:w="5003"/>
              <w:gridCol w:w="1833"/>
            </w:tblGrid>
            <w:tr w14:paraId="4408479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PrEx>
              <w:trPr>
                <w:jc w:val="center"/>
              </w:trPr>
              <w:tc>
                <w:tcPr>
                  <w:tcW w:w="1084" w:type="pct"/>
                  <w:tcBorders>
                    <w:tl2br w:val="nil"/>
                    <w:tr2bl w:val="nil"/>
                  </w:tcBorders>
                  <w:vAlign w:val="center"/>
                </w:tcPr>
                <w:p w14:paraId="7EEED6BA">
                  <w:pPr>
                    <w:adjustRightInd w:val="0"/>
                    <w:snapToGrid w:val="0"/>
                    <w:jc w:val="center"/>
                    <w:rPr>
                      <w:b/>
                      <w:bCs/>
                      <w:color w:val="auto"/>
                    </w:rPr>
                  </w:pPr>
                  <w:r>
                    <w:rPr>
                      <w:b/>
                      <w:bCs/>
                      <w:color w:val="auto"/>
                    </w:rPr>
                    <w:t>污染物</w:t>
                  </w:r>
                </w:p>
              </w:tc>
              <w:tc>
                <w:tcPr>
                  <w:tcW w:w="2866" w:type="pct"/>
                  <w:tcBorders>
                    <w:tl2br w:val="nil"/>
                    <w:tr2bl w:val="nil"/>
                  </w:tcBorders>
                  <w:vAlign w:val="center"/>
                </w:tcPr>
                <w:p w14:paraId="740FA521">
                  <w:pPr>
                    <w:adjustRightInd w:val="0"/>
                    <w:snapToGrid w:val="0"/>
                    <w:jc w:val="center"/>
                    <w:rPr>
                      <w:b/>
                      <w:bCs/>
                      <w:color w:val="auto"/>
                    </w:rPr>
                  </w:pPr>
                  <w:r>
                    <w:rPr>
                      <w:b/>
                      <w:bCs/>
                      <w:color w:val="auto"/>
                    </w:rPr>
                    <w:t>标准</w:t>
                  </w:r>
                </w:p>
              </w:tc>
              <w:tc>
                <w:tcPr>
                  <w:tcW w:w="1048" w:type="pct"/>
                  <w:tcBorders>
                    <w:tl2br w:val="nil"/>
                    <w:tr2bl w:val="nil"/>
                  </w:tcBorders>
                  <w:vAlign w:val="center"/>
                </w:tcPr>
                <w:p w14:paraId="77A69BAC">
                  <w:pPr>
                    <w:adjustRightInd w:val="0"/>
                    <w:snapToGrid w:val="0"/>
                    <w:jc w:val="center"/>
                    <w:rPr>
                      <w:b/>
                      <w:bCs/>
                      <w:color w:val="auto"/>
                    </w:rPr>
                  </w:pPr>
                  <w:r>
                    <w:rPr>
                      <w:b/>
                      <w:bCs/>
                      <w:color w:val="auto"/>
                    </w:rPr>
                    <w:t>污染物排放标准</w:t>
                  </w:r>
                </w:p>
              </w:tc>
            </w:tr>
            <w:tr w14:paraId="2EC953F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084" w:type="pct"/>
                  <w:tcBorders>
                    <w:tl2br w:val="nil"/>
                    <w:tr2bl w:val="nil"/>
                  </w:tcBorders>
                  <w:vAlign w:val="center"/>
                </w:tcPr>
                <w:p w14:paraId="5722D5F6">
                  <w:pPr>
                    <w:adjustRightInd w:val="0"/>
                    <w:snapToGrid w:val="0"/>
                    <w:jc w:val="center"/>
                    <w:rPr>
                      <w:color w:val="auto"/>
                    </w:rPr>
                  </w:pPr>
                  <w:r>
                    <w:rPr>
                      <w:color w:val="auto"/>
                    </w:rPr>
                    <w:t>COD</w:t>
                  </w:r>
                </w:p>
              </w:tc>
              <w:tc>
                <w:tcPr>
                  <w:tcW w:w="2866" w:type="pct"/>
                  <w:vMerge w:val="restart"/>
                  <w:tcBorders>
                    <w:tl2br w:val="nil"/>
                    <w:tr2bl w:val="nil"/>
                  </w:tcBorders>
                  <w:vAlign w:val="center"/>
                </w:tcPr>
                <w:p w14:paraId="3484C782">
                  <w:pPr>
                    <w:adjustRightInd w:val="0"/>
                    <w:snapToGrid w:val="0"/>
                    <w:jc w:val="center"/>
                    <w:rPr>
                      <w:color w:val="auto"/>
                    </w:rPr>
                  </w:pPr>
                  <w:r>
                    <w:rPr>
                      <w:color w:val="auto"/>
                    </w:rPr>
                    <w:t>《太湖地区城镇污水处理厂及重点工业行业主要水污染物排放限值》（DB32/1072-2018）</w:t>
                  </w:r>
                </w:p>
              </w:tc>
              <w:tc>
                <w:tcPr>
                  <w:tcW w:w="1048" w:type="pct"/>
                  <w:tcBorders>
                    <w:tl2br w:val="nil"/>
                    <w:tr2bl w:val="nil"/>
                  </w:tcBorders>
                  <w:vAlign w:val="center"/>
                </w:tcPr>
                <w:p w14:paraId="3265B4CB">
                  <w:pPr>
                    <w:adjustRightInd w:val="0"/>
                    <w:snapToGrid w:val="0"/>
                    <w:jc w:val="center"/>
                    <w:rPr>
                      <w:color w:val="auto"/>
                    </w:rPr>
                  </w:pPr>
                  <w:r>
                    <w:rPr>
                      <w:color w:val="auto"/>
                    </w:rPr>
                    <w:t>50</w:t>
                  </w:r>
                </w:p>
              </w:tc>
            </w:tr>
            <w:tr w14:paraId="6A02F70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084" w:type="pct"/>
                  <w:tcBorders>
                    <w:tl2br w:val="nil"/>
                    <w:tr2bl w:val="nil"/>
                  </w:tcBorders>
                  <w:vAlign w:val="center"/>
                </w:tcPr>
                <w:p w14:paraId="27688495">
                  <w:pPr>
                    <w:adjustRightInd w:val="0"/>
                    <w:snapToGrid w:val="0"/>
                    <w:jc w:val="center"/>
                    <w:rPr>
                      <w:color w:val="auto"/>
                    </w:rPr>
                  </w:pPr>
                  <w:r>
                    <w:rPr>
                      <w:color w:val="auto"/>
                    </w:rPr>
                    <w:t>NH</w:t>
                  </w:r>
                  <w:r>
                    <w:rPr>
                      <w:color w:val="auto"/>
                      <w:vertAlign w:val="subscript"/>
                    </w:rPr>
                    <w:t>3</w:t>
                  </w:r>
                  <w:r>
                    <w:rPr>
                      <w:color w:val="auto"/>
                    </w:rPr>
                    <w:t>-N</w:t>
                  </w:r>
                </w:p>
              </w:tc>
              <w:tc>
                <w:tcPr>
                  <w:tcW w:w="2866" w:type="pct"/>
                  <w:vMerge w:val="continue"/>
                  <w:tcBorders>
                    <w:tl2br w:val="nil"/>
                    <w:tr2bl w:val="nil"/>
                  </w:tcBorders>
                  <w:vAlign w:val="center"/>
                </w:tcPr>
                <w:p w14:paraId="41E38CE8">
                  <w:pPr>
                    <w:adjustRightInd w:val="0"/>
                    <w:snapToGrid w:val="0"/>
                    <w:jc w:val="center"/>
                    <w:rPr>
                      <w:color w:val="auto"/>
                    </w:rPr>
                  </w:pPr>
                </w:p>
              </w:tc>
              <w:tc>
                <w:tcPr>
                  <w:tcW w:w="1048" w:type="pct"/>
                  <w:tcBorders>
                    <w:tl2br w:val="nil"/>
                    <w:tr2bl w:val="nil"/>
                  </w:tcBorders>
                  <w:vAlign w:val="center"/>
                </w:tcPr>
                <w:p w14:paraId="240AE535">
                  <w:pPr>
                    <w:adjustRightInd w:val="0"/>
                    <w:snapToGrid w:val="0"/>
                    <w:jc w:val="center"/>
                    <w:rPr>
                      <w:color w:val="auto"/>
                    </w:rPr>
                  </w:pPr>
                  <w:r>
                    <w:rPr>
                      <w:color w:val="auto"/>
                    </w:rPr>
                    <w:t>4（6）*</w:t>
                  </w:r>
                </w:p>
              </w:tc>
            </w:tr>
            <w:tr w14:paraId="6B501F6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084" w:type="pct"/>
                  <w:tcBorders>
                    <w:tl2br w:val="nil"/>
                    <w:tr2bl w:val="nil"/>
                  </w:tcBorders>
                  <w:vAlign w:val="center"/>
                </w:tcPr>
                <w:p w14:paraId="20EE1232">
                  <w:pPr>
                    <w:adjustRightInd w:val="0"/>
                    <w:snapToGrid w:val="0"/>
                    <w:jc w:val="center"/>
                    <w:rPr>
                      <w:color w:val="auto"/>
                    </w:rPr>
                  </w:pPr>
                  <w:r>
                    <w:rPr>
                      <w:color w:val="auto"/>
                    </w:rPr>
                    <w:t>TP</w:t>
                  </w:r>
                </w:p>
              </w:tc>
              <w:tc>
                <w:tcPr>
                  <w:tcW w:w="2866" w:type="pct"/>
                  <w:vMerge w:val="continue"/>
                  <w:tcBorders>
                    <w:tl2br w:val="nil"/>
                    <w:tr2bl w:val="nil"/>
                  </w:tcBorders>
                  <w:vAlign w:val="center"/>
                </w:tcPr>
                <w:p w14:paraId="4E598086">
                  <w:pPr>
                    <w:adjustRightInd w:val="0"/>
                    <w:snapToGrid w:val="0"/>
                    <w:jc w:val="center"/>
                    <w:rPr>
                      <w:color w:val="auto"/>
                    </w:rPr>
                  </w:pPr>
                </w:p>
              </w:tc>
              <w:tc>
                <w:tcPr>
                  <w:tcW w:w="1048" w:type="pct"/>
                  <w:tcBorders>
                    <w:tl2br w:val="nil"/>
                    <w:tr2bl w:val="nil"/>
                  </w:tcBorders>
                  <w:vAlign w:val="center"/>
                </w:tcPr>
                <w:p w14:paraId="5E8597B0">
                  <w:pPr>
                    <w:adjustRightInd w:val="0"/>
                    <w:snapToGrid w:val="0"/>
                    <w:jc w:val="center"/>
                    <w:rPr>
                      <w:color w:val="auto"/>
                    </w:rPr>
                  </w:pPr>
                  <w:r>
                    <w:rPr>
                      <w:color w:val="auto"/>
                    </w:rPr>
                    <w:t>0.5</w:t>
                  </w:r>
                </w:p>
              </w:tc>
            </w:tr>
            <w:tr w14:paraId="79EBD8D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084" w:type="pct"/>
                  <w:tcBorders>
                    <w:tl2br w:val="nil"/>
                    <w:tr2bl w:val="nil"/>
                  </w:tcBorders>
                  <w:vAlign w:val="center"/>
                </w:tcPr>
                <w:p w14:paraId="4EDF8B46">
                  <w:pPr>
                    <w:adjustRightInd w:val="0"/>
                    <w:snapToGrid w:val="0"/>
                    <w:jc w:val="center"/>
                    <w:rPr>
                      <w:color w:val="auto"/>
                    </w:rPr>
                  </w:pPr>
                  <w:r>
                    <w:rPr>
                      <w:color w:val="auto"/>
                    </w:rPr>
                    <w:t>TN</w:t>
                  </w:r>
                </w:p>
              </w:tc>
              <w:tc>
                <w:tcPr>
                  <w:tcW w:w="2866" w:type="pct"/>
                  <w:vMerge w:val="continue"/>
                  <w:tcBorders>
                    <w:tl2br w:val="nil"/>
                    <w:tr2bl w:val="nil"/>
                  </w:tcBorders>
                  <w:vAlign w:val="center"/>
                </w:tcPr>
                <w:p w14:paraId="2929DFFE">
                  <w:pPr>
                    <w:adjustRightInd w:val="0"/>
                    <w:snapToGrid w:val="0"/>
                    <w:jc w:val="center"/>
                    <w:rPr>
                      <w:color w:val="auto"/>
                    </w:rPr>
                  </w:pPr>
                </w:p>
              </w:tc>
              <w:tc>
                <w:tcPr>
                  <w:tcW w:w="1048" w:type="pct"/>
                  <w:tcBorders>
                    <w:tl2br w:val="nil"/>
                    <w:tr2bl w:val="nil"/>
                  </w:tcBorders>
                  <w:vAlign w:val="center"/>
                </w:tcPr>
                <w:p w14:paraId="119149EE">
                  <w:pPr>
                    <w:adjustRightInd w:val="0"/>
                    <w:snapToGrid w:val="0"/>
                    <w:jc w:val="center"/>
                    <w:rPr>
                      <w:color w:val="auto"/>
                    </w:rPr>
                  </w:pPr>
                  <w:r>
                    <w:rPr>
                      <w:color w:val="auto"/>
                    </w:rPr>
                    <w:t>12（15）*</w:t>
                  </w:r>
                </w:p>
              </w:tc>
            </w:tr>
            <w:tr w14:paraId="1357899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084" w:type="pct"/>
                  <w:tcBorders>
                    <w:tl2br w:val="nil"/>
                    <w:tr2bl w:val="nil"/>
                  </w:tcBorders>
                  <w:vAlign w:val="center"/>
                </w:tcPr>
                <w:p w14:paraId="6F9612C4">
                  <w:pPr>
                    <w:adjustRightInd w:val="0"/>
                    <w:snapToGrid w:val="0"/>
                    <w:jc w:val="center"/>
                    <w:rPr>
                      <w:color w:val="auto"/>
                    </w:rPr>
                  </w:pPr>
                  <w:r>
                    <w:rPr>
                      <w:color w:val="auto"/>
                    </w:rPr>
                    <w:t>SS</w:t>
                  </w:r>
                </w:p>
              </w:tc>
              <w:tc>
                <w:tcPr>
                  <w:tcW w:w="2866" w:type="pct"/>
                  <w:vMerge w:val="restart"/>
                  <w:tcBorders>
                    <w:tl2br w:val="nil"/>
                    <w:tr2bl w:val="nil"/>
                  </w:tcBorders>
                  <w:vAlign w:val="center"/>
                </w:tcPr>
                <w:p w14:paraId="0F46E709">
                  <w:pPr>
                    <w:adjustRightInd w:val="0"/>
                    <w:snapToGrid w:val="0"/>
                    <w:jc w:val="center"/>
                    <w:rPr>
                      <w:color w:val="auto"/>
                    </w:rPr>
                  </w:pPr>
                  <w:r>
                    <w:rPr>
                      <w:color w:val="auto"/>
                    </w:rPr>
                    <w:t>《城镇污水处理厂污染物排放标准》（GB18918－2002）一级A标准</w:t>
                  </w:r>
                </w:p>
              </w:tc>
              <w:tc>
                <w:tcPr>
                  <w:tcW w:w="1048" w:type="pct"/>
                  <w:tcBorders>
                    <w:tl2br w:val="nil"/>
                    <w:tr2bl w:val="nil"/>
                  </w:tcBorders>
                  <w:vAlign w:val="center"/>
                </w:tcPr>
                <w:p w14:paraId="0FCC5490">
                  <w:pPr>
                    <w:adjustRightInd w:val="0"/>
                    <w:snapToGrid w:val="0"/>
                    <w:jc w:val="center"/>
                    <w:rPr>
                      <w:color w:val="auto"/>
                    </w:rPr>
                  </w:pPr>
                  <w:r>
                    <w:rPr>
                      <w:color w:val="auto"/>
                    </w:rPr>
                    <w:t>10</w:t>
                  </w:r>
                </w:p>
              </w:tc>
            </w:tr>
            <w:tr w14:paraId="5808C98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084" w:type="pct"/>
                  <w:tcBorders>
                    <w:tl2br w:val="nil"/>
                    <w:tr2bl w:val="nil"/>
                  </w:tcBorders>
                  <w:vAlign w:val="center"/>
                </w:tcPr>
                <w:p w14:paraId="41109EAB">
                  <w:pPr>
                    <w:adjustRightInd w:val="0"/>
                    <w:snapToGrid w:val="0"/>
                    <w:jc w:val="center"/>
                    <w:rPr>
                      <w:color w:val="auto"/>
                    </w:rPr>
                  </w:pPr>
                  <w:r>
                    <w:rPr>
                      <w:color w:val="auto"/>
                    </w:rPr>
                    <w:t>pH值（无量纲）</w:t>
                  </w:r>
                </w:p>
              </w:tc>
              <w:tc>
                <w:tcPr>
                  <w:tcW w:w="2866" w:type="pct"/>
                  <w:vMerge w:val="continue"/>
                  <w:tcBorders>
                    <w:tl2br w:val="nil"/>
                    <w:tr2bl w:val="nil"/>
                  </w:tcBorders>
                  <w:vAlign w:val="center"/>
                </w:tcPr>
                <w:p w14:paraId="1B7A1C4B">
                  <w:pPr>
                    <w:adjustRightInd w:val="0"/>
                    <w:snapToGrid w:val="0"/>
                    <w:jc w:val="center"/>
                    <w:rPr>
                      <w:color w:val="auto"/>
                    </w:rPr>
                  </w:pPr>
                </w:p>
              </w:tc>
              <w:tc>
                <w:tcPr>
                  <w:tcW w:w="1048" w:type="pct"/>
                  <w:tcBorders>
                    <w:tl2br w:val="nil"/>
                    <w:tr2bl w:val="nil"/>
                  </w:tcBorders>
                  <w:vAlign w:val="center"/>
                </w:tcPr>
                <w:p w14:paraId="55733CD8">
                  <w:pPr>
                    <w:adjustRightInd w:val="0"/>
                    <w:snapToGrid w:val="0"/>
                    <w:jc w:val="center"/>
                    <w:rPr>
                      <w:color w:val="auto"/>
                    </w:rPr>
                  </w:pPr>
                  <w:r>
                    <w:rPr>
                      <w:color w:val="auto"/>
                    </w:rPr>
                    <w:t>6-9</w:t>
                  </w:r>
                </w:p>
              </w:tc>
            </w:tr>
            <w:tr w14:paraId="55F765F3">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5000" w:type="pct"/>
                  <w:gridSpan w:val="3"/>
                  <w:tcBorders>
                    <w:tl2br w:val="nil"/>
                    <w:tr2bl w:val="nil"/>
                  </w:tcBorders>
                  <w:vAlign w:val="center"/>
                </w:tcPr>
                <w:p w14:paraId="6132205C">
                  <w:pPr>
                    <w:adjustRightInd w:val="0"/>
                    <w:snapToGrid w:val="0"/>
                    <w:jc w:val="left"/>
                    <w:rPr>
                      <w:color w:val="auto"/>
                    </w:rPr>
                  </w:pPr>
                  <w:r>
                    <w:rPr>
                      <w:b/>
                      <w:color w:val="auto"/>
                    </w:rPr>
                    <w:t>注*：括号外数值为水温＞12℃时的控制指标，括号内数值为水温≤12℃时的控制指标。</w:t>
                  </w:r>
                </w:p>
              </w:tc>
            </w:tr>
          </w:tbl>
          <w:p w14:paraId="11CF0117">
            <w:pPr>
              <w:adjustRightInd w:val="0"/>
              <w:snapToGrid w:val="0"/>
              <w:spacing w:line="360" w:lineRule="auto"/>
              <w:ind w:firstLine="420" w:firstLineChars="200"/>
              <w:rPr>
                <w:bCs/>
                <w:color w:val="auto"/>
              </w:rPr>
            </w:pPr>
            <w:r>
              <w:rPr>
                <w:bCs/>
                <w:color w:val="auto"/>
              </w:rPr>
              <w:t>自2026年3月28日起，</w:t>
            </w:r>
            <w:r>
              <w:rPr>
                <w:rFonts w:hint="eastAsia"/>
                <w:bCs/>
                <w:color w:val="auto"/>
              </w:rPr>
              <w:t>常州金坛区第二污水处理有限公司</w:t>
            </w:r>
            <w:r>
              <w:rPr>
                <w:bCs/>
                <w:color w:val="auto"/>
              </w:rPr>
              <w:t>尾水排放标准执行《城镇污水处理厂污染物排放标准》（DB32/4440-2022）中表1基本控制项目（常规污染物）日均排放限值和表2四项主要常规污染物一次监测排放限值，具体见下表。</w:t>
            </w:r>
          </w:p>
          <w:p w14:paraId="28399D9A">
            <w:pPr>
              <w:pStyle w:val="16"/>
              <w:keepNext/>
              <w:adjustRightInd w:val="0"/>
              <w:snapToGrid w:val="0"/>
              <w:jc w:val="center"/>
              <w:rPr>
                <w:rFonts w:ascii="Times New Roman" w:hAnsi="Times New Roman" w:eastAsia="宋体"/>
                <w:b/>
                <w:color w:val="auto"/>
                <w:sz w:val="21"/>
                <w:szCs w:val="21"/>
              </w:rPr>
            </w:pPr>
            <w:r>
              <w:rPr>
                <w:rFonts w:hint="eastAsia" w:ascii="Times New Roman" w:hAnsi="Times New Roman" w:eastAsia="宋体"/>
                <w:b/>
                <w:color w:val="auto"/>
                <w:sz w:val="21"/>
                <w:szCs w:val="21"/>
              </w:rPr>
              <w:t>表3-1</w:t>
            </w:r>
            <w:r>
              <w:rPr>
                <w:rFonts w:hint="eastAsia" w:ascii="Times New Roman" w:hAnsi="Times New Roman" w:eastAsia="宋体"/>
                <w:b/>
                <w:color w:val="auto"/>
                <w:sz w:val="21"/>
                <w:szCs w:val="21"/>
                <w:lang w:val="en-US" w:eastAsia="zh-CN"/>
              </w:rPr>
              <w:t>0</w:t>
            </w:r>
            <w:r>
              <w:rPr>
                <w:rFonts w:hint="eastAsia" w:ascii="Times New Roman" w:hAnsi="Times New Roman" w:eastAsia="宋体"/>
                <w:b/>
                <w:color w:val="auto"/>
                <w:sz w:val="21"/>
                <w:szCs w:val="21"/>
              </w:rPr>
              <w:t xml:space="preserve">   常州金坛区第二污水处理有限公司</w:t>
            </w:r>
            <w:r>
              <w:rPr>
                <w:rFonts w:ascii="Times New Roman" w:hAnsi="Times New Roman" w:eastAsia="宋体"/>
                <w:b/>
                <w:color w:val="auto"/>
                <w:sz w:val="21"/>
                <w:szCs w:val="21"/>
              </w:rPr>
              <w:t>基本控制项目（常规污染物）日均排放限值 单位：mg/L</w:t>
            </w:r>
          </w:p>
          <w:tbl>
            <w:tblPr>
              <w:tblStyle w:val="59"/>
              <w:tblW w:w="5000"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3060"/>
              <w:gridCol w:w="3139"/>
              <w:gridCol w:w="2530"/>
            </w:tblGrid>
            <w:tr w14:paraId="16D77CA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753" w:type="pct"/>
                  <w:tcBorders>
                    <w:tl2br w:val="nil"/>
                    <w:tr2bl w:val="nil"/>
                  </w:tcBorders>
                  <w:vAlign w:val="center"/>
                </w:tcPr>
                <w:p w14:paraId="0C9D5B31">
                  <w:pPr>
                    <w:pStyle w:val="16"/>
                    <w:keepNext/>
                    <w:adjustRightInd w:val="0"/>
                    <w:snapToGrid w:val="0"/>
                    <w:jc w:val="center"/>
                    <w:rPr>
                      <w:rFonts w:ascii="Times New Roman" w:hAnsi="Times New Roman" w:eastAsia="宋体"/>
                      <w:b/>
                      <w:color w:val="auto"/>
                      <w:sz w:val="21"/>
                      <w:szCs w:val="21"/>
                    </w:rPr>
                  </w:pPr>
                  <w:r>
                    <w:rPr>
                      <w:rFonts w:ascii="Times New Roman" w:hAnsi="Times New Roman" w:eastAsia="宋体"/>
                      <w:b/>
                      <w:color w:val="auto"/>
                      <w:sz w:val="21"/>
                      <w:szCs w:val="21"/>
                    </w:rPr>
                    <w:t>污染物</w:t>
                  </w:r>
                </w:p>
              </w:tc>
              <w:tc>
                <w:tcPr>
                  <w:tcW w:w="1798" w:type="pct"/>
                  <w:tcBorders>
                    <w:tl2br w:val="nil"/>
                    <w:tr2bl w:val="nil"/>
                  </w:tcBorders>
                  <w:vAlign w:val="center"/>
                </w:tcPr>
                <w:p w14:paraId="24547ED8">
                  <w:pPr>
                    <w:pStyle w:val="16"/>
                    <w:keepNext/>
                    <w:adjustRightInd w:val="0"/>
                    <w:snapToGrid w:val="0"/>
                    <w:jc w:val="center"/>
                    <w:rPr>
                      <w:rFonts w:ascii="Times New Roman" w:hAnsi="Times New Roman" w:eastAsia="宋体"/>
                      <w:b/>
                      <w:color w:val="auto"/>
                      <w:sz w:val="21"/>
                      <w:szCs w:val="21"/>
                    </w:rPr>
                  </w:pPr>
                  <w:r>
                    <w:rPr>
                      <w:rFonts w:ascii="Times New Roman" w:hAnsi="Times New Roman" w:eastAsia="宋体"/>
                      <w:b/>
                      <w:color w:val="auto"/>
                      <w:sz w:val="21"/>
                      <w:szCs w:val="21"/>
                    </w:rPr>
                    <w:t>标准</w:t>
                  </w:r>
                </w:p>
              </w:tc>
              <w:tc>
                <w:tcPr>
                  <w:tcW w:w="1448" w:type="pct"/>
                  <w:tcBorders>
                    <w:tl2br w:val="nil"/>
                    <w:tr2bl w:val="nil"/>
                  </w:tcBorders>
                  <w:vAlign w:val="center"/>
                </w:tcPr>
                <w:p w14:paraId="3F469E1D">
                  <w:pPr>
                    <w:pStyle w:val="16"/>
                    <w:keepNext/>
                    <w:adjustRightInd w:val="0"/>
                    <w:snapToGrid w:val="0"/>
                    <w:jc w:val="center"/>
                    <w:rPr>
                      <w:rFonts w:ascii="Times New Roman" w:hAnsi="Times New Roman" w:eastAsia="宋体"/>
                      <w:b/>
                      <w:color w:val="auto"/>
                      <w:sz w:val="21"/>
                      <w:szCs w:val="21"/>
                    </w:rPr>
                  </w:pPr>
                  <w:r>
                    <w:rPr>
                      <w:rFonts w:ascii="Times New Roman" w:hAnsi="Times New Roman" w:eastAsia="宋体"/>
                      <w:b/>
                      <w:color w:val="auto"/>
                      <w:sz w:val="21"/>
                      <w:szCs w:val="21"/>
                    </w:rPr>
                    <w:t>污染物排放标准</w:t>
                  </w:r>
                </w:p>
              </w:tc>
            </w:tr>
            <w:tr w14:paraId="6280082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753" w:type="pct"/>
                  <w:tcBorders>
                    <w:tl2br w:val="nil"/>
                    <w:tr2bl w:val="nil"/>
                  </w:tcBorders>
                  <w:vAlign w:val="center"/>
                </w:tcPr>
                <w:p w14:paraId="0A3EE3CA">
                  <w:pPr>
                    <w:pStyle w:val="16"/>
                    <w:keepNext/>
                    <w:adjustRightInd w:val="0"/>
                    <w:snapToGrid w:val="0"/>
                    <w:jc w:val="center"/>
                    <w:rPr>
                      <w:rFonts w:ascii="Times New Roman" w:hAnsi="Times New Roman" w:eastAsia="宋体"/>
                      <w:bCs/>
                      <w:color w:val="auto"/>
                      <w:sz w:val="21"/>
                      <w:szCs w:val="21"/>
                    </w:rPr>
                  </w:pPr>
                  <w:r>
                    <w:rPr>
                      <w:rFonts w:ascii="Times New Roman" w:hAnsi="Times New Roman" w:eastAsia="宋体"/>
                      <w:bCs/>
                      <w:color w:val="auto"/>
                      <w:sz w:val="21"/>
                      <w:szCs w:val="21"/>
                    </w:rPr>
                    <w:t>COD</w:t>
                  </w:r>
                </w:p>
              </w:tc>
              <w:tc>
                <w:tcPr>
                  <w:tcW w:w="1798" w:type="pct"/>
                  <w:vMerge w:val="restart"/>
                  <w:tcBorders>
                    <w:tl2br w:val="nil"/>
                    <w:tr2bl w:val="nil"/>
                  </w:tcBorders>
                  <w:vAlign w:val="center"/>
                </w:tcPr>
                <w:p w14:paraId="00E5616D">
                  <w:pPr>
                    <w:pStyle w:val="16"/>
                    <w:keepNext/>
                    <w:adjustRightInd w:val="0"/>
                    <w:snapToGrid w:val="0"/>
                    <w:jc w:val="center"/>
                    <w:rPr>
                      <w:rFonts w:ascii="Times New Roman" w:hAnsi="Times New Roman" w:eastAsia="宋体"/>
                      <w:bCs/>
                      <w:color w:val="auto"/>
                      <w:sz w:val="21"/>
                      <w:szCs w:val="21"/>
                    </w:rPr>
                  </w:pPr>
                  <w:r>
                    <w:rPr>
                      <w:rFonts w:ascii="Times New Roman" w:hAnsi="Times New Roman" w:eastAsia="宋体"/>
                      <w:bCs/>
                      <w:color w:val="auto"/>
                      <w:sz w:val="21"/>
                      <w:szCs w:val="21"/>
                    </w:rPr>
                    <w:t>《城镇污水处理厂污染物排放标准》（DB32/4440-2022）</w:t>
                  </w:r>
                </w:p>
              </w:tc>
              <w:tc>
                <w:tcPr>
                  <w:tcW w:w="1448" w:type="pct"/>
                  <w:tcBorders>
                    <w:tl2br w:val="nil"/>
                    <w:tr2bl w:val="nil"/>
                  </w:tcBorders>
                  <w:vAlign w:val="center"/>
                </w:tcPr>
                <w:p w14:paraId="54B1575B">
                  <w:pPr>
                    <w:pStyle w:val="16"/>
                    <w:keepNext/>
                    <w:adjustRightInd w:val="0"/>
                    <w:snapToGrid w:val="0"/>
                    <w:jc w:val="center"/>
                    <w:rPr>
                      <w:rFonts w:ascii="Times New Roman" w:hAnsi="Times New Roman" w:eastAsia="宋体"/>
                      <w:bCs/>
                      <w:color w:val="auto"/>
                      <w:sz w:val="21"/>
                      <w:szCs w:val="21"/>
                    </w:rPr>
                  </w:pPr>
                  <w:r>
                    <w:rPr>
                      <w:rFonts w:ascii="Times New Roman" w:hAnsi="Times New Roman" w:eastAsia="宋体"/>
                      <w:bCs/>
                      <w:color w:val="auto"/>
                      <w:sz w:val="21"/>
                      <w:szCs w:val="21"/>
                    </w:rPr>
                    <w:t>50</w:t>
                  </w:r>
                </w:p>
              </w:tc>
            </w:tr>
            <w:tr w14:paraId="3919EAA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753" w:type="pct"/>
                  <w:tcBorders>
                    <w:tl2br w:val="nil"/>
                    <w:tr2bl w:val="nil"/>
                  </w:tcBorders>
                  <w:vAlign w:val="center"/>
                </w:tcPr>
                <w:p w14:paraId="118B8EF0">
                  <w:pPr>
                    <w:pStyle w:val="16"/>
                    <w:keepNext/>
                    <w:adjustRightInd w:val="0"/>
                    <w:snapToGrid w:val="0"/>
                    <w:jc w:val="center"/>
                    <w:rPr>
                      <w:rFonts w:ascii="Times New Roman" w:hAnsi="Times New Roman" w:eastAsia="宋体"/>
                      <w:bCs/>
                      <w:color w:val="auto"/>
                      <w:sz w:val="21"/>
                      <w:szCs w:val="21"/>
                    </w:rPr>
                  </w:pPr>
                  <w:r>
                    <w:rPr>
                      <w:rFonts w:ascii="Times New Roman" w:hAnsi="Times New Roman" w:eastAsia="宋体"/>
                      <w:bCs/>
                      <w:color w:val="auto"/>
                      <w:sz w:val="21"/>
                      <w:szCs w:val="21"/>
                    </w:rPr>
                    <w:t>NH</w:t>
                  </w:r>
                  <w:r>
                    <w:rPr>
                      <w:rFonts w:ascii="Times New Roman" w:hAnsi="Times New Roman" w:eastAsia="宋体"/>
                      <w:bCs/>
                      <w:color w:val="auto"/>
                      <w:sz w:val="21"/>
                      <w:szCs w:val="21"/>
                      <w:vertAlign w:val="subscript"/>
                    </w:rPr>
                    <w:t>3</w:t>
                  </w:r>
                  <w:r>
                    <w:rPr>
                      <w:rFonts w:ascii="Times New Roman" w:hAnsi="Times New Roman" w:eastAsia="宋体"/>
                      <w:bCs/>
                      <w:color w:val="auto"/>
                      <w:sz w:val="21"/>
                      <w:szCs w:val="21"/>
                    </w:rPr>
                    <w:t>-N</w:t>
                  </w:r>
                </w:p>
              </w:tc>
              <w:tc>
                <w:tcPr>
                  <w:tcW w:w="1798" w:type="pct"/>
                  <w:vMerge w:val="continue"/>
                  <w:tcBorders>
                    <w:tl2br w:val="nil"/>
                    <w:tr2bl w:val="nil"/>
                  </w:tcBorders>
                  <w:vAlign w:val="center"/>
                </w:tcPr>
                <w:p w14:paraId="737F6EA2">
                  <w:pPr>
                    <w:pStyle w:val="16"/>
                    <w:keepNext/>
                    <w:adjustRightInd w:val="0"/>
                    <w:snapToGrid w:val="0"/>
                    <w:jc w:val="center"/>
                    <w:rPr>
                      <w:rFonts w:ascii="Times New Roman" w:hAnsi="Times New Roman" w:eastAsia="宋体"/>
                      <w:bCs/>
                      <w:color w:val="auto"/>
                      <w:sz w:val="21"/>
                      <w:szCs w:val="21"/>
                    </w:rPr>
                  </w:pPr>
                </w:p>
              </w:tc>
              <w:tc>
                <w:tcPr>
                  <w:tcW w:w="1448" w:type="pct"/>
                  <w:tcBorders>
                    <w:tl2br w:val="nil"/>
                    <w:tr2bl w:val="nil"/>
                  </w:tcBorders>
                  <w:vAlign w:val="center"/>
                </w:tcPr>
                <w:p w14:paraId="0B1483D1">
                  <w:pPr>
                    <w:pStyle w:val="16"/>
                    <w:keepNext/>
                    <w:adjustRightInd w:val="0"/>
                    <w:snapToGrid w:val="0"/>
                    <w:jc w:val="center"/>
                    <w:rPr>
                      <w:rFonts w:ascii="Times New Roman" w:hAnsi="Times New Roman" w:eastAsia="宋体"/>
                      <w:bCs/>
                      <w:color w:val="auto"/>
                      <w:sz w:val="21"/>
                      <w:szCs w:val="21"/>
                    </w:rPr>
                  </w:pPr>
                  <w:r>
                    <w:rPr>
                      <w:rFonts w:ascii="Times New Roman" w:hAnsi="Times New Roman" w:eastAsia="宋体"/>
                      <w:bCs/>
                      <w:color w:val="auto"/>
                      <w:sz w:val="21"/>
                      <w:szCs w:val="21"/>
                    </w:rPr>
                    <w:t>4（6）*</w:t>
                  </w:r>
                </w:p>
              </w:tc>
            </w:tr>
            <w:tr w14:paraId="4545408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753" w:type="pct"/>
                  <w:tcBorders>
                    <w:tl2br w:val="nil"/>
                    <w:tr2bl w:val="nil"/>
                  </w:tcBorders>
                  <w:vAlign w:val="center"/>
                </w:tcPr>
                <w:p w14:paraId="42563FBB">
                  <w:pPr>
                    <w:pStyle w:val="16"/>
                    <w:keepNext/>
                    <w:adjustRightInd w:val="0"/>
                    <w:snapToGrid w:val="0"/>
                    <w:jc w:val="center"/>
                    <w:rPr>
                      <w:rFonts w:ascii="Times New Roman" w:hAnsi="Times New Roman" w:eastAsia="宋体"/>
                      <w:bCs/>
                      <w:color w:val="auto"/>
                      <w:sz w:val="21"/>
                      <w:szCs w:val="21"/>
                    </w:rPr>
                  </w:pPr>
                  <w:r>
                    <w:rPr>
                      <w:rFonts w:ascii="Times New Roman" w:hAnsi="Times New Roman" w:eastAsia="宋体"/>
                      <w:bCs/>
                      <w:color w:val="auto"/>
                      <w:sz w:val="21"/>
                      <w:szCs w:val="21"/>
                    </w:rPr>
                    <w:t>TP</w:t>
                  </w:r>
                </w:p>
              </w:tc>
              <w:tc>
                <w:tcPr>
                  <w:tcW w:w="1798" w:type="pct"/>
                  <w:vMerge w:val="continue"/>
                  <w:tcBorders>
                    <w:tl2br w:val="nil"/>
                    <w:tr2bl w:val="nil"/>
                  </w:tcBorders>
                  <w:vAlign w:val="center"/>
                </w:tcPr>
                <w:p w14:paraId="7EAC6337">
                  <w:pPr>
                    <w:pStyle w:val="16"/>
                    <w:keepNext/>
                    <w:adjustRightInd w:val="0"/>
                    <w:snapToGrid w:val="0"/>
                    <w:jc w:val="center"/>
                    <w:rPr>
                      <w:rFonts w:ascii="Times New Roman" w:hAnsi="Times New Roman" w:eastAsia="宋体"/>
                      <w:bCs/>
                      <w:color w:val="auto"/>
                      <w:sz w:val="21"/>
                      <w:szCs w:val="21"/>
                    </w:rPr>
                  </w:pPr>
                </w:p>
              </w:tc>
              <w:tc>
                <w:tcPr>
                  <w:tcW w:w="1448" w:type="pct"/>
                  <w:tcBorders>
                    <w:tl2br w:val="nil"/>
                    <w:tr2bl w:val="nil"/>
                  </w:tcBorders>
                  <w:vAlign w:val="center"/>
                </w:tcPr>
                <w:p w14:paraId="283ABB2C">
                  <w:pPr>
                    <w:pStyle w:val="16"/>
                    <w:keepNext/>
                    <w:adjustRightInd w:val="0"/>
                    <w:snapToGrid w:val="0"/>
                    <w:jc w:val="center"/>
                    <w:rPr>
                      <w:rFonts w:ascii="Times New Roman" w:hAnsi="Times New Roman" w:eastAsia="宋体"/>
                      <w:bCs/>
                      <w:color w:val="auto"/>
                      <w:sz w:val="21"/>
                      <w:szCs w:val="21"/>
                    </w:rPr>
                  </w:pPr>
                  <w:r>
                    <w:rPr>
                      <w:rFonts w:ascii="Times New Roman" w:hAnsi="Times New Roman" w:eastAsia="宋体"/>
                      <w:bCs/>
                      <w:color w:val="auto"/>
                      <w:sz w:val="21"/>
                      <w:szCs w:val="21"/>
                    </w:rPr>
                    <w:t>0.5</w:t>
                  </w:r>
                </w:p>
              </w:tc>
            </w:tr>
            <w:tr w14:paraId="61019DB3">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753" w:type="pct"/>
                  <w:tcBorders>
                    <w:tl2br w:val="nil"/>
                    <w:tr2bl w:val="nil"/>
                  </w:tcBorders>
                  <w:vAlign w:val="center"/>
                </w:tcPr>
                <w:p w14:paraId="0D1CF2E3">
                  <w:pPr>
                    <w:pStyle w:val="16"/>
                    <w:keepNext/>
                    <w:adjustRightInd w:val="0"/>
                    <w:snapToGrid w:val="0"/>
                    <w:jc w:val="center"/>
                    <w:rPr>
                      <w:rFonts w:ascii="Times New Roman" w:hAnsi="Times New Roman" w:eastAsia="宋体"/>
                      <w:bCs/>
                      <w:color w:val="auto"/>
                      <w:sz w:val="21"/>
                      <w:szCs w:val="21"/>
                    </w:rPr>
                  </w:pPr>
                  <w:r>
                    <w:rPr>
                      <w:rFonts w:ascii="Times New Roman" w:hAnsi="Times New Roman" w:eastAsia="宋体"/>
                      <w:bCs/>
                      <w:color w:val="auto"/>
                      <w:sz w:val="21"/>
                      <w:szCs w:val="21"/>
                    </w:rPr>
                    <w:t>TN</w:t>
                  </w:r>
                </w:p>
              </w:tc>
              <w:tc>
                <w:tcPr>
                  <w:tcW w:w="1798" w:type="pct"/>
                  <w:vMerge w:val="continue"/>
                  <w:tcBorders>
                    <w:tl2br w:val="nil"/>
                    <w:tr2bl w:val="nil"/>
                  </w:tcBorders>
                  <w:vAlign w:val="center"/>
                </w:tcPr>
                <w:p w14:paraId="2D3C5E48">
                  <w:pPr>
                    <w:pStyle w:val="16"/>
                    <w:keepNext/>
                    <w:adjustRightInd w:val="0"/>
                    <w:snapToGrid w:val="0"/>
                    <w:jc w:val="center"/>
                    <w:rPr>
                      <w:rFonts w:ascii="Times New Roman" w:hAnsi="Times New Roman" w:eastAsia="宋体"/>
                      <w:bCs/>
                      <w:color w:val="auto"/>
                      <w:sz w:val="21"/>
                      <w:szCs w:val="21"/>
                    </w:rPr>
                  </w:pPr>
                </w:p>
              </w:tc>
              <w:tc>
                <w:tcPr>
                  <w:tcW w:w="1448" w:type="pct"/>
                  <w:tcBorders>
                    <w:tl2br w:val="nil"/>
                    <w:tr2bl w:val="nil"/>
                  </w:tcBorders>
                  <w:vAlign w:val="center"/>
                </w:tcPr>
                <w:p w14:paraId="6B5BCA5D">
                  <w:pPr>
                    <w:pStyle w:val="16"/>
                    <w:keepNext/>
                    <w:adjustRightInd w:val="0"/>
                    <w:snapToGrid w:val="0"/>
                    <w:jc w:val="center"/>
                    <w:rPr>
                      <w:rFonts w:ascii="Times New Roman" w:hAnsi="Times New Roman" w:eastAsia="宋体"/>
                      <w:bCs/>
                      <w:color w:val="auto"/>
                      <w:sz w:val="21"/>
                      <w:szCs w:val="21"/>
                    </w:rPr>
                  </w:pPr>
                  <w:r>
                    <w:rPr>
                      <w:rFonts w:ascii="Times New Roman" w:hAnsi="Times New Roman" w:eastAsia="宋体"/>
                      <w:bCs/>
                      <w:color w:val="auto"/>
                      <w:sz w:val="21"/>
                      <w:szCs w:val="21"/>
                    </w:rPr>
                    <w:t>12（15）*</w:t>
                  </w:r>
                </w:p>
              </w:tc>
            </w:tr>
            <w:tr w14:paraId="454F5EE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753" w:type="pct"/>
                  <w:tcBorders>
                    <w:tl2br w:val="nil"/>
                    <w:tr2bl w:val="nil"/>
                  </w:tcBorders>
                  <w:vAlign w:val="center"/>
                </w:tcPr>
                <w:p w14:paraId="37D7749B">
                  <w:pPr>
                    <w:pStyle w:val="16"/>
                    <w:keepNext/>
                    <w:adjustRightInd w:val="0"/>
                    <w:snapToGrid w:val="0"/>
                    <w:jc w:val="center"/>
                    <w:rPr>
                      <w:rFonts w:ascii="Times New Roman" w:hAnsi="Times New Roman" w:eastAsia="宋体"/>
                      <w:bCs/>
                      <w:color w:val="auto"/>
                      <w:sz w:val="21"/>
                      <w:szCs w:val="21"/>
                    </w:rPr>
                  </w:pPr>
                  <w:r>
                    <w:rPr>
                      <w:rFonts w:ascii="Times New Roman" w:hAnsi="Times New Roman" w:eastAsia="宋体"/>
                      <w:bCs/>
                      <w:color w:val="auto"/>
                      <w:sz w:val="21"/>
                      <w:szCs w:val="21"/>
                    </w:rPr>
                    <w:t>pH值（无量纲）</w:t>
                  </w:r>
                </w:p>
              </w:tc>
              <w:tc>
                <w:tcPr>
                  <w:tcW w:w="1798" w:type="pct"/>
                  <w:vMerge w:val="continue"/>
                  <w:tcBorders>
                    <w:tl2br w:val="nil"/>
                    <w:tr2bl w:val="nil"/>
                  </w:tcBorders>
                  <w:vAlign w:val="center"/>
                </w:tcPr>
                <w:p w14:paraId="6EB8E048">
                  <w:pPr>
                    <w:pStyle w:val="16"/>
                    <w:keepNext/>
                    <w:adjustRightInd w:val="0"/>
                    <w:snapToGrid w:val="0"/>
                    <w:jc w:val="center"/>
                    <w:rPr>
                      <w:rFonts w:ascii="Times New Roman" w:hAnsi="Times New Roman" w:eastAsia="宋体"/>
                      <w:bCs/>
                      <w:color w:val="auto"/>
                      <w:sz w:val="21"/>
                      <w:szCs w:val="21"/>
                    </w:rPr>
                  </w:pPr>
                </w:p>
              </w:tc>
              <w:tc>
                <w:tcPr>
                  <w:tcW w:w="1448" w:type="pct"/>
                  <w:tcBorders>
                    <w:tl2br w:val="nil"/>
                    <w:tr2bl w:val="nil"/>
                  </w:tcBorders>
                  <w:vAlign w:val="center"/>
                </w:tcPr>
                <w:p w14:paraId="23F8101D">
                  <w:pPr>
                    <w:pStyle w:val="16"/>
                    <w:keepNext/>
                    <w:adjustRightInd w:val="0"/>
                    <w:snapToGrid w:val="0"/>
                    <w:jc w:val="center"/>
                    <w:rPr>
                      <w:rFonts w:ascii="Times New Roman" w:hAnsi="Times New Roman" w:eastAsia="宋体"/>
                      <w:bCs/>
                      <w:color w:val="auto"/>
                      <w:sz w:val="21"/>
                      <w:szCs w:val="21"/>
                    </w:rPr>
                  </w:pPr>
                  <w:r>
                    <w:rPr>
                      <w:rFonts w:ascii="Times New Roman" w:hAnsi="Times New Roman" w:eastAsia="宋体"/>
                      <w:bCs/>
                      <w:color w:val="auto"/>
                      <w:sz w:val="21"/>
                      <w:szCs w:val="21"/>
                    </w:rPr>
                    <w:t>6-9</w:t>
                  </w:r>
                </w:p>
              </w:tc>
            </w:tr>
            <w:tr w14:paraId="731A20A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753" w:type="pct"/>
                  <w:tcBorders>
                    <w:tl2br w:val="nil"/>
                    <w:tr2bl w:val="nil"/>
                  </w:tcBorders>
                  <w:vAlign w:val="center"/>
                </w:tcPr>
                <w:p w14:paraId="70BDC61E">
                  <w:pPr>
                    <w:pStyle w:val="16"/>
                    <w:keepNext/>
                    <w:adjustRightInd w:val="0"/>
                    <w:snapToGrid w:val="0"/>
                    <w:jc w:val="center"/>
                    <w:rPr>
                      <w:rFonts w:ascii="Times New Roman" w:hAnsi="Times New Roman" w:eastAsia="宋体"/>
                      <w:bCs/>
                      <w:color w:val="auto"/>
                      <w:sz w:val="21"/>
                      <w:szCs w:val="21"/>
                    </w:rPr>
                  </w:pPr>
                  <w:r>
                    <w:rPr>
                      <w:rFonts w:ascii="Times New Roman" w:hAnsi="Times New Roman" w:eastAsia="宋体"/>
                      <w:bCs/>
                      <w:color w:val="auto"/>
                      <w:sz w:val="21"/>
                      <w:szCs w:val="21"/>
                    </w:rPr>
                    <w:t>SS</w:t>
                  </w:r>
                </w:p>
              </w:tc>
              <w:tc>
                <w:tcPr>
                  <w:tcW w:w="1798" w:type="pct"/>
                  <w:vMerge w:val="continue"/>
                  <w:tcBorders>
                    <w:tl2br w:val="nil"/>
                    <w:tr2bl w:val="nil"/>
                  </w:tcBorders>
                  <w:vAlign w:val="center"/>
                </w:tcPr>
                <w:p w14:paraId="638E8D92">
                  <w:pPr>
                    <w:pStyle w:val="16"/>
                    <w:keepNext/>
                    <w:adjustRightInd w:val="0"/>
                    <w:snapToGrid w:val="0"/>
                    <w:jc w:val="center"/>
                    <w:rPr>
                      <w:rFonts w:ascii="Times New Roman" w:hAnsi="Times New Roman" w:eastAsia="宋体"/>
                      <w:bCs/>
                      <w:color w:val="auto"/>
                      <w:sz w:val="21"/>
                      <w:szCs w:val="21"/>
                    </w:rPr>
                  </w:pPr>
                </w:p>
              </w:tc>
              <w:tc>
                <w:tcPr>
                  <w:tcW w:w="1448" w:type="pct"/>
                  <w:tcBorders>
                    <w:tl2br w:val="nil"/>
                    <w:tr2bl w:val="nil"/>
                  </w:tcBorders>
                  <w:vAlign w:val="center"/>
                </w:tcPr>
                <w:p w14:paraId="7A4C8BF9">
                  <w:pPr>
                    <w:pStyle w:val="16"/>
                    <w:keepNext/>
                    <w:adjustRightInd w:val="0"/>
                    <w:snapToGrid w:val="0"/>
                    <w:jc w:val="center"/>
                    <w:rPr>
                      <w:rFonts w:ascii="Times New Roman" w:hAnsi="Times New Roman" w:eastAsia="宋体"/>
                      <w:bCs/>
                      <w:color w:val="auto"/>
                      <w:sz w:val="21"/>
                      <w:szCs w:val="21"/>
                    </w:rPr>
                  </w:pPr>
                  <w:r>
                    <w:rPr>
                      <w:rFonts w:ascii="Times New Roman" w:hAnsi="Times New Roman" w:eastAsia="宋体"/>
                      <w:bCs/>
                      <w:color w:val="auto"/>
                      <w:sz w:val="21"/>
                      <w:szCs w:val="21"/>
                    </w:rPr>
                    <w:t>10</w:t>
                  </w:r>
                </w:p>
              </w:tc>
            </w:tr>
            <w:tr w14:paraId="32F50AA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5000" w:type="pct"/>
                  <w:gridSpan w:val="3"/>
                  <w:tcBorders>
                    <w:tl2br w:val="nil"/>
                    <w:tr2bl w:val="nil"/>
                  </w:tcBorders>
                  <w:vAlign w:val="center"/>
                </w:tcPr>
                <w:p w14:paraId="5DE55D3C">
                  <w:pPr>
                    <w:adjustRightInd w:val="0"/>
                    <w:snapToGrid w:val="0"/>
                    <w:rPr>
                      <w:bCs/>
                      <w:color w:val="auto"/>
                    </w:rPr>
                  </w:pPr>
                  <w:r>
                    <w:rPr>
                      <w:b/>
                      <w:color w:val="auto"/>
                    </w:rPr>
                    <w:t>注*：每年11月1日至次年3月31日执行括号内排放限值。</w:t>
                  </w:r>
                </w:p>
              </w:tc>
            </w:tr>
          </w:tbl>
          <w:p w14:paraId="6D8E417A">
            <w:pPr>
              <w:pStyle w:val="16"/>
              <w:keepNext/>
              <w:adjustRightInd w:val="0"/>
              <w:snapToGrid w:val="0"/>
              <w:jc w:val="center"/>
              <w:rPr>
                <w:rFonts w:ascii="Times New Roman" w:hAnsi="Times New Roman" w:eastAsia="宋体"/>
                <w:b/>
                <w:color w:val="auto"/>
                <w:sz w:val="21"/>
                <w:szCs w:val="21"/>
              </w:rPr>
            </w:pPr>
            <w:r>
              <w:rPr>
                <w:rFonts w:ascii="Times New Roman" w:hAnsi="Times New Roman" w:eastAsia="宋体"/>
                <w:b/>
                <w:color w:val="auto"/>
                <w:sz w:val="21"/>
                <w:szCs w:val="21"/>
              </w:rPr>
              <w:t>表3-</w:t>
            </w:r>
            <w:r>
              <w:rPr>
                <w:rFonts w:hint="eastAsia" w:ascii="Times New Roman" w:hAnsi="Times New Roman" w:eastAsia="宋体"/>
                <w:b/>
                <w:color w:val="auto"/>
                <w:sz w:val="21"/>
                <w:szCs w:val="21"/>
              </w:rPr>
              <w:t>1</w:t>
            </w:r>
            <w:r>
              <w:rPr>
                <w:rFonts w:hint="eastAsia" w:ascii="Times New Roman" w:hAnsi="Times New Roman" w:eastAsia="宋体"/>
                <w:b/>
                <w:color w:val="auto"/>
                <w:sz w:val="21"/>
                <w:szCs w:val="21"/>
                <w:lang w:val="en-US" w:eastAsia="zh-CN"/>
              </w:rPr>
              <w:t>1</w:t>
            </w:r>
            <w:r>
              <w:rPr>
                <w:rFonts w:ascii="Times New Roman" w:hAnsi="Times New Roman" w:eastAsia="宋体"/>
                <w:b/>
                <w:color w:val="auto"/>
                <w:sz w:val="21"/>
                <w:szCs w:val="21"/>
              </w:rPr>
              <w:t xml:space="preserve">   </w:t>
            </w:r>
            <w:r>
              <w:rPr>
                <w:rFonts w:hint="eastAsia" w:ascii="Times New Roman" w:hAnsi="Times New Roman" w:eastAsia="宋体"/>
                <w:b/>
                <w:color w:val="auto"/>
                <w:sz w:val="21"/>
                <w:szCs w:val="21"/>
              </w:rPr>
              <w:t>常州金坛区第二污水处理有限公司</w:t>
            </w:r>
            <w:r>
              <w:rPr>
                <w:rFonts w:ascii="Times New Roman" w:hAnsi="Times New Roman" w:eastAsia="宋体"/>
                <w:b/>
                <w:color w:val="auto"/>
                <w:sz w:val="21"/>
                <w:szCs w:val="21"/>
              </w:rPr>
              <w:t>四项主要常规污染物一次监测排放限值 单位：mg/L</w:t>
            </w:r>
          </w:p>
          <w:tbl>
            <w:tblPr>
              <w:tblStyle w:val="59"/>
              <w:tblW w:w="5000"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3060"/>
              <w:gridCol w:w="3139"/>
              <w:gridCol w:w="2530"/>
            </w:tblGrid>
            <w:tr w14:paraId="55C3C2B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PrEx>
              <w:trPr>
                <w:jc w:val="center"/>
              </w:trPr>
              <w:tc>
                <w:tcPr>
                  <w:tcW w:w="1753" w:type="pct"/>
                  <w:tcBorders>
                    <w:tl2br w:val="nil"/>
                    <w:tr2bl w:val="nil"/>
                  </w:tcBorders>
                  <w:vAlign w:val="center"/>
                </w:tcPr>
                <w:p w14:paraId="5B4A239B">
                  <w:pPr>
                    <w:adjustRightInd w:val="0"/>
                    <w:snapToGrid w:val="0"/>
                    <w:jc w:val="center"/>
                    <w:rPr>
                      <w:b/>
                      <w:bCs/>
                      <w:color w:val="auto"/>
                    </w:rPr>
                  </w:pPr>
                  <w:r>
                    <w:rPr>
                      <w:b/>
                      <w:bCs/>
                      <w:color w:val="auto"/>
                    </w:rPr>
                    <w:t>污染物</w:t>
                  </w:r>
                </w:p>
              </w:tc>
              <w:tc>
                <w:tcPr>
                  <w:tcW w:w="1798" w:type="pct"/>
                  <w:tcBorders>
                    <w:tl2br w:val="nil"/>
                    <w:tr2bl w:val="nil"/>
                  </w:tcBorders>
                  <w:vAlign w:val="center"/>
                </w:tcPr>
                <w:p w14:paraId="60FD4B48">
                  <w:pPr>
                    <w:adjustRightInd w:val="0"/>
                    <w:snapToGrid w:val="0"/>
                    <w:jc w:val="center"/>
                    <w:rPr>
                      <w:b/>
                      <w:bCs/>
                      <w:color w:val="auto"/>
                    </w:rPr>
                  </w:pPr>
                  <w:r>
                    <w:rPr>
                      <w:b/>
                      <w:bCs/>
                      <w:color w:val="auto"/>
                    </w:rPr>
                    <w:t>标准</w:t>
                  </w:r>
                </w:p>
              </w:tc>
              <w:tc>
                <w:tcPr>
                  <w:tcW w:w="1448" w:type="pct"/>
                  <w:tcBorders>
                    <w:tl2br w:val="nil"/>
                    <w:tr2bl w:val="nil"/>
                  </w:tcBorders>
                  <w:vAlign w:val="center"/>
                </w:tcPr>
                <w:p w14:paraId="379A07F0">
                  <w:pPr>
                    <w:adjustRightInd w:val="0"/>
                    <w:snapToGrid w:val="0"/>
                    <w:jc w:val="center"/>
                    <w:rPr>
                      <w:b/>
                      <w:bCs/>
                      <w:color w:val="auto"/>
                    </w:rPr>
                  </w:pPr>
                  <w:r>
                    <w:rPr>
                      <w:b/>
                      <w:bCs/>
                      <w:color w:val="auto"/>
                    </w:rPr>
                    <w:t>污染物排放标准</w:t>
                  </w:r>
                </w:p>
              </w:tc>
            </w:tr>
            <w:tr w14:paraId="3A01B60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753" w:type="pct"/>
                  <w:tcBorders>
                    <w:tl2br w:val="nil"/>
                    <w:tr2bl w:val="nil"/>
                  </w:tcBorders>
                  <w:vAlign w:val="center"/>
                </w:tcPr>
                <w:p w14:paraId="04CCE871">
                  <w:pPr>
                    <w:adjustRightInd w:val="0"/>
                    <w:snapToGrid w:val="0"/>
                    <w:jc w:val="center"/>
                    <w:rPr>
                      <w:color w:val="auto"/>
                    </w:rPr>
                  </w:pPr>
                  <w:r>
                    <w:rPr>
                      <w:color w:val="auto"/>
                    </w:rPr>
                    <w:t>COD</w:t>
                  </w:r>
                </w:p>
              </w:tc>
              <w:tc>
                <w:tcPr>
                  <w:tcW w:w="1798" w:type="pct"/>
                  <w:vMerge w:val="restart"/>
                  <w:tcBorders>
                    <w:tl2br w:val="nil"/>
                    <w:tr2bl w:val="nil"/>
                  </w:tcBorders>
                  <w:vAlign w:val="center"/>
                </w:tcPr>
                <w:p w14:paraId="449DA3B6">
                  <w:pPr>
                    <w:adjustRightInd w:val="0"/>
                    <w:snapToGrid w:val="0"/>
                    <w:jc w:val="center"/>
                    <w:rPr>
                      <w:color w:val="auto"/>
                    </w:rPr>
                  </w:pPr>
                  <w:r>
                    <w:rPr>
                      <w:color w:val="auto"/>
                    </w:rPr>
                    <w:t>《城镇污水处理厂污染物排放标准》（DB32/4440-2022）</w:t>
                  </w:r>
                </w:p>
              </w:tc>
              <w:tc>
                <w:tcPr>
                  <w:tcW w:w="1448" w:type="pct"/>
                  <w:tcBorders>
                    <w:tl2br w:val="nil"/>
                    <w:tr2bl w:val="nil"/>
                  </w:tcBorders>
                  <w:vAlign w:val="center"/>
                </w:tcPr>
                <w:p w14:paraId="7DD2B917">
                  <w:pPr>
                    <w:adjustRightInd w:val="0"/>
                    <w:snapToGrid w:val="0"/>
                    <w:jc w:val="center"/>
                    <w:rPr>
                      <w:color w:val="auto"/>
                    </w:rPr>
                  </w:pPr>
                  <w:r>
                    <w:rPr>
                      <w:color w:val="auto"/>
                    </w:rPr>
                    <w:t>75</w:t>
                  </w:r>
                </w:p>
              </w:tc>
            </w:tr>
            <w:tr w14:paraId="2C6A37CF">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753" w:type="pct"/>
                  <w:tcBorders>
                    <w:tl2br w:val="nil"/>
                    <w:tr2bl w:val="nil"/>
                  </w:tcBorders>
                  <w:vAlign w:val="center"/>
                </w:tcPr>
                <w:p w14:paraId="167B48A0">
                  <w:pPr>
                    <w:adjustRightInd w:val="0"/>
                    <w:snapToGrid w:val="0"/>
                    <w:jc w:val="center"/>
                    <w:rPr>
                      <w:color w:val="auto"/>
                    </w:rPr>
                  </w:pPr>
                  <w:r>
                    <w:rPr>
                      <w:color w:val="auto"/>
                    </w:rPr>
                    <w:t>NH</w:t>
                  </w:r>
                  <w:r>
                    <w:rPr>
                      <w:color w:val="auto"/>
                      <w:vertAlign w:val="subscript"/>
                    </w:rPr>
                    <w:t>3</w:t>
                  </w:r>
                  <w:r>
                    <w:rPr>
                      <w:color w:val="auto"/>
                    </w:rPr>
                    <w:t>-N</w:t>
                  </w:r>
                </w:p>
              </w:tc>
              <w:tc>
                <w:tcPr>
                  <w:tcW w:w="1798" w:type="pct"/>
                  <w:vMerge w:val="continue"/>
                  <w:tcBorders>
                    <w:tl2br w:val="nil"/>
                    <w:tr2bl w:val="nil"/>
                  </w:tcBorders>
                  <w:vAlign w:val="center"/>
                </w:tcPr>
                <w:p w14:paraId="14F784A9">
                  <w:pPr>
                    <w:adjustRightInd w:val="0"/>
                    <w:snapToGrid w:val="0"/>
                    <w:jc w:val="center"/>
                    <w:rPr>
                      <w:color w:val="auto"/>
                    </w:rPr>
                  </w:pPr>
                </w:p>
              </w:tc>
              <w:tc>
                <w:tcPr>
                  <w:tcW w:w="1448" w:type="pct"/>
                  <w:tcBorders>
                    <w:tl2br w:val="nil"/>
                    <w:tr2bl w:val="nil"/>
                  </w:tcBorders>
                  <w:vAlign w:val="center"/>
                </w:tcPr>
                <w:p w14:paraId="3B849E53">
                  <w:pPr>
                    <w:adjustRightInd w:val="0"/>
                    <w:snapToGrid w:val="0"/>
                    <w:jc w:val="center"/>
                    <w:rPr>
                      <w:color w:val="auto"/>
                    </w:rPr>
                  </w:pPr>
                  <w:r>
                    <w:rPr>
                      <w:color w:val="auto"/>
                    </w:rPr>
                    <w:t>8（12）*</w:t>
                  </w:r>
                </w:p>
              </w:tc>
            </w:tr>
            <w:tr w14:paraId="1B2EE13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753" w:type="pct"/>
                  <w:tcBorders>
                    <w:tl2br w:val="nil"/>
                    <w:tr2bl w:val="nil"/>
                  </w:tcBorders>
                  <w:vAlign w:val="center"/>
                </w:tcPr>
                <w:p w14:paraId="6152B759">
                  <w:pPr>
                    <w:adjustRightInd w:val="0"/>
                    <w:snapToGrid w:val="0"/>
                    <w:jc w:val="center"/>
                    <w:rPr>
                      <w:color w:val="auto"/>
                    </w:rPr>
                  </w:pPr>
                  <w:r>
                    <w:rPr>
                      <w:color w:val="auto"/>
                    </w:rPr>
                    <w:t>TP</w:t>
                  </w:r>
                </w:p>
              </w:tc>
              <w:tc>
                <w:tcPr>
                  <w:tcW w:w="1798" w:type="pct"/>
                  <w:vMerge w:val="continue"/>
                  <w:tcBorders>
                    <w:tl2br w:val="nil"/>
                    <w:tr2bl w:val="nil"/>
                  </w:tcBorders>
                  <w:vAlign w:val="center"/>
                </w:tcPr>
                <w:p w14:paraId="3DA317EF">
                  <w:pPr>
                    <w:adjustRightInd w:val="0"/>
                    <w:snapToGrid w:val="0"/>
                    <w:jc w:val="center"/>
                    <w:rPr>
                      <w:color w:val="auto"/>
                    </w:rPr>
                  </w:pPr>
                </w:p>
              </w:tc>
              <w:tc>
                <w:tcPr>
                  <w:tcW w:w="1448" w:type="pct"/>
                  <w:tcBorders>
                    <w:tl2br w:val="nil"/>
                    <w:tr2bl w:val="nil"/>
                  </w:tcBorders>
                  <w:vAlign w:val="center"/>
                </w:tcPr>
                <w:p w14:paraId="4373560E">
                  <w:pPr>
                    <w:adjustRightInd w:val="0"/>
                    <w:snapToGrid w:val="0"/>
                    <w:jc w:val="center"/>
                    <w:rPr>
                      <w:color w:val="auto"/>
                    </w:rPr>
                  </w:pPr>
                  <w:r>
                    <w:rPr>
                      <w:color w:val="auto"/>
                    </w:rPr>
                    <w:t>1</w:t>
                  </w:r>
                </w:p>
              </w:tc>
            </w:tr>
            <w:tr w14:paraId="42BCCD37">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753" w:type="pct"/>
                  <w:tcBorders>
                    <w:tl2br w:val="nil"/>
                    <w:tr2bl w:val="nil"/>
                  </w:tcBorders>
                  <w:vAlign w:val="center"/>
                </w:tcPr>
                <w:p w14:paraId="53BB4D51">
                  <w:pPr>
                    <w:adjustRightInd w:val="0"/>
                    <w:snapToGrid w:val="0"/>
                    <w:jc w:val="center"/>
                    <w:rPr>
                      <w:color w:val="auto"/>
                    </w:rPr>
                  </w:pPr>
                  <w:r>
                    <w:rPr>
                      <w:color w:val="auto"/>
                    </w:rPr>
                    <w:t>TN</w:t>
                  </w:r>
                </w:p>
              </w:tc>
              <w:tc>
                <w:tcPr>
                  <w:tcW w:w="1798" w:type="pct"/>
                  <w:vMerge w:val="continue"/>
                  <w:tcBorders>
                    <w:tl2br w:val="nil"/>
                    <w:tr2bl w:val="nil"/>
                  </w:tcBorders>
                  <w:vAlign w:val="center"/>
                </w:tcPr>
                <w:p w14:paraId="1BA39D06">
                  <w:pPr>
                    <w:adjustRightInd w:val="0"/>
                    <w:snapToGrid w:val="0"/>
                    <w:jc w:val="center"/>
                    <w:rPr>
                      <w:color w:val="auto"/>
                    </w:rPr>
                  </w:pPr>
                </w:p>
              </w:tc>
              <w:tc>
                <w:tcPr>
                  <w:tcW w:w="1448" w:type="pct"/>
                  <w:tcBorders>
                    <w:tl2br w:val="nil"/>
                    <w:tr2bl w:val="nil"/>
                  </w:tcBorders>
                  <w:vAlign w:val="center"/>
                </w:tcPr>
                <w:p w14:paraId="08BD5E60">
                  <w:pPr>
                    <w:adjustRightInd w:val="0"/>
                    <w:snapToGrid w:val="0"/>
                    <w:jc w:val="center"/>
                    <w:rPr>
                      <w:color w:val="auto"/>
                    </w:rPr>
                  </w:pPr>
                  <w:r>
                    <w:rPr>
                      <w:color w:val="auto"/>
                    </w:rPr>
                    <w:t>15（20）*</w:t>
                  </w:r>
                </w:p>
              </w:tc>
            </w:tr>
            <w:tr w14:paraId="52AC0DB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5000" w:type="pct"/>
                  <w:gridSpan w:val="3"/>
                  <w:tcBorders>
                    <w:tl2br w:val="nil"/>
                    <w:tr2bl w:val="nil"/>
                  </w:tcBorders>
                  <w:vAlign w:val="center"/>
                </w:tcPr>
                <w:p w14:paraId="7104B3B7">
                  <w:pPr>
                    <w:adjustRightInd w:val="0"/>
                    <w:snapToGrid w:val="0"/>
                    <w:rPr>
                      <w:color w:val="auto"/>
                    </w:rPr>
                  </w:pPr>
                  <w:r>
                    <w:rPr>
                      <w:b/>
                      <w:color w:val="auto"/>
                    </w:rPr>
                    <w:t>注*：每年11月1日至次年3月31日执行括号内排放限值。</w:t>
                  </w:r>
                </w:p>
              </w:tc>
            </w:tr>
          </w:tbl>
          <w:p w14:paraId="650072B1">
            <w:pPr>
              <w:adjustRightInd w:val="0"/>
              <w:snapToGrid w:val="0"/>
              <w:spacing w:line="360" w:lineRule="auto"/>
              <w:rPr>
                <w:b/>
                <w:bCs/>
                <w:color w:val="auto"/>
              </w:rPr>
            </w:pPr>
            <w:r>
              <w:rPr>
                <w:b/>
                <w:bCs/>
                <w:color w:val="auto"/>
              </w:rPr>
              <w:t>3</w:t>
            </w:r>
            <w:r>
              <w:rPr>
                <w:rFonts w:hint="eastAsia"/>
                <w:b/>
                <w:bCs/>
                <w:color w:val="auto"/>
              </w:rPr>
              <w:t>、</w:t>
            </w:r>
            <w:r>
              <w:rPr>
                <w:b/>
                <w:bCs/>
                <w:color w:val="auto"/>
              </w:rPr>
              <w:t>噪声</w:t>
            </w:r>
          </w:p>
          <w:p w14:paraId="3B5B31A5">
            <w:pPr>
              <w:adjustRightInd w:val="0"/>
              <w:snapToGrid w:val="0"/>
              <w:spacing w:line="360" w:lineRule="auto"/>
              <w:ind w:firstLine="420" w:firstLineChars="200"/>
              <w:rPr>
                <w:color w:val="auto"/>
              </w:rPr>
            </w:pPr>
            <w:r>
              <w:rPr>
                <w:rFonts w:hint="eastAsia"/>
                <w:color w:val="auto"/>
              </w:rPr>
              <w:t>本项目</w:t>
            </w:r>
            <w:r>
              <w:rPr>
                <w:color w:val="auto"/>
              </w:rPr>
              <w:t>营运期厂界执行《工业企业厂界环境噪声排放标准》</w:t>
            </w:r>
            <w:r>
              <w:rPr>
                <w:rFonts w:hint="eastAsia"/>
                <w:color w:val="auto"/>
              </w:rPr>
              <w:t>（</w:t>
            </w:r>
            <w:r>
              <w:rPr>
                <w:color w:val="auto"/>
              </w:rPr>
              <w:t>GB12348-2008</w:t>
            </w:r>
            <w:r>
              <w:rPr>
                <w:rFonts w:hint="eastAsia"/>
                <w:color w:val="auto"/>
              </w:rPr>
              <w:t>）</w:t>
            </w:r>
            <w:r>
              <w:rPr>
                <w:rFonts w:hint="eastAsia"/>
                <w:color w:val="auto"/>
                <w:lang w:val="en-US" w:eastAsia="zh-CN"/>
              </w:rPr>
              <w:t>3</w:t>
            </w:r>
            <w:r>
              <w:rPr>
                <w:color w:val="auto"/>
              </w:rPr>
              <w:t>类区标准要求，见</w:t>
            </w:r>
            <w:r>
              <w:rPr>
                <w:rFonts w:hint="eastAsia"/>
                <w:color w:val="auto"/>
              </w:rPr>
              <w:t>下表</w:t>
            </w:r>
            <w:r>
              <w:rPr>
                <w:color w:val="auto"/>
              </w:rPr>
              <w:t>。</w:t>
            </w:r>
          </w:p>
          <w:p w14:paraId="39C8A75F">
            <w:pPr>
              <w:adjustRightInd w:val="0"/>
              <w:snapToGrid w:val="0"/>
              <w:jc w:val="center"/>
              <w:rPr>
                <w:color w:val="auto"/>
              </w:rPr>
            </w:pPr>
            <w:r>
              <w:rPr>
                <w:b/>
                <w:bCs/>
                <w:color w:val="auto"/>
              </w:rPr>
              <w:t>表3-</w:t>
            </w:r>
            <w:r>
              <w:rPr>
                <w:rFonts w:hint="eastAsia"/>
                <w:b/>
                <w:bCs/>
                <w:color w:val="auto"/>
              </w:rPr>
              <w:t>1</w:t>
            </w:r>
            <w:r>
              <w:rPr>
                <w:rFonts w:hint="eastAsia"/>
                <w:b/>
                <w:bCs/>
                <w:color w:val="auto"/>
                <w:lang w:val="en-US" w:eastAsia="zh-CN"/>
              </w:rPr>
              <w:t>2</w:t>
            </w:r>
            <w:r>
              <w:rPr>
                <w:rFonts w:hint="eastAsia"/>
                <w:b/>
                <w:bCs/>
                <w:color w:val="auto"/>
              </w:rPr>
              <w:t xml:space="preserve">   </w:t>
            </w:r>
            <w:r>
              <w:rPr>
                <w:b/>
                <w:bCs/>
                <w:color w:val="auto"/>
              </w:rPr>
              <w:t>工业企业厂界环境噪声标准限值   单位：dB（A）</w:t>
            </w:r>
          </w:p>
          <w:tbl>
            <w:tblPr>
              <w:tblStyle w:val="59"/>
              <w:tblW w:w="4999"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2909"/>
              <w:gridCol w:w="2909"/>
              <w:gridCol w:w="2909"/>
            </w:tblGrid>
            <w:tr w14:paraId="79AD033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1666" w:type="pct"/>
                  <w:vAlign w:val="center"/>
                </w:tcPr>
                <w:p w14:paraId="09C51CAA">
                  <w:pPr>
                    <w:widowControl/>
                    <w:adjustRightInd w:val="0"/>
                    <w:snapToGrid w:val="0"/>
                    <w:jc w:val="center"/>
                    <w:textAlignment w:val="center"/>
                    <w:rPr>
                      <w:b/>
                      <w:color w:val="auto"/>
                      <w:kern w:val="0"/>
                      <w:lang w:bidi="ar"/>
                    </w:rPr>
                  </w:pPr>
                  <w:r>
                    <w:rPr>
                      <w:b/>
                      <w:color w:val="auto"/>
                      <w:kern w:val="0"/>
                      <w:lang w:bidi="ar"/>
                    </w:rPr>
                    <w:t>厂界外声环境功能区类别</w:t>
                  </w:r>
                </w:p>
              </w:tc>
              <w:tc>
                <w:tcPr>
                  <w:tcW w:w="1666" w:type="pct"/>
                  <w:vAlign w:val="center"/>
                </w:tcPr>
                <w:p w14:paraId="309D98EA">
                  <w:pPr>
                    <w:widowControl/>
                    <w:adjustRightInd w:val="0"/>
                    <w:snapToGrid w:val="0"/>
                    <w:jc w:val="center"/>
                    <w:textAlignment w:val="center"/>
                    <w:rPr>
                      <w:b/>
                      <w:color w:val="auto"/>
                      <w:kern w:val="0"/>
                      <w:lang w:bidi="ar"/>
                    </w:rPr>
                  </w:pPr>
                  <w:r>
                    <w:rPr>
                      <w:b/>
                      <w:color w:val="auto"/>
                      <w:kern w:val="0"/>
                      <w:lang w:bidi="ar"/>
                    </w:rPr>
                    <w:t>昼间</w:t>
                  </w:r>
                </w:p>
              </w:tc>
              <w:tc>
                <w:tcPr>
                  <w:tcW w:w="1666" w:type="pct"/>
                  <w:vAlign w:val="center"/>
                </w:tcPr>
                <w:p w14:paraId="6ED70CC0">
                  <w:pPr>
                    <w:widowControl/>
                    <w:adjustRightInd w:val="0"/>
                    <w:snapToGrid w:val="0"/>
                    <w:jc w:val="center"/>
                    <w:textAlignment w:val="center"/>
                    <w:rPr>
                      <w:b/>
                      <w:color w:val="auto"/>
                      <w:kern w:val="0"/>
                      <w:lang w:bidi="ar"/>
                    </w:rPr>
                  </w:pPr>
                  <w:r>
                    <w:rPr>
                      <w:b/>
                      <w:color w:val="auto"/>
                      <w:kern w:val="0"/>
                      <w:lang w:bidi="ar"/>
                    </w:rPr>
                    <w:t>夜间</w:t>
                  </w:r>
                </w:p>
              </w:tc>
            </w:tr>
            <w:tr w14:paraId="15EB0F0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1666" w:type="pct"/>
                  <w:vAlign w:val="center"/>
                </w:tcPr>
                <w:p w14:paraId="1D2B95AF">
                  <w:pPr>
                    <w:widowControl/>
                    <w:adjustRightInd w:val="0"/>
                    <w:snapToGrid w:val="0"/>
                    <w:jc w:val="center"/>
                    <w:textAlignment w:val="center"/>
                    <w:rPr>
                      <w:rFonts w:hint="eastAsia" w:eastAsia="宋体"/>
                      <w:color w:val="auto"/>
                      <w:kern w:val="0"/>
                      <w:lang w:eastAsia="zh-CN" w:bidi="ar"/>
                    </w:rPr>
                  </w:pPr>
                  <w:r>
                    <w:rPr>
                      <w:rFonts w:hint="eastAsia"/>
                      <w:color w:val="auto"/>
                      <w:kern w:val="0"/>
                      <w:lang w:val="en-US" w:eastAsia="zh-CN" w:bidi="ar"/>
                    </w:rPr>
                    <w:t>3</w:t>
                  </w:r>
                </w:p>
              </w:tc>
              <w:tc>
                <w:tcPr>
                  <w:tcW w:w="1666" w:type="pct"/>
                  <w:vAlign w:val="center"/>
                </w:tcPr>
                <w:p w14:paraId="3C57F9B3">
                  <w:pPr>
                    <w:widowControl/>
                    <w:adjustRightInd w:val="0"/>
                    <w:snapToGrid w:val="0"/>
                    <w:jc w:val="center"/>
                    <w:textAlignment w:val="center"/>
                    <w:rPr>
                      <w:rFonts w:hint="default" w:eastAsia="宋体"/>
                      <w:color w:val="auto"/>
                      <w:kern w:val="0"/>
                      <w:lang w:val="en-US" w:eastAsia="zh-CN" w:bidi="ar"/>
                    </w:rPr>
                  </w:pPr>
                  <w:r>
                    <w:rPr>
                      <w:rFonts w:hint="eastAsia"/>
                      <w:color w:val="auto"/>
                      <w:kern w:val="0"/>
                      <w:lang w:val="en-US" w:eastAsia="zh-CN" w:bidi="ar"/>
                    </w:rPr>
                    <w:t>65</w:t>
                  </w:r>
                </w:p>
              </w:tc>
              <w:tc>
                <w:tcPr>
                  <w:tcW w:w="1666" w:type="pct"/>
                  <w:vAlign w:val="center"/>
                </w:tcPr>
                <w:p w14:paraId="4F16A802">
                  <w:pPr>
                    <w:widowControl/>
                    <w:adjustRightInd w:val="0"/>
                    <w:snapToGrid w:val="0"/>
                    <w:jc w:val="center"/>
                    <w:textAlignment w:val="center"/>
                    <w:rPr>
                      <w:rFonts w:hint="default" w:eastAsia="宋体"/>
                      <w:color w:val="auto"/>
                      <w:kern w:val="0"/>
                      <w:lang w:val="en-US" w:eastAsia="zh-CN" w:bidi="ar"/>
                    </w:rPr>
                  </w:pPr>
                  <w:r>
                    <w:rPr>
                      <w:rFonts w:hint="eastAsia"/>
                      <w:color w:val="auto"/>
                      <w:kern w:val="0"/>
                      <w:lang w:val="en-US" w:eastAsia="zh-CN" w:bidi="ar"/>
                    </w:rPr>
                    <w:t>55</w:t>
                  </w:r>
                </w:p>
              </w:tc>
            </w:tr>
          </w:tbl>
          <w:p w14:paraId="7F4F7D31">
            <w:pPr>
              <w:adjustRightInd w:val="0"/>
              <w:snapToGrid w:val="0"/>
              <w:spacing w:line="360" w:lineRule="auto"/>
              <w:rPr>
                <w:b/>
                <w:bCs/>
                <w:color w:val="auto"/>
              </w:rPr>
            </w:pPr>
            <w:r>
              <w:rPr>
                <w:b/>
                <w:bCs/>
                <w:color w:val="auto"/>
              </w:rPr>
              <w:t>4</w:t>
            </w:r>
            <w:r>
              <w:rPr>
                <w:rFonts w:hint="eastAsia"/>
                <w:b/>
                <w:bCs/>
                <w:color w:val="auto"/>
              </w:rPr>
              <w:t>、</w:t>
            </w:r>
            <w:r>
              <w:rPr>
                <w:b/>
                <w:bCs/>
                <w:color w:val="auto"/>
              </w:rPr>
              <w:t>固废</w:t>
            </w:r>
          </w:p>
          <w:p w14:paraId="63A4B6BB">
            <w:pPr>
              <w:adjustRightInd w:val="0"/>
              <w:snapToGrid w:val="0"/>
              <w:spacing w:line="360" w:lineRule="auto"/>
              <w:ind w:firstLine="420" w:firstLineChars="200"/>
              <w:rPr>
                <w:color w:val="auto"/>
              </w:rPr>
            </w:pPr>
            <w:r>
              <w:rPr>
                <w:color w:val="auto"/>
              </w:rPr>
              <w:t>固体废物主要是一般工业固废、危废和生活垃圾，一般工业固废厂内暂存须执行《一般工业固体废物贮存和填埋污染控制标准》（GB18599-2020）的相关规定；</w:t>
            </w:r>
          </w:p>
          <w:p w14:paraId="482AB0F7">
            <w:pPr>
              <w:adjustRightInd w:val="0"/>
              <w:snapToGrid w:val="0"/>
              <w:spacing w:line="360" w:lineRule="auto"/>
              <w:ind w:firstLine="420" w:firstLineChars="200"/>
              <w:rPr>
                <w:color w:val="auto"/>
              </w:rPr>
            </w:pPr>
            <w:r>
              <w:rPr>
                <w:color w:val="auto"/>
              </w:rPr>
              <w:t>危险废物贮存执行《危险废物收集、贮存、运输技术规范》（HJ2025</w:t>
            </w:r>
            <w:r>
              <w:rPr>
                <w:rFonts w:hint="eastAsia"/>
                <w:color w:val="auto"/>
              </w:rPr>
              <w:t xml:space="preserve"> </w:t>
            </w:r>
            <w:r>
              <w:rPr>
                <w:color w:val="auto"/>
              </w:rPr>
              <w:t>2012）、《危险废物贮存污染控制标准》（GB 18597-2023）</w:t>
            </w:r>
            <w:r>
              <w:rPr>
                <w:rFonts w:hint="eastAsia"/>
                <w:color w:val="auto"/>
                <w:lang w:eastAsia="zh-CN"/>
              </w:rPr>
              <w:t>、</w:t>
            </w:r>
            <w:r>
              <w:rPr>
                <w:rFonts w:hint="eastAsia"/>
                <w:color w:val="auto"/>
              </w:rPr>
              <w:t>省生态环境厅关于印发《江苏省固体废物全过程环境监管工作意见》的通知（苏环办[2024]16号）；</w:t>
            </w:r>
          </w:p>
          <w:p w14:paraId="519499E6">
            <w:pPr>
              <w:adjustRightInd w:val="0"/>
              <w:snapToGrid w:val="0"/>
              <w:spacing w:line="360" w:lineRule="auto"/>
              <w:ind w:firstLine="420" w:firstLineChars="200"/>
              <w:rPr>
                <w:color w:val="auto"/>
              </w:rPr>
            </w:pPr>
            <w:r>
              <w:rPr>
                <w:color w:val="auto"/>
              </w:rPr>
              <w:t>生活垃圾的储存与处置参照执行《城市生活垃圾管理办法》（建设部令第157号）</w:t>
            </w:r>
            <w:r>
              <w:rPr>
                <w:rFonts w:hint="eastAsia"/>
                <w:color w:val="auto"/>
              </w:rPr>
              <w:t>。</w:t>
            </w:r>
          </w:p>
          <w:p w14:paraId="21FA6B60">
            <w:pPr>
              <w:keepNext w:val="0"/>
              <w:keepLines w:val="0"/>
              <w:pageBreakBefore w:val="0"/>
              <w:widowControl w:val="0"/>
              <w:kinsoku/>
              <w:wordWrap/>
              <w:overflowPunct/>
              <w:topLinePunct w:val="0"/>
              <w:autoSpaceDE/>
              <w:autoSpaceDN/>
              <w:bidi w:val="0"/>
              <w:adjustRightInd w:val="0"/>
              <w:snapToGrid w:val="0"/>
              <w:spacing w:line="360" w:lineRule="auto"/>
              <w:ind w:left="0"/>
              <w:textAlignment w:val="auto"/>
              <w:rPr>
                <w:color w:val="auto"/>
              </w:rPr>
            </w:pPr>
          </w:p>
          <w:p w14:paraId="079478D8">
            <w:pPr>
              <w:keepNext w:val="0"/>
              <w:keepLines w:val="0"/>
              <w:pageBreakBefore w:val="0"/>
              <w:widowControl w:val="0"/>
              <w:kinsoku/>
              <w:wordWrap/>
              <w:overflowPunct/>
              <w:topLinePunct w:val="0"/>
              <w:autoSpaceDE/>
              <w:autoSpaceDN/>
              <w:bidi w:val="0"/>
              <w:adjustRightInd w:val="0"/>
              <w:snapToGrid w:val="0"/>
              <w:spacing w:line="360" w:lineRule="auto"/>
              <w:ind w:left="0"/>
              <w:textAlignment w:val="auto"/>
              <w:rPr>
                <w:color w:val="auto"/>
              </w:rPr>
            </w:pPr>
          </w:p>
          <w:p w14:paraId="5752E5BB">
            <w:pPr>
              <w:keepNext w:val="0"/>
              <w:keepLines w:val="0"/>
              <w:pageBreakBefore w:val="0"/>
              <w:widowControl w:val="0"/>
              <w:kinsoku/>
              <w:wordWrap/>
              <w:overflowPunct/>
              <w:topLinePunct w:val="0"/>
              <w:autoSpaceDE/>
              <w:autoSpaceDN/>
              <w:bidi w:val="0"/>
              <w:adjustRightInd w:val="0"/>
              <w:snapToGrid w:val="0"/>
              <w:spacing w:line="360" w:lineRule="auto"/>
              <w:ind w:left="0"/>
              <w:textAlignment w:val="auto"/>
              <w:rPr>
                <w:color w:val="auto"/>
              </w:rPr>
            </w:pPr>
          </w:p>
          <w:p w14:paraId="52D46B07">
            <w:pPr>
              <w:keepNext w:val="0"/>
              <w:keepLines w:val="0"/>
              <w:pageBreakBefore w:val="0"/>
              <w:widowControl w:val="0"/>
              <w:kinsoku/>
              <w:wordWrap/>
              <w:overflowPunct/>
              <w:topLinePunct w:val="0"/>
              <w:autoSpaceDE/>
              <w:autoSpaceDN/>
              <w:bidi w:val="0"/>
              <w:adjustRightInd w:val="0"/>
              <w:snapToGrid w:val="0"/>
              <w:spacing w:line="360" w:lineRule="auto"/>
              <w:ind w:left="0"/>
              <w:textAlignment w:val="auto"/>
              <w:rPr>
                <w:color w:val="auto"/>
              </w:rPr>
            </w:pPr>
          </w:p>
          <w:p w14:paraId="7F2E018A">
            <w:pPr>
              <w:keepNext w:val="0"/>
              <w:keepLines w:val="0"/>
              <w:pageBreakBefore w:val="0"/>
              <w:widowControl w:val="0"/>
              <w:kinsoku/>
              <w:wordWrap/>
              <w:overflowPunct/>
              <w:topLinePunct w:val="0"/>
              <w:autoSpaceDE/>
              <w:autoSpaceDN/>
              <w:bidi w:val="0"/>
              <w:adjustRightInd w:val="0"/>
              <w:snapToGrid w:val="0"/>
              <w:spacing w:line="360" w:lineRule="auto"/>
              <w:ind w:left="0"/>
              <w:textAlignment w:val="auto"/>
              <w:rPr>
                <w:color w:val="auto"/>
              </w:rPr>
            </w:pPr>
          </w:p>
          <w:p w14:paraId="07400FE0">
            <w:pPr>
              <w:pStyle w:val="49"/>
              <w:keepNext w:val="0"/>
              <w:keepLines w:val="0"/>
              <w:pageBreakBefore w:val="0"/>
              <w:widowControl w:val="0"/>
              <w:kinsoku/>
              <w:wordWrap/>
              <w:overflowPunct/>
              <w:topLinePunct w:val="0"/>
              <w:autoSpaceDE/>
              <w:autoSpaceDN/>
              <w:bidi w:val="0"/>
              <w:adjustRightInd w:val="0"/>
              <w:snapToGrid w:val="0"/>
              <w:spacing w:line="360" w:lineRule="auto"/>
              <w:ind w:left="0"/>
              <w:textAlignment w:val="auto"/>
              <w:rPr>
                <w:color w:val="auto"/>
              </w:rPr>
            </w:pPr>
          </w:p>
          <w:p w14:paraId="72AC9D11">
            <w:pPr>
              <w:keepNext w:val="0"/>
              <w:keepLines w:val="0"/>
              <w:pageBreakBefore w:val="0"/>
              <w:widowControl w:val="0"/>
              <w:kinsoku/>
              <w:wordWrap/>
              <w:overflowPunct/>
              <w:topLinePunct w:val="0"/>
              <w:autoSpaceDE/>
              <w:autoSpaceDN/>
              <w:bidi w:val="0"/>
              <w:adjustRightInd w:val="0"/>
              <w:snapToGrid w:val="0"/>
              <w:spacing w:line="360" w:lineRule="auto"/>
              <w:ind w:left="0"/>
              <w:textAlignment w:val="auto"/>
              <w:rPr>
                <w:color w:val="auto"/>
              </w:rPr>
            </w:pPr>
          </w:p>
          <w:p w14:paraId="3D1487D7">
            <w:pPr>
              <w:pStyle w:val="49"/>
              <w:keepNext w:val="0"/>
              <w:keepLines w:val="0"/>
              <w:pageBreakBefore w:val="0"/>
              <w:widowControl w:val="0"/>
              <w:kinsoku/>
              <w:wordWrap/>
              <w:overflowPunct/>
              <w:topLinePunct w:val="0"/>
              <w:autoSpaceDE/>
              <w:autoSpaceDN/>
              <w:bidi w:val="0"/>
              <w:adjustRightInd w:val="0"/>
              <w:snapToGrid w:val="0"/>
              <w:spacing w:line="360" w:lineRule="auto"/>
              <w:ind w:left="0"/>
              <w:textAlignment w:val="auto"/>
              <w:rPr>
                <w:color w:val="auto"/>
              </w:rPr>
            </w:pPr>
          </w:p>
          <w:p w14:paraId="3D49999B">
            <w:pPr>
              <w:keepNext w:val="0"/>
              <w:keepLines w:val="0"/>
              <w:pageBreakBefore w:val="0"/>
              <w:widowControl w:val="0"/>
              <w:kinsoku/>
              <w:wordWrap/>
              <w:overflowPunct/>
              <w:topLinePunct w:val="0"/>
              <w:autoSpaceDE/>
              <w:autoSpaceDN/>
              <w:bidi w:val="0"/>
              <w:adjustRightInd w:val="0"/>
              <w:snapToGrid w:val="0"/>
              <w:spacing w:line="360" w:lineRule="auto"/>
              <w:ind w:left="0"/>
              <w:textAlignment w:val="auto"/>
              <w:rPr>
                <w:color w:val="auto"/>
              </w:rPr>
            </w:pPr>
          </w:p>
          <w:p w14:paraId="5F2BA073">
            <w:pPr>
              <w:pStyle w:val="49"/>
              <w:keepNext w:val="0"/>
              <w:keepLines w:val="0"/>
              <w:pageBreakBefore w:val="0"/>
              <w:widowControl w:val="0"/>
              <w:kinsoku/>
              <w:wordWrap/>
              <w:overflowPunct/>
              <w:topLinePunct w:val="0"/>
              <w:autoSpaceDE/>
              <w:autoSpaceDN/>
              <w:bidi w:val="0"/>
              <w:adjustRightInd w:val="0"/>
              <w:snapToGrid w:val="0"/>
              <w:spacing w:line="360" w:lineRule="auto"/>
              <w:ind w:left="0"/>
              <w:textAlignment w:val="auto"/>
              <w:rPr>
                <w:color w:val="auto"/>
              </w:rPr>
            </w:pPr>
          </w:p>
          <w:p w14:paraId="418C611E">
            <w:pPr>
              <w:keepNext w:val="0"/>
              <w:keepLines w:val="0"/>
              <w:pageBreakBefore w:val="0"/>
              <w:widowControl w:val="0"/>
              <w:kinsoku/>
              <w:wordWrap/>
              <w:overflowPunct/>
              <w:topLinePunct w:val="0"/>
              <w:autoSpaceDE/>
              <w:autoSpaceDN/>
              <w:bidi w:val="0"/>
              <w:adjustRightInd w:val="0"/>
              <w:snapToGrid w:val="0"/>
              <w:spacing w:line="360" w:lineRule="auto"/>
              <w:ind w:left="0"/>
              <w:textAlignment w:val="auto"/>
              <w:rPr>
                <w:color w:val="auto"/>
              </w:rPr>
            </w:pPr>
          </w:p>
          <w:p w14:paraId="3E922AB9">
            <w:pPr>
              <w:pStyle w:val="49"/>
              <w:keepNext w:val="0"/>
              <w:keepLines w:val="0"/>
              <w:pageBreakBefore w:val="0"/>
              <w:widowControl w:val="0"/>
              <w:kinsoku/>
              <w:wordWrap/>
              <w:overflowPunct/>
              <w:topLinePunct w:val="0"/>
              <w:autoSpaceDE/>
              <w:autoSpaceDN/>
              <w:bidi w:val="0"/>
              <w:adjustRightInd w:val="0"/>
              <w:snapToGrid w:val="0"/>
              <w:spacing w:line="360" w:lineRule="auto"/>
              <w:ind w:left="0"/>
              <w:textAlignment w:val="auto"/>
              <w:rPr>
                <w:color w:val="auto"/>
              </w:rPr>
            </w:pPr>
          </w:p>
          <w:p w14:paraId="659CE685">
            <w:pPr>
              <w:keepNext w:val="0"/>
              <w:keepLines w:val="0"/>
              <w:pageBreakBefore w:val="0"/>
              <w:widowControl w:val="0"/>
              <w:kinsoku/>
              <w:wordWrap/>
              <w:overflowPunct/>
              <w:topLinePunct w:val="0"/>
              <w:autoSpaceDE/>
              <w:autoSpaceDN/>
              <w:bidi w:val="0"/>
              <w:adjustRightInd w:val="0"/>
              <w:snapToGrid w:val="0"/>
              <w:spacing w:line="360" w:lineRule="auto"/>
              <w:ind w:left="0"/>
              <w:textAlignment w:val="auto"/>
              <w:rPr>
                <w:color w:val="auto"/>
              </w:rPr>
            </w:pPr>
          </w:p>
          <w:p w14:paraId="3D777947">
            <w:pPr>
              <w:pStyle w:val="49"/>
              <w:keepNext w:val="0"/>
              <w:keepLines w:val="0"/>
              <w:pageBreakBefore w:val="0"/>
              <w:widowControl w:val="0"/>
              <w:kinsoku/>
              <w:wordWrap/>
              <w:overflowPunct/>
              <w:topLinePunct w:val="0"/>
              <w:autoSpaceDE/>
              <w:autoSpaceDN/>
              <w:bidi w:val="0"/>
              <w:adjustRightInd w:val="0"/>
              <w:snapToGrid w:val="0"/>
              <w:spacing w:line="360" w:lineRule="auto"/>
              <w:ind w:left="0"/>
              <w:textAlignment w:val="auto"/>
              <w:rPr>
                <w:color w:val="auto"/>
              </w:rPr>
            </w:pPr>
          </w:p>
          <w:p w14:paraId="77D63654">
            <w:pPr>
              <w:pStyle w:val="49"/>
              <w:keepNext w:val="0"/>
              <w:keepLines w:val="0"/>
              <w:pageBreakBefore w:val="0"/>
              <w:widowControl w:val="0"/>
              <w:kinsoku/>
              <w:wordWrap/>
              <w:overflowPunct/>
              <w:topLinePunct w:val="0"/>
              <w:autoSpaceDE/>
              <w:autoSpaceDN/>
              <w:bidi w:val="0"/>
              <w:adjustRightInd w:val="0"/>
              <w:snapToGrid w:val="0"/>
              <w:spacing w:line="360" w:lineRule="auto"/>
              <w:ind w:left="0"/>
              <w:textAlignment w:val="auto"/>
              <w:rPr>
                <w:color w:val="auto"/>
              </w:rPr>
            </w:pPr>
          </w:p>
          <w:p w14:paraId="25888D14">
            <w:pPr>
              <w:pStyle w:val="49"/>
              <w:ind w:left="0" w:leftChars="0" w:firstLine="0" w:firstLineChars="0"/>
              <w:rPr>
                <w:color w:val="auto"/>
              </w:rPr>
            </w:pPr>
          </w:p>
        </w:tc>
      </w:tr>
      <w:tr w14:paraId="42875F6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843" w:hRule="atLeast"/>
          <w:jc w:val="center"/>
        </w:trPr>
        <w:tc>
          <w:tcPr>
            <w:tcW w:w="456" w:type="dxa"/>
            <w:tcMar>
              <w:left w:w="28" w:type="dxa"/>
              <w:right w:w="28" w:type="dxa"/>
            </w:tcMar>
            <w:vAlign w:val="center"/>
          </w:tcPr>
          <w:p w14:paraId="713C66D7">
            <w:pPr>
              <w:adjustRightInd w:val="0"/>
              <w:snapToGrid w:val="0"/>
              <w:jc w:val="center"/>
              <w:rPr>
                <w:color w:val="auto"/>
                <w:kern w:val="0"/>
              </w:rPr>
            </w:pPr>
            <w:r>
              <w:rPr>
                <w:b/>
                <w:bCs/>
                <w:color w:val="auto"/>
                <w:kern w:val="0"/>
              </w:rPr>
              <w:t>总量控制指标</w:t>
            </w:r>
          </w:p>
        </w:tc>
        <w:tc>
          <w:tcPr>
            <w:tcW w:w="8945" w:type="dxa"/>
          </w:tcPr>
          <w:p w14:paraId="323D0A03">
            <w:pPr>
              <w:pStyle w:val="5"/>
              <w:adjustRightInd w:val="0"/>
              <w:snapToGrid w:val="0"/>
              <w:spacing w:line="360" w:lineRule="auto"/>
              <w:ind w:firstLine="422" w:firstLineChars="200"/>
              <w:rPr>
                <w:b/>
                <w:bCs/>
                <w:color w:val="auto"/>
                <w:szCs w:val="21"/>
              </w:rPr>
            </w:pPr>
            <w:r>
              <w:rPr>
                <w:rFonts w:hint="eastAsia"/>
                <w:b/>
                <w:bCs/>
                <w:color w:val="auto"/>
                <w:szCs w:val="21"/>
              </w:rPr>
              <w:t>1、总量控制建议指标</w:t>
            </w:r>
          </w:p>
          <w:p w14:paraId="47934669">
            <w:pPr>
              <w:adjustRightInd w:val="0"/>
              <w:snapToGrid w:val="0"/>
              <w:jc w:val="center"/>
              <w:rPr>
                <w:b/>
                <w:color w:val="auto"/>
              </w:rPr>
            </w:pPr>
            <w:r>
              <w:rPr>
                <w:b/>
                <w:color w:val="auto"/>
              </w:rPr>
              <w:t>表3-</w:t>
            </w:r>
            <w:r>
              <w:rPr>
                <w:rFonts w:hint="eastAsia"/>
                <w:b/>
                <w:color w:val="auto"/>
              </w:rPr>
              <w:t>1</w:t>
            </w:r>
            <w:r>
              <w:rPr>
                <w:rFonts w:hint="eastAsia"/>
                <w:b/>
                <w:color w:val="auto"/>
                <w:lang w:val="en-US" w:eastAsia="zh-CN"/>
              </w:rPr>
              <w:t>3</w:t>
            </w:r>
            <w:r>
              <w:rPr>
                <w:b/>
                <w:color w:val="auto"/>
              </w:rPr>
              <w:t xml:space="preserve">   总量控制建议值</w:t>
            </w:r>
            <w:r>
              <w:rPr>
                <w:rFonts w:hint="eastAsia"/>
                <w:b/>
                <w:color w:val="auto"/>
              </w:rPr>
              <w:t>（t/a）</w:t>
            </w:r>
          </w:p>
          <w:tbl>
            <w:tblPr>
              <w:tblStyle w:val="59"/>
              <w:tblW w:w="5000"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0" w:type="dxa"/>
                <w:bottom w:w="0" w:type="dxa"/>
                <w:right w:w="0" w:type="dxa"/>
              </w:tblCellMar>
            </w:tblPr>
            <w:tblGrid>
              <w:gridCol w:w="671"/>
              <w:gridCol w:w="941"/>
              <w:gridCol w:w="1184"/>
              <w:gridCol w:w="1434"/>
              <w:gridCol w:w="1247"/>
              <w:gridCol w:w="1334"/>
              <w:gridCol w:w="1918"/>
            </w:tblGrid>
            <w:tr w14:paraId="05E6E5A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PrEx>
              <w:trPr>
                <w:cantSplit/>
                <w:jc w:val="center"/>
              </w:trPr>
              <w:tc>
                <w:tcPr>
                  <w:tcW w:w="384" w:type="pct"/>
                  <w:vMerge w:val="restart"/>
                  <w:tcBorders>
                    <w:tl2br w:val="nil"/>
                    <w:tr2bl w:val="nil"/>
                  </w:tcBorders>
                  <w:vAlign w:val="center"/>
                </w:tcPr>
                <w:p w14:paraId="2991F72C">
                  <w:pPr>
                    <w:adjustRightInd w:val="0"/>
                    <w:snapToGrid w:val="0"/>
                    <w:jc w:val="center"/>
                    <w:rPr>
                      <w:b/>
                      <w:bCs/>
                      <w:color w:val="auto"/>
                    </w:rPr>
                  </w:pPr>
                  <w:r>
                    <w:rPr>
                      <w:b/>
                      <w:bCs/>
                      <w:color w:val="auto"/>
                    </w:rPr>
                    <w:t>类别</w:t>
                  </w:r>
                </w:p>
              </w:tc>
              <w:tc>
                <w:tcPr>
                  <w:tcW w:w="1217" w:type="pct"/>
                  <w:gridSpan w:val="2"/>
                  <w:vMerge w:val="restart"/>
                  <w:tcBorders>
                    <w:tl2br w:val="nil"/>
                    <w:tr2bl w:val="nil"/>
                  </w:tcBorders>
                  <w:vAlign w:val="center"/>
                </w:tcPr>
                <w:p w14:paraId="5DA37CE5">
                  <w:pPr>
                    <w:adjustRightInd w:val="0"/>
                    <w:snapToGrid w:val="0"/>
                    <w:jc w:val="center"/>
                    <w:rPr>
                      <w:b/>
                      <w:bCs/>
                      <w:color w:val="auto"/>
                    </w:rPr>
                  </w:pPr>
                  <w:r>
                    <w:rPr>
                      <w:b/>
                      <w:bCs/>
                      <w:color w:val="auto"/>
                    </w:rPr>
                    <w:t>污染物名称</w:t>
                  </w:r>
                </w:p>
              </w:tc>
              <w:tc>
                <w:tcPr>
                  <w:tcW w:w="821" w:type="pct"/>
                  <w:vMerge w:val="restart"/>
                  <w:tcBorders>
                    <w:tl2br w:val="nil"/>
                    <w:tr2bl w:val="nil"/>
                  </w:tcBorders>
                  <w:vAlign w:val="center"/>
                </w:tcPr>
                <w:p w14:paraId="646FC5BC">
                  <w:pPr>
                    <w:adjustRightInd w:val="0"/>
                    <w:snapToGrid w:val="0"/>
                    <w:jc w:val="center"/>
                    <w:rPr>
                      <w:b/>
                      <w:bCs/>
                      <w:color w:val="auto"/>
                    </w:rPr>
                  </w:pPr>
                  <w:r>
                    <w:rPr>
                      <w:b/>
                      <w:bCs/>
                      <w:color w:val="auto"/>
                    </w:rPr>
                    <w:t>产生量（</w:t>
                  </w:r>
                  <w:r>
                    <w:rPr>
                      <w:b/>
                      <w:color w:val="auto"/>
                    </w:rPr>
                    <w:t>t/a）</w:t>
                  </w:r>
                </w:p>
              </w:tc>
              <w:tc>
                <w:tcPr>
                  <w:tcW w:w="714" w:type="pct"/>
                  <w:vMerge w:val="restart"/>
                  <w:tcBorders>
                    <w:tl2br w:val="nil"/>
                    <w:tr2bl w:val="nil"/>
                  </w:tcBorders>
                  <w:vAlign w:val="center"/>
                </w:tcPr>
                <w:p w14:paraId="6520659E">
                  <w:pPr>
                    <w:adjustRightInd w:val="0"/>
                    <w:snapToGrid w:val="0"/>
                    <w:jc w:val="center"/>
                    <w:rPr>
                      <w:b/>
                      <w:bCs/>
                      <w:color w:val="auto"/>
                    </w:rPr>
                  </w:pPr>
                  <w:r>
                    <w:rPr>
                      <w:b/>
                      <w:bCs/>
                      <w:color w:val="auto"/>
                    </w:rPr>
                    <w:t>削减量（</w:t>
                  </w:r>
                  <w:r>
                    <w:rPr>
                      <w:b/>
                      <w:color w:val="auto"/>
                    </w:rPr>
                    <w:t>t/a）</w:t>
                  </w:r>
                </w:p>
              </w:tc>
              <w:tc>
                <w:tcPr>
                  <w:tcW w:w="1862" w:type="pct"/>
                  <w:gridSpan w:val="2"/>
                  <w:tcBorders>
                    <w:tl2br w:val="nil"/>
                    <w:tr2bl w:val="nil"/>
                  </w:tcBorders>
                  <w:vAlign w:val="center"/>
                </w:tcPr>
                <w:p w14:paraId="2DC6961E">
                  <w:pPr>
                    <w:adjustRightInd w:val="0"/>
                    <w:snapToGrid w:val="0"/>
                    <w:jc w:val="center"/>
                    <w:rPr>
                      <w:b/>
                      <w:bCs/>
                      <w:color w:val="auto"/>
                    </w:rPr>
                  </w:pPr>
                  <w:r>
                    <w:rPr>
                      <w:b/>
                      <w:bCs/>
                      <w:color w:val="auto"/>
                    </w:rPr>
                    <w:t>排放量</w:t>
                  </w:r>
                </w:p>
              </w:tc>
            </w:tr>
            <w:tr w14:paraId="056974A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cantSplit/>
                <w:jc w:val="center"/>
              </w:trPr>
              <w:tc>
                <w:tcPr>
                  <w:tcW w:w="384" w:type="pct"/>
                  <w:vMerge w:val="continue"/>
                  <w:tcBorders>
                    <w:tl2br w:val="nil"/>
                    <w:tr2bl w:val="nil"/>
                  </w:tcBorders>
                  <w:vAlign w:val="center"/>
                </w:tcPr>
                <w:p w14:paraId="0B94649A">
                  <w:pPr>
                    <w:adjustRightInd w:val="0"/>
                    <w:snapToGrid w:val="0"/>
                    <w:jc w:val="center"/>
                    <w:rPr>
                      <w:b/>
                      <w:bCs/>
                      <w:color w:val="auto"/>
                    </w:rPr>
                  </w:pPr>
                </w:p>
              </w:tc>
              <w:tc>
                <w:tcPr>
                  <w:tcW w:w="1217" w:type="pct"/>
                  <w:gridSpan w:val="2"/>
                  <w:vMerge w:val="continue"/>
                  <w:tcBorders>
                    <w:tl2br w:val="nil"/>
                    <w:tr2bl w:val="nil"/>
                  </w:tcBorders>
                  <w:vAlign w:val="center"/>
                </w:tcPr>
                <w:p w14:paraId="35C26A90">
                  <w:pPr>
                    <w:adjustRightInd w:val="0"/>
                    <w:snapToGrid w:val="0"/>
                    <w:jc w:val="center"/>
                    <w:rPr>
                      <w:b/>
                      <w:bCs/>
                      <w:color w:val="auto"/>
                    </w:rPr>
                  </w:pPr>
                </w:p>
              </w:tc>
              <w:tc>
                <w:tcPr>
                  <w:tcW w:w="821" w:type="pct"/>
                  <w:vMerge w:val="continue"/>
                  <w:tcBorders>
                    <w:tl2br w:val="nil"/>
                    <w:tr2bl w:val="nil"/>
                  </w:tcBorders>
                  <w:vAlign w:val="center"/>
                </w:tcPr>
                <w:p w14:paraId="6A1B3A58">
                  <w:pPr>
                    <w:adjustRightInd w:val="0"/>
                    <w:snapToGrid w:val="0"/>
                    <w:jc w:val="center"/>
                    <w:rPr>
                      <w:b/>
                      <w:bCs/>
                      <w:color w:val="auto"/>
                    </w:rPr>
                  </w:pPr>
                </w:p>
              </w:tc>
              <w:tc>
                <w:tcPr>
                  <w:tcW w:w="714" w:type="pct"/>
                  <w:vMerge w:val="continue"/>
                  <w:tcBorders>
                    <w:tl2br w:val="nil"/>
                    <w:tr2bl w:val="nil"/>
                  </w:tcBorders>
                  <w:vAlign w:val="center"/>
                </w:tcPr>
                <w:p w14:paraId="69BB0492">
                  <w:pPr>
                    <w:adjustRightInd w:val="0"/>
                    <w:snapToGrid w:val="0"/>
                    <w:jc w:val="center"/>
                    <w:rPr>
                      <w:b/>
                      <w:bCs/>
                      <w:color w:val="auto"/>
                    </w:rPr>
                  </w:pPr>
                </w:p>
              </w:tc>
              <w:tc>
                <w:tcPr>
                  <w:tcW w:w="764" w:type="pct"/>
                  <w:tcBorders>
                    <w:tl2br w:val="nil"/>
                    <w:tr2bl w:val="nil"/>
                  </w:tcBorders>
                  <w:vAlign w:val="center"/>
                </w:tcPr>
                <w:p w14:paraId="5B35B639">
                  <w:pPr>
                    <w:adjustRightInd w:val="0"/>
                    <w:snapToGrid w:val="0"/>
                    <w:jc w:val="center"/>
                    <w:rPr>
                      <w:b/>
                      <w:bCs/>
                      <w:color w:val="auto"/>
                    </w:rPr>
                  </w:pPr>
                  <w:r>
                    <w:rPr>
                      <w:b/>
                      <w:bCs/>
                      <w:color w:val="auto"/>
                    </w:rPr>
                    <w:t>接管量（</w:t>
                  </w:r>
                  <w:r>
                    <w:rPr>
                      <w:b/>
                      <w:color w:val="auto"/>
                    </w:rPr>
                    <w:t>t/a）</w:t>
                  </w:r>
                </w:p>
              </w:tc>
              <w:tc>
                <w:tcPr>
                  <w:tcW w:w="1098" w:type="pct"/>
                  <w:tcBorders>
                    <w:tl2br w:val="nil"/>
                    <w:tr2bl w:val="nil"/>
                  </w:tcBorders>
                  <w:vAlign w:val="center"/>
                </w:tcPr>
                <w:p w14:paraId="17246662">
                  <w:pPr>
                    <w:adjustRightInd w:val="0"/>
                    <w:snapToGrid w:val="0"/>
                    <w:jc w:val="center"/>
                    <w:rPr>
                      <w:b/>
                      <w:bCs/>
                      <w:color w:val="auto"/>
                    </w:rPr>
                  </w:pPr>
                  <w:r>
                    <w:rPr>
                      <w:b/>
                      <w:bCs/>
                      <w:color w:val="auto"/>
                    </w:rPr>
                    <w:t>排入外环境量（</w:t>
                  </w:r>
                  <w:r>
                    <w:rPr>
                      <w:b/>
                      <w:color w:val="auto"/>
                    </w:rPr>
                    <w:t>t/a）</w:t>
                  </w:r>
                </w:p>
              </w:tc>
            </w:tr>
            <w:tr w14:paraId="5217A57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cantSplit/>
                <w:trHeight w:val="90" w:hRule="atLeast"/>
                <w:jc w:val="center"/>
              </w:trPr>
              <w:tc>
                <w:tcPr>
                  <w:tcW w:w="384" w:type="pct"/>
                  <w:vMerge w:val="restart"/>
                  <w:tcBorders>
                    <w:tl2br w:val="nil"/>
                    <w:tr2bl w:val="nil"/>
                  </w:tcBorders>
                  <w:vAlign w:val="center"/>
                </w:tcPr>
                <w:p w14:paraId="7B1B6E0E">
                  <w:pPr>
                    <w:adjustRightInd w:val="0"/>
                    <w:snapToGrid w:val="0"/>
                    <w:jc w:val="center"/>
                    <w:rPr>
                      <w:color w:val="auto"/>
                    </w:rPr>
                  </w:pPr>
                  <w:r>
                    <w:rPr>
                      <w:color w:val="auto"/>
                    </w:rPr>
                    <w:t>废气</w:t>
                  </w:r>
                </w:p>
              </w:tc>
              <w:tc>
                <w:tcPr>
                  <w:tcW w:w="539" w:type="pct"/>
                  <w:vMerge w:val="restart"/>
                  <w:tcBorders>
                    <w:tl2br w:val="nil"/>
                    <w:tr2bl w:val="nil"/>
                  </w:tcBorders>
                  <w:vAlign w:val="center"/>
                </w:tcPr>
                <w:p w14:paraId="2F1E3C16">
                  <w:pPr>
                    <w:adjustRightInd w:val="0"/>
                    <w:snapToGrid w:val="0"/>
                    <w:jc w:val="center"/>
                    <w:rPr>
                      <w:color w:val="auto"/>
                    </w:rPr>
                  </w:pPr>
                  <w:r>
                    <w:rPr>
                      <w:color w:val="auto"/>
                    </w:rPr>
                    <w:t>有组织</w:t>
                  </w:r>
                </w:p>
              </w:tc>
              <w:tc>
                <w:tcPr>
                  <w:tcW w:w="678" w:type="pct"/>
                  <w:tcBorders>
                    <w:tl2br w:val="nil"/>
                    <w:tr2bl w:val="nil"/>
                  </w:tcBorders>
                  <w:vAlign w:val="center"/>
                </w:tcPr>
                <w:p w14:paraId="2146C006">
                  <w:pPr>
                    <w:snapToGrid w:val="0"/>
                    <w:jc w:val="center"/>
                    <w:rPr>
                      <w:rFonts w:hint="eastAsia" w:eastAsia="宋体"/>
                      <w:color w:val="auto"/>
                      <w:lang w:eastAsia="zh-CN"/>
                    </w:rPr>
                  </w:pPr>
                  <w:r>
                    <w:rPr>
                      <w:color w:val="auto"/>
                    </w:rPr>
                    <w:t>非甲烷总烃</w:t>
                  </w:r>
                  <w:r>
                    <w:rPr>
                      <w:rFonts w:hint="eastAsia"/>
                      <w:color w:val="auto"/>
                      <w:lang w:eastAsia="zh-CN"/>
                    </w:rPr>
                    <w:t>（</w:t>
                  </w:r>
                  <w:r>
                    <w:rPr>
                      <w:rFonts w:hint="eastAsia"/>
                      <w:color w:val="auto"/>
                      <w:lang w:val="en-US" w:eastAsia="zh-CN"/>
                    </w:rPr>
                    <w:t>含苯系物</w:t>
                  </w:r>
                  <w:r>
                    <w:rPr>
                      <w:rFonts w:hint="eastAsia"/>
                      <w:color w:val="auto"/>
                      <w:lang w:eastAsia="zh-CN"/>
                    </w:rPr>
                    <w:t>）</w:t>
                  </w:r>
                </w:p>
              </w:tc>
              <w:tc>
                <w:tcPr>
                  <w:tcW w:w="821" w:type="pct"/>
                  <w:tcBorders>
                    <w:tl2br w:val="nil"/>
                    <w:tr2bl w:val="nil"/>
                  </w:tcBorders>
                  <w:vAlign w:val="center"/>
                </w:tcPr>
                <w:p w14:paraId="64F5962F">
                  <w:pPr>
                    <w:widowControl/>
                    <w:jc w:val="center"/>
                    <w:textAlignment w:val="center"/>
                    <w:rPr>
                      <w:rFonts w:hint="default" w:eastAsia="宋体"/>
                      <w:color w:val="auto"/>
                      <w:kern w:val="0"/>
                      <w:lang w:val="en-US" w:eastAsia="zh-CN" w:bidi="ar"/>
                    </w:rPr>
                  </w:pPr>
                  <w:r>
                    <w:rPr>
                      <w:rFonts w:hint="eastAsia"/>
                      <w:color w:val="auto"/>
                      <w:kern w:val="0"/>
                      <w:lang w:val="en-US" w:eastAsia="zh-CN" w:bidi="ar"/>
                    </w:rPr>
                    <w:t>1.1308</w:t>
                  </w:r>
                </w:p>
              </w:tc>
              <w:tc>
                <w:tcPr>
                  <w:tcW w:w="714" w:type="pct"/>
                  <w:tcBorders>
                    <w:tl2br w:val="nil"/>
                    <w:tr2bl w:val="nil"/>
                  </w:tcBorders>
                  <w:vAlign w:val="center"/>
                </w:tcPr>
                <w:p w14:paraId="2322F124">
                  <w:pPr>
                    <w:widowControl/>
                    <w:jc w:val="center"/>
                    <w:textAlignment w:val="center"/>
                    <w:rPr>
                      <w:rFonts w:hint="default" w:eastAsia="宋体"/>
                      <w:color w:val="auto"/>
                      <w:kern w:val="0"/>
                      <w:lang w:val="en-US" w:eastAsia="zh-CN" w:bidi="ar"/>
                    </w:rPr>
                  </w:pPr>
                  <w:r>
                    <w:rPr>
                      <w:rFonts w:hint="eastAsia"/>
                      <w:color w:val="auto"/>
                      <w:kern w:val="0"/>
                      <w:lang w:val="en-US" w:eastAsia="zh-CN" w:bidi="ar"/>
                    </w:rPr>
                    <w:t>1.01772</w:t>
                  </w:r>
                </w:p>
              </w:tc>
              <w:tc>
                <w:tcPr>
                  <w:tcW w:w="764" w:type="pct"/>
                  <w:tcBorders>
                    <w:tl2br w:val="nil"/>
                    <w:tr2bl w:val="nil"/>
                  </w:tcBorders>
                  <w:vAlign w:val="center"/>
                </w:tcPr>
                <w:p w14:paraId="67E66D95">
                  <w:pPr>
                    <w:widowControl/>
                    <w:jc w:val="center"/>
                    <w:textAlignment w:val="center"/>
                    <w:rPr>
                      <w:color w:val="auto"/>
                      <w:kern w:val="0"/>
                      <w:lang w:bidi="ar"/>
                    </w:rPr>
                  </w:pPr>
                  <w:r>
                    <w:rPr>
                      <w:rFonts w:hint="eastAsia"/>
                      <w:color w:val="auto"/>
                      <w:kern w:val="0"/>
                      <w:lang w:bidi="ar"/>
                    </w:rPr>
                    <w:t>/</w:t>
                  </w:r>
                </w:p>
              </w:tc>
              <w:tc>
                <w:tcPr>
                  <w:tcW w:w="1098" w:type="pct"/>
                  <w:tcBorders>
                    <w:tl2br w:val="nil"/>
                    <w:tr2bl w:val="nil"/>
                  </w:tcBorders>
                  <w:vAlign w:val="center"/>
                </w:tcPr>
                <w:p w14:paraId="10B69777">
                  <w:pPr>
                    <w:pStyle w:val="656"/>
                    <w:snapToGrid w:val="0"/>
                    <w:rPr>
                      <w:rFonts w:hint="default" w:eastAsia="宋体"/>
                      <w:color w:val="auto"/>
                      <w:kern w:val="0"/>
                      <w:sz w:val="21"/>
                      <w:szCs w:val="21"/>
                      <w:lang w:val="en-US" w:eastAsia="zh-CN" w:bidi="ar"/>
                    </w:rPr>
                  </w:pPr>
                  <w:r>
                    <w:rPr>
                      <w:rFonts w:hint="eastAsia" w:eastAsia="宋体"/>
                      <w:color w:val="auto"/>
                      <w:kern w:val="0"/>
                      <w:sz w:val="21"/>
                      <w:szCs w:val="21"/>
                      <w:lang w:val="en-US" w:eastAsia="zh-CN" w:bidi="ar"/>
                    </w:rPr>
                    <w:t>0.11308</w:t>
                  </w:r>
                </w:p>
              </w:tc>
            </w:tr>
            <w:tr w14:paraId="368D588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cantSplit/>
                <w:trHeight w:val="90" w:hRule="atLeast"/>
                <w:jc w:val="center"/>
              </w:trPr>
              <w:tc>
                <w:tcPr>
                  <w:tcW w:w="384" w:type="pct"/>
                  <w:vMerge w:val="continue"/>
                  <w:tcBorders>
                    <w:tl2br w:val="nil"/>
                    <w:tr2bl w:val="nil"/>
                  </w:tcBorders>
                  <w:vAlign w:val="center"/>
                </w:tcPr>
                <w:p w14:paraId="2EB99312">
                  <w:pPr>
                    <w:adjustRightInd w:val="0"/>
                    <w:snapToGrid w:val="0"/>
                    <w:jc w:val="center"/>
                    <w:rPr>
                      <w:color w:val="auto"/>
                    </w:rPr>
                  </w:pPr>
                </w:p>
              </w:tc>
              <w:tc>
                <w:tcPr>
                  <w:tcW w:w="539" w:type="pct"/>
                  <w:vMerge w:val="continue"/>
                  <w:tcBorders>
                    <w:tl2br w:val="nil"/>
                    <w:tr2bl w:val="nil"/>
                  </w:tcBorders>
                  <w:vAlign w:val="center"/>
                </w:tcPr>
                <w:p w14:paraId="00981C43">
                  <w:pPr>
                    <w:adjustRightInd w:val="0"/>
                    <w:snapToGrid w:val="0"/>
                    <w:jc w:val="center"/>
                    <w:rPr>
                      <w:color w:val="auto"/>
                    </w:rPr>
                  </w:pPr>
                </w:p>
              </w:tc>
              <w:tc>
                <w:tcPr>
                  <w:tcW w:w="678" w:type="pct"/>
                  <w:tcBorders>
                    <w:tl2br w:val="nil"/>
                    <w:tr2bl w:val="nil"/>
                  </w:tcBorders>
                  <w:vAlign w:val="center"/>
                </w:tcPr>
                <w:p w14:paraId="7D3BA32D">
                  <w:pPr>
                    <w:snapToGrid w:val="0"/>
                    <w:jc w:val="center"/>
                    <w:rPr>
                      <w:rFonts w:hint="eastAsia" w:eastAsia="宋体"/>
                      <w:color w:val="auto"/>
                      <w:lang w:val="en-US" w:eastAsia="zh-CN"/>
                    </w:rPr>
                  </w:pPr>
                  <w:r>
                    <w:rPr>
                      <w:rFonts w:hint="eastAsia"/>
                      <w:color w:val="auto"/>
                      <w:lang w:val="en-US" w:eastAsia="zh-CN"/>
                    </w:rPr>
                    <w:t>颗粒物</w:t>
                  </w:r>
                </w:p>
              </w:tc>
              <w:tc>
                <w:tcPr>
                  <w:tcW w:w="821" w:type="pct"/>
                  <w:tcBorders>
                    <w:tl2br w:val="nil"/>
                    <w:tr2bl w:val="nil"/>
                  </w:tcBorders>
                  <w:vAlign w:val="center"/>
                </w:tcPr>
                <w:p w14:paraId="7AEE6347">
                  <w:pPr>
                    <w:widowControl/>
                    <w:jc w:val="center"/>
                    <w:textAlignment w:val="center"/>
                    <w:rPr>
                      <w:rFonts w:hint="default"/>
                      <w:color w:val="auto"/>
                      <w:kern w:val="0"/>
                      <w:lang w:val="en-US" w:eastAsia="zh-CN" w:bidi="ar"/>
                    </w:rPr>
                  </w:pPr>
                  <w:r>
                    <w:rPr>
                      <w:rFonts w:hint="eastAsia"/>
                      <w:color w:val="auto"/>
                      <w:kern w:val="0"/>
                      <w:lang w:val="en-US" w:eastAsia="zh-CN" w:bidi="ar"/>
                    </w:rPr>
                    <w:t>1.918</w:t>
                  </w:r>
                </w:p>
              </w:tc>
              <w:tc>
                <w:tcPr>
                  <w:tcW w:w="714" w:type="pct"/>
                  <w:tcBorders>
                    <w:tl2br w:val="nil"/>
                    <w:tr2bl w:val="nil"/>
                  </w:tcBorders>
                  <w:vAlign w:val="center"/>
                </w:tcPr>
                <w:p w14:paraId="282C2FDA">
                  <w:pPr>
                    <w:widowControl/>
                    <w:jc w:val="center"/>
                    <w:textAlignment w:val="center"/>
                    <w:rPr>
                      <w:rFonts w:hint="default"/>
                      <w:color w:val="auto"/>
                      <w:kern w:val="0"/>
                      <w:lang w:val="en-US" w:eastAsia="zh-CN" w:bidi="ar"/>
                    </w:rPr>
                  </w:pPr>
                  <w:r>
                    <w:rPr>
                      <w:rFonts w:hint="eastAsia"/>
                      <w:color w:val="auto"/>
                      <w:kern w:val="0"/>
                      <w:lang w:val="en-US" w:eastAsia="zh-CN" w:bidi="ar"/>
                    </w:rPr>
                    <w:t>1.74925</w:t>
                  </w:r>
                </w:p>
              </w:tc>
              <w:tc>
                <w:tcPr>
                  <w:tcW w:w="764" w:type="pct"/>
                  <w:tcBorders>
                    <w:tl2br w:val="nil"/>
                    <w:tr2bl w:val="nil"/>
                  </w:tcBorders>
                  <w:vAlign w:val="center"/>
                </w:tcPr>
                <w:p w14:paraId="788409DD">
                  <w:pPr>
                    <w:widowControl/>
                    <w:jc w:val="center"/>
                    <w:textAlignment w:val="center"/>
                    <w:rPr>
                      <w:rFonts w:hint="eastAsia" w:eastAsia="宋体"/>
                      <w:color w:val="auto"/>
                      <w:kern w:val="0"/>
                      <w:lang w:val="en-US" w:eastAsia="zh-CN" w:bidi="ar"/>
                    </w:rPr>
                  </w:pPr>
                  <w:r>
                    <w:rPr>
                      <w:rFonts w:hint="eastAsia"/>
                      <w:color w:val="auto"/>
                      <w:kern w:val="0"/>
                      <w:lang w:val="en-US" w:eastAsia="zh-CN" w:bidi="ar"/>
                    </w:rPr>
                    <w:t>/</w:t>
                  </w:r>
                </w:p>
              </w:tc>
              <w:tc>
                <w:tcPr>
                  <w:tcW w:w="1098" w:type="pct"/>
                  <w:tcBorders>
                    <w:tl2br w:val="nil"/>
                    <w:tr2bl w:val="nil"/>
                  </w:tcBorders>
                  <w:vAlign w:val="center"/>
                </w:tcPr>
                <w:p w14:paraId="05069F21">
                  <w:pPr>
                    <w:pStyle w:val="656"/>
                    <w:snapToGrid w:val="0"/>
                    <w:rPr>
                      <w:rFonts w:hint="default" w:eastAsia="宋体"/>
                      <w:color w:val="auto"/>
                      <w:kern w:val="0"/>
                      <w:sz w:val="21"/>
                      <w:szCs w:val="21"/>
                      <w:lang w:val="en-US" w:eastAsia="zh-CN" w:bidi="ar"/>
                    </w:rPr>
                  </w:pPr>
                  <w:r>
                    <w:rPr>
                      <w:rFonts w:hint="eastAsia" w:eastAsia="宋体"/>
                      <w:color w:val="auto"/>
                      <w:kern w:val="0"/>
                      <w:sz w:val="21"/>
                      <w:szCs w:val="21"/>
                      <w:lang w:val="en-US" w:eastAsia="zh-CN" w:bidi="ar"/>
                    </w:rPr>
                    <w:t>0.16875</w:t>
                  </w:r>
                </w:p>
              </w:tc>
            </w:tr>
            <w:tr w14:paraId="7109F77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cantSplit/>
                <w:trHeight w:val="90" w:hRule="atLeast"/>
                <w:jc w:val="center"/>
              </w:trPr>
              <w:tc>
                <w:tcPr>
                  <w:tcW w:w="384" w:type="pct"/>
                  <w:vMerge w:val="continue"/>
                  <w:tcBorders>
                    <w:tl2br w:val="nil"/>
                    <w:tr2bl w:val="nil"/>
                  </w:tcBorders>
                  <w:vAlign w:val="center"/>
                </w:tcPr>
                <w:p w14:paraId="67304EB1">
                  <w:pPr>
                    <w:adjustRightInd w:val="0"/>
                    <w:snapToGrid w:val="0"/>
                    <w:jc w:val="center"/>
                    <w:rPr>
                      <w:color w:val="auto"/>
                    </w:rPr>
                  </w:pPr>
                </w:p>
              </w:tc>
              <w:tc>
                <w:tcPr>
                  <w:tcW w:w="539" w:type="pct"/>
                  <w:vMerge w:val="restart"/>
                  <w:tcBorders>
                    <w:tl2br w:val="nil"/>
                    <w:tr2bl w:val="nil"/>
                  </w:tcBorders>
                  <w:vAlign w:val="center"/>
                </w:tcPr>
                <w:p w14:paraId="538BCE79">
                  <w:pPr>
                    <w:adjustRightInd w:val="0"/>
                    <w:snapToGrid w:val="0"/>
                    <w:jc w:val="center"/>
                    <w:rPr>
                      <w:color w:val="auto"/>
                    </w:rPr>
                  </w:pPr>
                  <w:r>
                    <w:rPr>
                      <w:color w:val="auto"/>
                    </w:rPr>
                    <w:t>无组织</w:t>
                  </w:r>
                </w:p>
              </w:tc>
              <w:tc>
                <w:tcPr>
                  <w:tcW w:w="678" w:type="pct"/>
                  <w:tcBorders>
                    <w:tl2br w:val="nil"/>
                    <w:tr2bl w:val="nil"/>
                  </w:tcBorders>
                  <w:vAlign w:val="center"/>
                </w:tcPr>
                <w:p w14:paraId="3C308A56">
                  <w:pPr>
                    <w:snapToGrid w:val="0"/>
                    <w:jc w:val="center"/>
                    <w:rPr>
                      <w:rFonts w:hint="eastAsia" w:eastAsia="宋体"/>
                      <w:color w:val="auto"/>
                      <w:position w:val="2"/>
                      <w:lang w:eastAsia="zh-CN"/>
                    </w:rPr>
                  </w:pPr>
                  <w:r>
                    <w:rPr>
                      <w:color w:val="auto"/>
                    </w:rPr>
                    <w:t>非甲烷总烃</w:t>
                  </w:r>
                  <w:r>
                    <w:rPr>
                      <w:rFonts w:hint="eastAsia"/>
                      <w:color w:val="auto"/>
                      <w:lang w:eastAsia="zh-CN"/>
                    </w:rPr>
                    <w:t>（</w:t>
                  </w:r>
                  <w:r>
                    <w:rPr>
                      <w:rFonts w:hint="eastAsia"/>
                      <w:color w:val="auto"/>
                      <w:lang w:val="en-US" w:eastAsia="zh-CN"/>
                    </w:rPr>
                    <w:t>含苯系物</w:t>
                  </w:r>
                  <w:r>
                    <w:rPr>
                      <w:rFonts w:hint="eastAsia"/>
                      <w:color w:val="auto"/>
                      <w:lang w:eastAsia="zh-CN"/>
                    </w:rPr>
                    <w:t>）</w:t>
                  </w:r>
                </w:p>
              </w:tc>
              <w:tc>
                <w:tcPr>
                  <w:tcW w:w="821" w:type="pct"/>
                  <w:tcBorders>
                    <w:tl2br w:val="nil"/>
                    <w:tr2bl w:val="nil"/>
                  </w:tcBorders>
                  <w:vAlign w:val="center"/>
                </w:tcPr>
                <w:p w14:paraId="59C2DE2A">
                  <w:pPr>
                    <w:pStyle w:val="698"/>
                    <w:rPr>
                      <w:rFonts w:hint="default" w:eastAsia="宋体"/>
                      <w:color w:val="auto"/>
                      <w:kern w:val="0"/>
                      <w:lang w:val="en-US" w:eastAsia="zh-CN"/>
                    </w:rPr>
                  </w:pPr>
                  <w:r>
                    <w:rPr>
                      <w:rFonts w:hint="eastAsia" w:eastAsia="宋体"/>
                      <w:color w:val="auto"/>
                      <w:kern w:val="0"/>
                      <w:lang w:val="en-US" w:eastAsia="zh-CN"/>
                    </w:rPr>
                    <w:t>0.0232</w:t>
                  </w:r>
                </w:p>
              </w:tc>
              <w:tc>
                <w:tcPr>
                  <w:tcW w:w="714" w:type="pct"/>
                  <w:tcBorders>
                    <w:tl2br w:val="nil"/>
                    <w:tr2bl w:val="nil"/>
                  </w:tcBorders>
                  <w:vAlign w:val="center"/>
                </w:tcPr>
                <w:p w14:paraId="0E4766D0">
                  <w:pPr>
                    <w:widowControl/>
                    <w:jc w:val="center"/>
                    <w:textAlignment w:val="center"/>
                    <w:rPr>
                      <w:rFonts w:hint="default" w:eastAsia="宋体"/>
                      <w:color w:val="auto"/>
                      <w:kern w:val="0"/>
                      <w:lang w:val="en-US" w:eastAsia="zh-CN" w:bidi="ar"/>
                    </w:rPr>
                  </w:pPr>
                  <w:r>
                    <w:rPr>
                      <w:rFonts w:hint="eastAsia"/>
                      <w:color w:val="auto"/>
                      <w:kern w:val="0"/>
                      <w:lang w:val="en-US" w:eastAsia="zh-CN" w:bidi="ar"/>
                    </w:rPr>
                    <w:t>0</w:t>
                  </w:r>
                </w:p>
              </w:tc>
              <w:tc>
                <w:tcPr>
                  <w:tcW w:w="764" w:type="pct"/>
                  <w:tcBorders>
                    <w:tl2br w:val="nil"/>
                    <w:tr2bl w:val="nil"/>
                  </w:tcBorders>
                  <w:vAlign w:val="center"/>
                </w:tcPr>
                <w:p w14:paraId="52B38E1F">
                  <w:pPr>
                    <w:widowControl/>
                    <w:jc w:val="center"/>
                    <w:textAlignment w:val="center"/>
                    <w:rPr>
                      <w:color w:val="auto"/>
                      <w:kern w:val="0"/>
                      <w:lang w:bidi="ar"/>
                    </w:rPr>
                  </w:pPr>
                  <w:r>
                    <w:rPr>
                      <w:rFonts w:hint="eastAsia"/>
                      <w:color w:val="auto"/>
                      <w:kern w:val="0"/>
                      <w:lang w:bidi="ar"/>
                    </w:rPr>
                    <w:t>/</w:t>
                  </w:r>
                </w:p>
              </w:tc>
              <w:tc>
                <w:tcPr>
                  <w:tcW w:w="1918" w:type="dxa"/>
                  <w:tcBorders>
                    <w:tl2br w:val="nil"/>
                    <w:tr2bl w:val="nil"/>
                  </w:tcBorders>
                  <w:vAlign w:val="center"/>
                </w:tcPr>
                <w:p w14:paraId="5430D782">
                  <w:pPr>
                    <w:pStyle w:val="698"/>
                    <w:rPr>
                      <w:rFonts w:hint="default" w:eastAsia="宋体"/>
                      <w:color w:val="auto"/>
                      <w:kern w:val="0"/>
                      <w:lang w:val="en-US" w:eastAsia="zh-CN"/>
                    </w:rPr>
                  </w:pPr>
                  <w:r>
                    <w:rPr>
                      <w:rFonts w:hint="eastAsia" w:eastAsia="宋体"/>
                      <w:color w:val="auto"/>
                      <w:kern w:val="0"/>
                      <w:lang w:val="en-US" w:eastAsia="zh-CN"/>
                    </w:rPr>
                    <w:t>0.0232</w:t>
                  </w:r>
                </w:p>
              </w:tc>
            </w:tr>
            <w:tr w14:paraId="01C8687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cantSplit/>
                <w:jc w:val="center"/>
              </w:trPr>
              <w:tc>
                <w:tcPr>
                  <w:tcW w:w="384" w:type="pct"/>
                  <w:vMerge w:val="continue"/>
                  <w:tcBorders>
                    <w:tl2br w:val="nil"/>
                    <w:tr2bl w:val="nil"/>
                  </w:tcBorders>
                  <w:vAlign w:val="center"/>
                </w:tcPr>
                <w:p w14:paraId="6396071F">
                  <w:pPr>
                    <w:adjustRightInd w:val="0"/>
                    <w:snapToGrid w:val="0"/>
                    <w:jc w:val="center"/>
                    <w:rPr>
                      <w:color w:val="auto"/>
                    </w:rPr>
                  </w:pPr>
                </w:p>
              </w:tc>
              <w:tc>
                <w:tcPr>
                  <w:tcW w:w="539" w:type="pct"/>
                  <w:vMerge w:val="continue"/>
                  <w:tcBorders>
                    <w:tl2br w:val="nil"/>
                    <w:tr2bl w:val="nil"/>
                  </w:tcBorders>
                  <w:vAlign w:val="center"/>
                </w:tcPr>
                <w:p w14:paraId="1C700A40">
                  <w:pPr>
                    <w:adjustRightInd w:val="0"/>
                    <w:snapToGrid w:val="0"/>
                    <w:jc w:val="center"/>
                    <w:rPr>
                      <w:color w:val="auto"/>
                    </w:rPr>
                  </w:pPr>
                </w:p>
              </w:tc>
              <w:tc>
                <w:tcPr>
                  <w:tcW w:w="678" w:type="pct"/>
                  <w:tcBorders>
                    <w:tl2br w:val="nil"/>
                    <w:tr2bl w:val="nil"/>
                  </w:tcBorders>
                  <w:vAlign w:val="center"/>
                </w:tcPr>
                <w:p w14:paraId="7D4FD6A6">
                  <w:pPr>
                    <w:snapToGrid w:val="0"/>
                    <w:jc w:val="center"/>
                    <w:rPr>
                      <w:color w:val="auto"/>
                    </w:rPr>
                  </w:pPr>
                  <w:r>
                    <w:rPr>
                      <w:rFonts w:hint="eastAsia"/>
                      <w:color w:val="auto"/>
                    </w:rPr>
                    <w:t>颗粒物</w:t>
                  </w:r>
                </w:p>
              </w:tc>
              <w:tc>
                <w:tcPr>
                  <w:tcW w:w="821" w:type="pct"/>
                  <w:tcBorders>
                    <w:tl2br w:val="nil"/>
                    <w:tr2bl w:val="nil"/>
                  </w:tcBorders>
                  <w:vAlign w:val="center"/>
                </w:tcPr>
                <w:p w14:paraId="783099BA">
                  <w:pPr>
                    <w:pStyle w:val="698"/>
                    <w:rPr>
                      <w:rFonts w:hint="default" w:eastAsia="宋体"/>
                      <w:color w:val="auto"/>
                      <w:kern w:val="0"/>
                      <w:lang w:val="en-US" w:eastAsia="zh-CN"/>
                    </w:rPr>
                  </w:pPr>
                  <w:r>
                    <w:rPr>
                      <w:rFonts w:hint="eastAsia" w:eastAsia="宋体"/>
                      <w:color w:val="auto"/>
                      <w:kern w:val="0"/>
                      <w:lang w:val="en-US" w:eastAsia="zh-CN"/>
                    </w:rPr>
                    <w:t>0.039138</w:t>
                  </w:r>
                </w:p>
              </w:tc>
              <w:tc>
                <w:tcPr>
                  <w:tcW w:w="714" w:type="pct"/>
                  <w:tcBorders>
                    <w:tl2br w:val="nil"/>
                    <w:tr2bl w:val="nil"/>
                  </w:tcBorders>
                  <w:vAlign w:val="center"/>
                </w:tcPr>
                <w:p w14:paraId="5E21149B">
                  <w:pPr>
                    <w:widowControl/>
                    <w:jc w:val="center"/>
                    <w:textAlignment w:val="center"/>
                    <w:rPr>
                      <w:rFonts w:hint="default" w:eastAsia="宋体"/>
                      <w:color w:val="auto"/>
                      <w:kern w:val="0"/>
                      <w:lang w:val="en-US" w:eastAsia="zh-CN" w:bidi="ar"/>
                    </w:rPr>
                  </w:pPr>
                  <w:r>
                    <w:rPr>
                      <w:rFonts w:hint="eastAsia"/>
                      <w:color w:val="auto"/>
                      <w:kern w:val="0"/>
                      <w:lang w:val="en-US" w:eastAsia="zh-CN" w:bidi="ar"/>
                    </w:rPr>
                    <w:t>0</w:t>
                  </w:r>
                </w:p>
              </w:tc>
              <w:tc>
                <w:tcPr>
                  <w:tcW w:w="764" w:type="pct"/>
                  <w:tcBorders>
                    <w:tl2br w:val="nil"/>
                    <w:tr2bl w:val="nil"/>
                  </w:tcBorders>
                  <w:vAlign w:val="center"/>
                </w:tcPr>
                <w:p w14:paraId="4DB862A9">
                  <w:pPr>
                    <w:widowControl/>
                    <w:jc w:val="center"/>
                    <w:textAlignment w:val="center"/>
                    <w:rPr>
                      <w:color w:val="auto"/>
                      <w:kern w:val="0"/>
                      <w:lang w:bidi="ar"/>
                    </w:rPr>
                  </w:pPr>
                  <w:r>
                    <w:rPr>
                      <w:rFonts w:hint="eastAsia"/>
                      <w:color w:val="auto"/>
                      <w:kern w:val="0"/>
                      <w:lang w:bidi="ar"/>
                    </w:rPr>
                    <w:t>/</w:t>
                  </w:r>
                </w:p>
              </w:tc>
              <w:tc>
                <w:tcPr>
                  <w:tcW w:w="1918" w:type="dxa"/>
                  <w:tcBorders>
                    <w:tl2br w:val="nil"/>
                    <w:tr2bl w:val="nil"/>
                  </w:tcBorders>
                  <w:vAlign w:val="center"/>
                </w:tcPr>
                <w:p w14:paraId="7B7B02BA">
                  <w:pPr>
                    <w:pStyle w:val="698"/>
                    <w:rPr>
                      <w:rFonts w:hint="default" w:eastAsia="宋体"/>
                      <w:color w:val="auto"/>
                      <w:kern w:val="0"/>
                      <w:lang w:val="en-US" w:eastAsia="zh-CN"/>
                    </w:rPr>
                  </w:pPr>
                  <w:r>
                    <w:rPr>
                      <w:rFonts w:hint="eastAsia" w:eastAsia="宋体"/>
                      <w:color w:val="auto"/>
                      <w:kern w:val="0"/>
                      <w:lang w:val="en-US" w:eastAsia="zh-CN"/>
                    </w:rPr>
                    <w:t>0.039138</w:t>
                  </w:r>
                </w:p>
              </w:tc>
            </w:tr>
            <w:tr w14:paraId="1CA5631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cantSplit/>
                <w:jc w:val="center"/>
              </w:trPr>
              <w:tc>
                <w:tcPr>
                  <w:tcW w:w="384" w:type="pct"/>
                  <w:vMerge w:val="restart"/>
                  <w:tcBorders>
                    <w:tl2br w:val="nil"/>
                    <w:tr2bl w:val="nil"/>
                  </w:tcBorders>
                  <w:vAlign w:val="center"/>
                </w:tcPr>
                <w:p w14:paraId="7166D37A">
                  <w:pPr>
                    <w:adjustRightInd w:val="0"/>
                    <w:snapToGrid w:val="0"/>
                    <w:jc w:val="center"/>
                    <w:rPr>
                      <w:color w:val="auto"/>
                    </w:rPr>
                  </w:pPr>
                  <w:r>
                    <w:rPr>
                      <w:color w:val="auto"/>
                    </w:rPr>
                    <w:t>废水</w:t>
                  </w:r>
                </w:p>
              </w:tc>
              <w:tc>
                <w:tcPr>
                  <w:tcW w:w="1217" w:type="pct"/>
                  <w:gridSpan w:val="2"/>
                  <w:tcBorders>
                    <w:tl2br w:val="nil"/>
                    <w:tr2bl w:val="nil"/>
                  </w:tcBorders>
                  <w:vAlign w:val="center"/>
                </w:tcPr>
                <w:p w14:paraId="488C8BB3">
                  <w:pPr>
                    <w:widowControl/>
                    <w:jc w:val="center"/>
                    <w:textAlignment w:val="center"/>
                    <w:rPr>
                      <w:color w:val="auto"/>
                    </w:rPr>
                  </w:pPr>
                  <w:r>
                    <w:rPr>
                      <w:color w:val="auto"/>
                      <w:kern w:val="0"/>
                      <w:lang w:bidi="ar"/>
                    </w:rPr>
                    <w:t>废水量</w:t>
                  </w:r>
                </w:p>
              </w:tc>
              <w:tc>
                <w:tcPr>
                  <w:tcW w:w="821" w:type="pct"/>
                  <w:tcBorders>
                    <w:tl2br w:val="nil"/>
                    <w:tr2bl w:val="nil"/>
                  </w:tcBorders>
                  <w:vAlign w:val="center"/>
                </w:tcPr>
                <w:p w14:paraId="189ED71D">
                  <w:pPr>
                    <w:widowControl/>
                    <w:jc w:val="center"/>
                    <w:textAlignment w:val="center"/>
                    <w:rPr>
                      <w:rFonts w:hint="default" w:eastAsia="宋体"/>
                      <w:color w:val="auto"/>
                      <w:kern w:val="0"/>
                      <w:lang w:val="en-US" w:eastAsia="zh-CN" w:bidi="ar"/>
                    </w:rPr>
                  </w:pPr>
                  <w:r>
                    <w:rPr>
                      <w:rFonts w:hint="eastAsia"/>
                      <w:color w:val="auto"/>
                      <w:kern w:val="0"/>
                      <w:lang w:val="en-US" w:eastAsia="zh-CN" w:bidi="ar"/>
                    </w:rPr>
                    <w:t>720</w:t>
                  </w:r>
                </w:p>
              </w:tc>
              <w:tc>
                <w:tcPr>
                  <w:tcW w:w="714" w:type="pct"/>
                  <w:tcBorders>
                    <w:tl2br w:val="nil"/>
                    <w:tr2bl w:val="nil"/>
                  </w:tcBorders>
                  <w:vAlign w:val="center"/>
                </w:tcPr>
                <w:p w14:paraId="10857063">
                  <w:pPr>
                    <w:widowControl/>
                    <w:jc w:val="center"/>
                    <w:textAlignment w:val="center"/>
                    <w:rPr>
                      <w:color w:val="auto"/>
                      <w:kern w:val="0"/>
                      <w:lang w:bidi="ar"/>
                    </w:rPr>
                  </w:pPr>
                  <w:r>
                    <w:rPr>
                      <w:color w:val="auto"/>
                      <w:kern w:val="0"/>
                      <w:lang w:bidi="ar"/>
                    </w:rPr>
                    <w:t>/</w:t>
                  </w:r>
                </w:p>
              </w:tc>
              <w:tc>
                <w:tcPr>
                  <w:tcW w:w="1334" w:type="dxa"/>
                  <w:tcBorders>
                    <w:tl2br w:val="nil"/>
                    <w:tr2bl w:val="nil"/>
                  </w:tcBorders>
                  <w:vAlign w:val="center"/>
                </w:tcPr>
                <w:p w14:paraId="05CC8021">
                  <w:pPr>
                    <w:widowControl/>
                    <w:jc w:val="center"/>
                    <w:textAlignment w:val="center"/>
                    <w:rPr>
                      <w:color w:val="auto"/>
                    </w:rPr>
                  </w:pPr>
                  <w:r>
                    <w:rPr>
                      <w:rFonts w:hint="eastAsia"/>
                      <w:color w:val="auto"/>
                      <w:kern w:val="0"/>
                      <w:lang w:val="en-US" w:eastAsia="zh-CN" w:bidi="ar"/>
                    </w:rPr>
                    <w:t>720</w:t>
                  </w:r>
                </w:p>
              </w:tc>
              <w:tc>
                <w:tcPr>
                  <w:tcW w:w="1918" w:type="dxa"/>
                  <w:tcBorders>
                    <w:tl2br w:val="nil"/>
                    <w:tr2bl w:val="nil"/>
                  </w:tcBorders>
                  <w:vAlign w:val="center"/>
                </w:tcPr>
                <w:p w14:paraId="01873C96">
                  <w:pPr>
                    <w:widowControl/>
                    <w:jc w:val="center"/>
                    <w:textAlignment w:val="center"/>
                    <w:rPr>
                      <w:color w:val="auto"/>
                    </w:rPr>
                  </w:pPr>
                  <w:r>
                    <w:rPr>
                      <w:rFonts w:hint="eastAsia"/>
                      <w:color w:val="auto"/>
                      <w:kern w:val="0"/>
                      <w:lang w:val="en-US" w:eastAsia="zh-CN" w:bidi="ar"/>
                    </w:rPr>
                    <w:t>720</w:t>
                  </w:r>
                </w:p>
              </w:tc>
            </w:tr>
            <w:tr w14:paraId="6F1C65D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cantSplit/>
                <w:jc w:val="center"/>
              </w:trPr>
              <w:tc>
                <w:tcPr>
                  <w:tcW w:w="384" w:type="pct"/>
                  <w:vMerge w:val="continue"/>
                  <w:tcBorders>
                    <w:tl2br w:val="nil"/>
                    <w:tr2bl w:val="nil"/>
                  </w:tcBorders>
                  <w:vAlign w:val="center"/>
                </w:tcPr>
                <w:p w14:paraId="36EF0948">
                  <w:pPr>
                    <w:adjustRightInd w:val="0"/>
                    <w:snapToGrid w:val="0"/>
                    <w:jc w:val="center"/>
                    <w:rPr>
                      <w:color w:val="auto"/>
                    </w:rPr>
                  </w:pPr>
                </w:p>
              </w:tc>
              <w:tc>
                <w:tcPr>
                  <w:tcW w:w="1217" w:type="pct"/>
                  <w:gridSpan w:val="2"/>
                  <w:tcBorders>
                    <w:tl2br w:val="nil"/>
                    <w:tr2bl w:val="nil"/>
                  </w:tcBorders>
                  <w:vAlign w:val="center"/>
                </w:tcPr>
                <w:p w14:paraId="3687222B">
                  <w:pPr>
                    <w:widowControl/>
                    <w:adjustRightInd w:val="0"/>
                    <w:snapToGrid w:val="0"/>
                    <w:jc w:val="center"/>
                    <w:rPr>
                      <w:b/>
                      <w:bCs/>
                      <w:color w:val="auto"/>
                    </w:rPr>
                  </w:pPr>
                  <w:r>
                    <w:rPr>
                      <w:color w:val="auto"/>
                      <w:kern w:val="0"/>
                    </w:rPr>
                    <w:t>COD</w:t>
                  </w:r>
                </w:p>
              </w:tc>
              <w:tc>
                <w:tcPr>
                  <w:tcW w:w="1434" w:type="dxa"/>
                  <w:tcBorders>
                    <w:tl2br w:val="nil"/>
                    <w:tr2bl w:val="nil"/>
                  </w:tcBorders>
                  <w:vAlign w:val="center"/>
                </w:tcPr>
                <w:p w14:paraId="6C8FA521">
                  <w:pPr>
                    <w:keepNext w:val="0"/>
                    <w:keepLines w:val="0"/>
                    <w:widowControl/>
                    <w:suppressLineNumbers w:val="0"/>
                    <w:jc w:val="center"/>
                    <w:textAlignment w:val="center"/>
                    <w:rPr>
                      <w:color w:val="auto"/>
                      <w:kern w:val="0"/>
                      <w:lang w:bidi="ar"/>
                    </w:rPr>
                  </w:pPr>
                  <w:r>
                    <w:rPr>
                      <w:rFonts w:hint="default" w:ascii="Times New Roman" w:hAnsi="Times New Roman" w:eastAsia="宋体" w:cs="Times New Roman"/>
                      <w:i w:val="0"/>
                      <w:iCs w:val="0"/>
                      <w:snapToGrid w:val="0"/>
                      <w:color w:val="auto"/>
                      <w:kern w:val="0"/>
                      <w:sz w:val="21"/>
                      <w:szCs w:val="21"/>
                      <w:u w:val="none"/>
                      <w:lang w:val="en-US" w:eastAsia="zh-CN" w:bidi="ar"/>
                    </w:rPr>
                    <w:t>0.36</w:t>
                  </w:r>
                </w:p>
              </w:tc>
              <w:tc>
                <w:tcPr>
                  <w:tcW w:w="714" w:type="pct"/>
                  <w:tcBorders>
                    <w:tl2br w:val="nil"/>
                    <w:tr2bl w:val="nil"/>
                  </w:tcBorders>
                  <w:vAlign w:val="center"/>
                </w:tcPr>
                <w:p w14:paraId="77749D40">
                  <w:pPr>
                    <w:adjustRightInd w:val="0"/>
                    <w:snapToGrid w:val="0"/>
                    <w:jc w:val="center"/>
                    <w:rPr>
                      <w:color w:val="auto"/>
                    </w:rPr>
                  </w:pPr>
                  <w:r>
                    <w:rPr>
                      <w:rFonts w:hint="eastAsia"/>
                      <w:color w:val="auto"/>
                    </w:rPr>
                    <w:t>0</w:t>
                  </w:r>
                </w:p>
              </w:tc>
              <w:tc>
                <w:tcPr>
                  <w:tcW w:w="1334" w:type="dxa"/>
                  <w:tcBorders>
                    <w:tl2br w:val="nil"/>
                    <w:tr2bl w:val="nil"/>
                  </w:tcBorders>
                  <w:vAlign w:val="center"/>
                </w:tcPr>
                <w:p w14:paraId="26C3B398">
                  <w:pPr>
                    <w:keepNext w:val="0"/>
                    <w:keepLines w:val="0"/>
                    <w:widowControl/>
                    <w:suppressLineNumbers w:val="0"/>
                    <w:jc w:val="center"/>
                    <w:textAlignment w:val="center"/>
                    <w:rPr>
                      <w:color w:val="auto"/>
                    </w:rPr>
                  </w:pPr>
                  <w:r>
                    <w:rPr>
                      <w:rFonts w:hint="default" w:ascii="Times New Roman" w:hAnsi="Times New Roman" w:eastAsia="宋体" w:cs="Times New Roman"/>
                      <w:i w:val="0"/>
                      <w:iCs w:val="0"/>
                      <w:snapToGrid w:val="0"/>
                      <w:color w:val="auto"/>
                      <w:kern w:val="0"/>
                      <w:sz w:val="21"/>
                      <w:szCs w:val="21"/>
                      <w:u w:val="none"/>
                      <w:lang w:val="en-US" w:eastAsia="zh-CN" w:bidi="ar"/>
                    </w:rPr>
                    <w:t>0.36</w:t>
                  </w:r>
                </w:p>
              </w:tc>
              <w:tc>
                <w:tcPr>
                  <w:tcW w:w="1918" w:type="dxa"/>
                  <w:tcBorders>
                    <w:tl2br w:val="nil"/>
                    <w:tr2bl w:val="nil"/>
                  </w:tcBorders>
                  <w:vAlign w:val="center"/>
                </w:tcPr>
                <w:p w14:paraId="726A285E">
                  <w:pPr>
                    <w:keepNext w:val="0"/>
                    <w:keepLines w:val="0"/>
                    <w:widowControl/>
                    <w:suppressLineNumbers w:val="0"/>
                    <w:jc w:val="center"/>
                    <w:textAlignment w:val="center"/>
                    <w:rPr>
                      <w:rFonts w:hint="default" w:eastAsia="宋体"/>
                      <w:color w:val="auto"/>
                      <w:lang w:val="en-US" w:eastAsia="zh-CN"/>
                    </w:rPr>
                  </w:pPr>
                  <w:r>
                    <w:rPr>
                      <w:rFonts w:hint="default" w:ascii="Times New Roman" w:hAnsi="Times New Roman" w:eastAsia="宋体" w:cs="Times New Roman"/>
                      <w:i w:val="0"/>
                      <w:iCs w:val="0"/>
                      <w:snapToGrid w:val="0"/>
                      <w:color w:val="auto"/>
                      <w:kern w:val="0"/>
                      <w:sz w:val="21"/>
                      <w:szCs w:val="21"/>
                      <w:u w:val="none"/>
                      <w:lang w:val="en-US" w:eastAsia="zh-CN" w:bidi="ar"/>
                    </w:rPr>
                    <w:t>0.36</w:t>
                  </w:r>
                </w:p>
              </w:tc>
            </w:tr>
            <w:tr w14:paraId="3A5C1F8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cantSplit/>
                <w:jc w:val="center"/>
              </w:trPr>
              <w:tc>
                <w:tcPr>
                  <w:tcW w:w="384" w:type="pct"/>
                  <w:vMerge w:val="continue"/>
                  <w:tcBorders>
                    <w:tl2br w:val="nil"/>
                    <w:tr2bl w:val="nil"/>
                  </w:tcBorders>
                  <w:vAlign w:val="center"/>
                </w:tcPr>
                <w:p w14:paraId="449B275E">
                  <w:pPr>
                    <w:adjustRightInd w:val="0"/>
                    <w:snapToGrid w:val="0"/>
                    <w:jc w:val="center"/>
                    <w:rPr>
                      <w:color w:val="auto"/>
                    </w:rPr>
                  </w:pPr>
                </w:p>
              </w:tc>
              <w:tc>
                <w:tcPr>
                  <w:tcW w:w="1217" w:type="pct"/>
                  <w:gridSpan w:val="2"/>
                  <w:tcBorders>
                    <w:tl2br w:val="nil"/>
                    <w:tr2bl w:val="nil"/>
                  </w:tcBorders>
                  <w:vAlign w:val="center"/>
                </w:tcPr>
                <w:p w14:paraId="6DD79F49">
                  <w:pPr>
                    <w:widowControl/>
                    <w:adjustRightInd w:val="0"/>
                    <w:snapToGrid w:val="0"/>
                    <w:jc w:val="center"/>
                    <w:rPr>
                      <w:b/>
                      <w:bCs/>
                      <w:color w:val="auto"/>
                    </w:rPr>
                  </w:pPr>
                  <w:r>
                    <w:rPr>
                      <w:color w:val="auto"/>
                      <w:kern w:val="0"/>
                    </w:rPr>
                    <w:t>SS</w:t>
                  </w:r>
                </w:p>
              </w:tc>
              <w:tc>
                <w:tcPr>
                  <w:tcW w:w="1434" w:type="dxa"/>
                  <w:tcBorders>
                    <w:tl2br w:val="nil"/>
                    <w:tr2bl w:val="nil"/>
                  </w:tcBorders>
                  <w:vAlign w:val="center"/>
                </w:tcPr>
                <w:p w14:paraId="4DD884EB">
                  <w:pPr>
                    <w:keepNext w:val="0"/>
                    <w:keepLines w:val="0"/>
                    <w:widowControl/>
                    <w:suppressLineNumbers w:val="0"/>
                    <w:jc w:val="center"/>
                    <w:textAlignment w:val="center"/>
                    <w:rPr>
                      <w:color w:val="auto"/>
                      <w:kern w:val="0"/>
                      <w:lang w:bidi="ar"/>
                    </w:rPr>
                  </w:pPr>
                  <w:r>
                    <w:rPr>
                      <w:rFonts w:hint="default" w:ascii="Times New Roman" w:hAnsi="Times New Roman" w:eastAsia="宋体" w:cs="Times New Roman"/>
                      <w:i w:val="0"/>
                      <w:iCs w:val="0"/>
                      <w:snapToGrid w:val="0"/>
                      <w:color w:val="auto"/>
                      <w:kern w:val="0"/>
                      <w:sz w:val="21"/>
                      <w:szCs w:val="21"/>
                      <w:u w:val="none"/>
                      <w:lang w:val="en-US" w:eastAsia="zh-CN" w:bidi="ar"/>
                    </w:rPr>
                    <w:t>0.18</w:t>
                  </w:r>
                </w:p>
              </w:tc>
              <w:tc>
                <w:tcPr>
                  <w:tcW w:w="714" w:type="pct"/>
                  <w:tcBorders>
                    <w:tl2br w:val="nil"/>
                    <w:tr2bl w:val="nil"/>
                  </w:tcBorders>
                  <w:vAlign w:val="center"/>
                </w:tcPr>
                <w:p w14:paraId="225F4595">
                  <w:pPr>
                    <w:adjustRightInd w:val="0"/>
                    <w:snapToGrid w:val="0"/>
                    <w:jc w:val="center"/>
                    <w:rPr>
                      <w:color w:val="auto"/>
                    </w:rPr>
                  </w:pPr>
                  <w:r>
                    <w:rPr>
                      <w:rFonts w:hint="eastAsia"/>
                      <w:color w:val="auto"/>
                    </w:rPr>
                    <w:t>0</w:t>
                  </w:r>
                </w:p>
              </w:tc>
              <w:tc>
                <w:tcPr>
                  <w:tcW w:w="1334" w:type="dxa"/>
                  <w:tcBorders>
                    <w:tl2br w:val="nil"/>
                    <w:tr2bl w:val="nil"/>
                  </w:tcBorders>
                  <w:vAlign w:val="center"/>
                </w:tcPr>
                <w:p w14:paraId="61196983">
                  <w:pPr>
                    <w:keepNext w:val="0"/>
                    <w:keepLines w:val="0"/>
                    <w:widowControl/>
                    <w:suppressLineNumbers w:val="0"/>
                    <w:jc w:val="center"/>
                    <w:textAlignment w:val="center"/>
                    <w:rPr>
                      <w:color w:val="auto"/>
                    </w:rPr>
                  </w:pPr>
                  <w:r>
                    <w:rPr>
                      <w:rFonts w:hint="default" w:ascii="Times New Roman" w:hAnsi="Times New Roman" w:eastAsia="宋体" w:cs="Times New Roman"/>
                      <w:i w:val="0"/>
                      <w:iCs w:val="0"/>
                      <w:snapToGrid w:val="0"/>
                      <w:color w:val="auto"/>
                      <w:kern w:val="0"/>
                      <w:sz w:val="21"/>
                      <w:szCs w:val="21"/>
                      <w:u w:val="none"/>
                      <w:lang w:val="en-US" w:eastAsia="zh-CN" w:bidi="ar"/>
                    </w:rPr>
                    <w:t>0.18</w:t>
                  </w:r>
                </w:p>
              </w:tc>
              <w:tc>
                <w:tcPr>
                  <w:tcW w:w="1918" w:type="dxa"/>
                  <w:tcBorders>
                    <w:tl2br w:val="nil"/>
                    <w:tr2bl w:val="nil"/>
                  </w:tcBorders>
                  <w:vAlign w:val="center"/>
                </w:tcPr>
                <w:p w14:paraId="21C12E7D">
                  <w:pPr>
                    <w:keepNext w:val="0"/>
                    <w:keepLines w:val="0"/>
                    <w:widowControl/>
                    <w:suppressLineNumbers w:val="0"/>
                    <w:jc w:val="center"/>
                    <w:textAlignment w:val="center"/>
                    <w:rPr>
                      <w:rFonts w:hint="default" w:eastAsia="宋体"/>
                      <w:color w:val="auto"/>
                      <w:lang w:val="en-US" w:eastAsia="zh-CN"/>
                    </w:rPr>
                  </w:pPr>
                  <w:r>
                    <w:rPr>
                      <w:rFonts w:hint="default" w:ascii="Times New Roman" w:hAnsi="Times New Roman" w:eastAsia="宋体" w:cs="Times New Roman"/>
                      <w:i w:val="0"/>
                      <w:iCs w:val="0"/>
                      <w:snapToGrid w:val="0"/>
                      <w:color w:val="auto"/>
                      <w:kern w:val="0"/>
                      <w:sz w:val="21"/>
                      <w:szCs w:val="21"/>
                      <w:u w:val="none"/>
                      <w:lang w:val="en-US" w:eastAsia="zh-CN" w:bidi="ar"/>
                    </w:rPr>
                    <w:t>0.18</w:t>
                  </w:r>
                </w:p>
              </w:tc>
            </w:tr>
            <w:tr w14:paraId="4B7314E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cantSplit/>
                <w:jc w:val="center"/>
              </w:trPr>
              <w:tc>
                <w:tcPr>
                  <w:tcW w:w="384" w:type="pct"/>
                  <w:vMerge w:val="continue"/>
                  <w:tcBorders>
                    <w:tl2br w:val="nil"/>
                    <w:tr2bl w:val="nil"/>
                  </w:tcBorders>
                  <w:vAlign w:val="center"/>
                </w:tcPr>
                <w:p w14:paraId="549FCD22">
                  <w:pPr>
                    <w:adjustRightInd w:val="0"/>
                    <w:snapToGrid w:val="0"/>
                    <w:jc w:val="center"/>
                    <w:rPr>
                      <w:color w:val="auto"/>
                    </w:rPr>
                  </w:pPr>
                </w:p>
              </w:tc>
              <w:tc>
                <w:tcPr>
                  <w:tcW w:w="1217" w:type="pct"/>
                  <w:gridSpan w:val="2"/>
                  <w:tcBorders>
                    <w:tl2br w:val="nil"/>
                    <w:tr2bl w:val="nil"/>
                  </w:tcBorders>
                  <w:vAlign w:val="center"/>
                </w:tcPr>
                <w:p w14:paraId="2289AA23">
                  <w:pPr>
                    <w:widowControl/>
                    <w:adjustRightInd w:val="0"/>
                    <w:snapToGrid w:val="0"/>
                    <w:jc w:val="center"/>
                    <w:rPr>
                      <w:b/>
                      <w:bCs/>
                      <w:color w:val="auto"/>
                    </w:rPr>
                  </w:pPr>
                  <w:r>
                    <w:rPr>
                      <w:color w:val="auto"/>
                      <w:kern w:val="0"/>
                    </w:rPr>
                    <w:t>NH</w:t>
                  </w:r>
                  <w:r>
                    <w:rPr>
                      <w:color w:val="auto"/>
                      <w:kern w:val="0"/>
                      <w:vertAlign w:val="subscript"/>
                    </w:rPr>
                    <w:t>3</w:t>
                  </w:r>
                  <w:r>
                    <w:rPr>
                      <w:color w:val="auto"/>
                      <w:kern w:val="0"/>
                    </w:rPr>
                    <w:t>-N</w:t>
                  </w:r>
                </w:p>
              </w:tc>
              <w:tc>
                <w:tcPr>
                  <w:tcW w:w="1434" w:type="dxa"/>
                  <w:tcBorders>
                    <w:tl2br w:val="nil"/>
                    <w:tr2bl w:val="nil"/>
                  </w:tcBorders>
                  <w:vAlign w:val="center"/>
                </w:tcPr>
                <w:p w14:paraId="2A08C718">
                  <w:pPr>
                    <w:keepNext w:val="0"/>
                    <w:keepLines w:val="0"/>
                    <w:widowControl/>
                    <w:suppressLineNumbers w:val="0"/>
                    <w:jc w:val="center"/>
                    <w:textAlignment w:val="center"/>
                    <w:rPr>
                      <w:color w:val="auto"/>
                      <w:kern w:val="0"/>
                      <w:lang w:bidi="ar"/>
                    </w:rPr>
                  </w:pPr>
                  <w:r>
                    <w:rPr>
                      <w:rFonts w:hint="default" w:ascii="Times New Roman" w:hAnsi="Times New Roman" w:eastAsia="宋体" w:cs="Times New Roman"/>
                      <w:i w:val="0"/>
                      <w:iCs w:val="0"/>
                      <w:snapToGrid w:val="0"/>
                      <w:color w:val="auto"/>
                      <w:kern w:val="0"/>
                      <w:sz w:val="21"/>
                      <w:szCs w:val="21"/>
                      <w:u w:val="none"/>
                      <w:lang w:val="en-US" w:eastAsia="zh-CN" w:bidi="ar"/>
                    </w:rPr>
                    <w:t>0.0252</w:t>
                  </w:r>
                </w:p>
              </w:tc>
              <w:tc>
                <w:tcPr>
                  <w:tcW w:w="714" w:type="pct"/>
                  <w:tcBorders>
                    <w:tl2br w:val="nil"/>
                    <w:tr2bl w:val="nil"/>
                  </w:tcBorders>
                  <w:vAlign w:val="center"/>
                </w:tcPr>
                <w:p w14:paraId="46069892">
                  <w:pPr>
                    <w:widowControl/>
                    <w:jc w:val="center"/>
                    <w:textAlignment w:val="center"/>
                    <w:rPr>
                      <w:color w:val="auto"/>
                      <w:kern w:val="0"/>
                      <w:lang w:bidi="ar"/>
                    </w:rPr>
                  </w:pPr>
                  <w:r>
                    <w:rPr>
                      <w:rFonts w:hint="eastAsia"/>
                      <w:color w:val="auto"/>
                      <w:kern w:val="0"/>
                      <w:lang w:bidi="ar"/>
                    </w:rPr>
                    <w:t>0</w:t>
                  </w:r>
                </w:p>
              </w:tc>
              <w:tc>
                <w:tcPr>
                  <w:tcW w:w="1334" w:type="dxa"/>
                  <w:tcBorders>
                    <w:tl2br w:val="nil"/>
                    <w:tr2bl w:val="nil"/>
                  </w:tcBorders>
                  <w:vAlign w:val="center"/>
                </w:tcPr>
                <w:p w14:paraId="73E90AD0">
                  <w:pPr>
                    <w:keepNext w:val="0"/>
                    <w:keepLines w:val="0"/>
                    <w:widowControl/>
                    <w:suppressLineNumbers w:val="0"/>
                    <w:jc w:val="center"/>
                    <w:textAlignment w:val="center"/>
                    <w:rPr>
                      <w:color w:val="auto"/>
                    </w:rPr>
                  </w:pPr>
                  <w:r>
                    <w:rPr>
                      <w:rFonts w:hint="default" w:ascii="Times New Roman" w:hAnsi="Times New Roman" w:eastAsia="宋体" w:cs="Times New Roman"/>
                      <w:i w:val="0"/>
                      <w:iCs w:val="0"/>
                      <w:snapToGrid w:val="0"/>
                      <w:color w:val="auto"/>
                      <w:kern w:val="0"/>
                      <w:sz w:val="21"/>
                      <w:szCs w:val="21"/>
                      <w:u w:val="none"/>
                      <w:lang w:val="en-US" w:eastAsia="zh-CN" w:bidi="ar"/>
                    </w:rPr>
                    <w:t>0.0252</w:t>
                  </w:r>
                </w:p>
              </w:tc>
              <w:tc>
                <w:tcPr>
                  <w:tcW w:w="1918" w:type="dxa"/>
                  <w:tcBorders>
                    <w:tl2br w:val="nil"/>
                    <w:tr2bl w:val="nil"/>
                  </w:tcBorders>
                  <w:vAlign w:val="center"/>
                </w:tcPr>
                <w:p w14:paraId="76723B94">
                  <w:pPr>
                    <w:keepNext w:val="0"/>
                    <w:keepLines w:val="0"/>
                    <w:widowControl/>
                    <w:suppressLineNumbers w:val="0"/>
                    <w:jc w:val="center"/>
                    <w:textAlignment w:val="center"/>
                    <w:rPr>
                      <w:rFonts w:hint="default" w:eastAsia="宋体"/>
                      <w:color w:val="auto"/>
                      <w:lang w:val="en-US" w:eastAsia="zh-CN"/>
                    </w:rPr>
                  </w:pPr>
                  <w:r>
                    <w:rPr>
                      <w:rFonts w:hint="default" w:ascii="Times New Roman" w:hAnsi="Times New Roman" w:eastAsia="宋体" w:cs="Times New Roman"/>
                      <w:i w:val="0"/>
                      <w:iCs w:val="0"/>
                      <w:snapToGrid w:val="0"/>
                      <w:color w:val="auto"/>
                      <w:kern w:val="0"/>
                      <w:sz w:val="21"/>
                      <w:szCs w:val="21"/>
                      <w:u w:val="none"/>
                      <w:lang w:val="en-US" w:eastAsia="zh-CN" w:bidi="ar"/>
                    </w:rPr>
                    <w:t>0.0252</w:t>
                  </w:r>
                </w:p>
              </w:tc>
            </w:tr>
            <w:tr w14:paraId="43863DF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cantSplit/>
                <w:jc w:val="center"/>
              </w:trPr>
              <w:tc>
                <w:tcPr>
                  <w:tcW w:w="384" w:type="pct"/>
                  <w:vMerge w:val="continue"/>
                  <w:tcBorders>
                    <w:tl2br w:val="nil"/>
                    <w:tr2bl w:val="nil"/>
                  </w:tcBorders>
                  <w:vAlign w:val="center"/>
                </w:tcPr>
                <w:p w14:paraId="21A30B7C">
                  <w:pPr>
                    <w:adjustRightInd w:val="0"/>
                    <w:snapToGrid w:val="0"/>
                    <w:jc w:val="center"/>
                    <w:rPr>
                      <w:color w:val="auto"/>
                    </w:rPr>
                  </w:pPr>
                </w:p>
              </w:tc>
              <w:tc>
                <w:tcPr>
                  <w:tcW w:w="1217" w:type="pct"/>
                  <w:gridSpan w:val="2"/>
                  <w:tcBorders>
                    <w:tl2br w:val="nil"/>
                    <w:tr2bl w:val="nil"/>
                  </w:tcBorders>
                  <w:vAlign w:val="center"/>
                </w:tcPr>
                <w:p w14:paraId="192B7F56">
                  <w:pPr>
                    <w:adjustRightInd w:val="0"/>
                    <w:snapToGrid w:val="0"/>
                    <w:jc w:val="center"/>
                    <w:textAlignment w:val="center"/>
                    <w:rPr>
                      <w:b/>
                      <w:bCs/>
                      <w:color w:val="auto"/>
                    </w:rPr>
                  </w:pPr>
                  <w:r>
                    <w:rPr>
                      <w:color w:val="auto"/>
                      <w:kern w:val="0"/>
                    </w:rPr>
                    <w:t>TP</w:t>
                  </w:r>
                </w:p>
              </w:tc>
              <w:tc>
                <w:tcPr>
                  <w:tcW w:w="1434" w:type="dxa"/>
                  <w:tcBorders>
                    <w:tl2br w:val="nil"/>
                    <w:tr2bl w:val="nil"/>
                  </w:tcBorders>
                  <w:vAlign w:val="center"/>
                </w:tcPr>
                <w:p w14:paraId="58190BE3">
                  <w:pPr>
                    <w:keepNext w:val="0"/>
                    <w:keepLines w:val="0"/>
                    <w:widowControl/>
                    <w:suppressLineNumbers w:val="0"/>
                    <w:jc w:val="center"/>
                    <w:textAlignment w:val="center"/>
                    <w:rPr>
                      <w:color w:val="auto"/>
                      <w:kern w:val="0"/>
                      <w:lang w:bidi="ar"/>
                    </w:rPr>
                  </w:pPr>
                  <w:r>
                    <w:rPr>
                      <w:rFonts w:hint="default" w:ascii="Times New Roman" w:hAnsi="Times New Roman" w:eastAsia="宋体" w:cs="Times New Roman"/>
                      <w:i w:val="0"/>
                      <w:iCs w:val="0"/>
                      <w:snapToGrid w:val="0"/>
                      <w:color w:val="auto"/>
                      <w:kern w:val="0"/>
                      <w:sz w:val="21"/>
                      <w:szCs w:val="21"/>
                      <w:u w:val="none"/>
                      <w:lang w:val="en-US" w:eastAsia="zh-CN" w:bidi="ar"/>
                    </w:rPr>
                    <w:t>0.00216</w:t>
                  </w:r>
                </w:p>
              </w:tc>
              <w:tc>
                <w:tcPr>
                  <w:tcW w:w="714" w:type="pct"/>
                  <w:tcBorders>
                    <w:tl2br w:val="nil"/>
                    <w:tr2bl w:val="nil"/>
                  </w:tcBorders>
                  <w:vAlign w:val="center"/>
                </w:tcPr>
                <w:p w14:paraId="619282BE">
                  <w:pPr>
                    <w:widowControl/>
                    <w:jc w:val="center"/>
                    <w:textAlignment w:val="center"/>
                    <w:rPr>
                      <w:color w:val="auto"/>
                      <w:kern w:val="0"/>
                      <w:lang w:bidi="ar"/>
                    </w:rPr>
                  </w:pPr>
                  <w:r>
                    <w:rPr>
                      <w:color w:val="auto"/>
                      <w:kern w:val="0"/>
                      <w:lang w:bidi="ar"/>
                    </w:rPr>
                    <w:t>0</w:t>
                  </w:r>
                </w:p>
              </w:tc>
              <w:tc>
                <w:tcPr>
                  <w:tcW w:w="1334" w:type="dxa"/>
                  <w:tcBorders>
                    <w:tl2br w:val="nil"/>
                    <w:tr2bl w:val="nil"/>
                  </w:tcBorders>
                  <w:vAlign w:val="center"/>
                </w:tcPr>
                <w:p w14:paraId="4C61A748">
                  <w:pPr>
                    <w:keepNext w:val="0"/>
                    <w:keepLines w:val="0"/>
                    <w:widowControl/>
                    <w:suppressLineNumbers w:val="0"/>
                    <w:jc w:val="center"/>
                    <w:textAlignment w:val="center"/>
                    <w:rPr>
                      <w:color w:val="auto"/>
                    </w:rPr>
                  </w:pPr>
                  <w:r>
                    <w:rPr>
                      <w:rFonts w:hint="default" w:ascii="Times New Roman" w:hAnsi="Times New Roman" w:eastAsia="宋体" w:cs="Times New Roman"/>
                      <w:i w:val="0"/>
                      <w:iCs w:val="0"/>
                      <w:snapToGrid w:val="0"/>
                      <w:color w:val="auto"/>
                      <w:kern w:val="0"/>
                      <w:sz w:val="21"/>
                      <w:szCs w:val="21"/>
                      <w:u w:val="none"/>
                      <w:lang w:val="en-US" w:eastAsia="zh-CN" w:bidi="ar"/>
                    </w:rPr>
                    <w:t>0.00216</w:t>
                  </w:r>
                </w:p>
              </w:tc>
              <w:tc>
                <w:tcPr>
                  <w:tcW w:w="1918" w:type="dxa"/>
                  <w:tcBorders>
                    <w:tl2br w:val="nil"/>
                    <w:tr2bl w:val="nil"/>
                  </w:tcBorders>
                  <w:vAlign w:val="center"/>
                </w:tcPr>
                <w:p w14:paraId="51CA53AB">
                  <w:pPr>
                    <w:keepNext w:val="0"/>
                    <w:keepLines w:val="0"/>
                    <w:widowControl/>
                    <w:suppressLineNumbers w:val="0"/>
                    <w:jc w:val="center"/>
                    <w:textAlignment w:val="center"/>
                    <w:rPr>
                      <w:rFonts w:hint="default" w:eastAsia="仿宋"/>
                      <w:color w:val="auto"/>
                      <w:lang w:val="en-US" w:eastAsia="zh-CN"/>
                    </w:rPr>
                  </w:pPr>
                  <w:r>
                    <w:rPr>
                      <w:rFonts w:hint="default" w:ascii="Times New Roman" w:hAnsi="Times New Roman" w:eastAsia="宋体" w:cs="Times New Roman"/>
                      <w:i w:val="0"/>
                      <w:iCs w:val="0"/>
                      <w:snapToGrid w:val="0"/>
                      <w:color w:val="auto"/>
                      <w:kern w:val="0"/>
                      <w:sz w:val="21"/>
                      <w:szCs w:val="21"/>
                      <w:u w:val="none"/>
                      <w:lang w:val="en-US" w:eastAsia="zh-CN" w:bidi="ar"/>
                    </w:rPr>
                    <w:t>0.00216</w:t>
                  </w:r>
                </w:p>
              </w:tc>
            </w:tr>
            <w:tr w14:paraId="21B35AB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cantSplit/>
                <w:jc w:val="center"/>
              </w:trPr>
              <w:tc>
                <w:tcPr>
                  <w:tcW w:w="384" w:type="pct"/>
                  <w:vMerge w:val="continue"/>
                  <w:tcBorders>
                    <w:tl2br w:val="nil"/>
                    <w:tr2bl w:val="nil"/>
                  </w:tcBorders>
                  <w:vAlign w:val="center"/>
                </w:tcPr>
                <w:p w14:paraId="378A4424">
                  <w:pPr>
                    <w:adjustRightInd w:val="0"/>
                    <w:snapToGrid w:val="0"/>
                    <w:jc w:val="center"/>
                    <w:rPr>
                      <w:color w:val="auto"/>
                    </w:rPr>
                  </w:pPr>
                </w:p>
              </w:tc>
              <w:tc>
                <w:tcPr>
                  <w:tcW w:w="1217" w:type="pct"/>
                  <w:gridSpan w:val="2"/>
                  <w:tcBorders>
                    <w:tl2br w:val="nil"/>
                    <w:tr2bl w:val="nil"/>
                  </w:tcBorders>
                  <w:vAlign w:val="center"/>
                </w:tcPr>
                <w:p w14:paraId="4ED70F7B">
                  <w:pPr>
                    <w:adjustRightInd w:val="0"/>
                    <w:snapToGrid w:val="0"/>
                    <w:jc w:val="center"/>
                    <w:textAlignment w:val="center"/>
                    <w:rPr>
                      <w:color w:val="auto"/>
                      <w:kern w:val="0"/>
                      <w:lang w:bidi="ar"/>
                    </w:rPr>
                  </w:pPr>
                  <w:r>
                    <w:rPr>
                      <w:color w:val="auto"/>
                      <w:kern w:val="0"/>
                    </w:rPr>
                    <w:t>TN</w:t>
                  </w:r>
                </w:p>
              </w:tc>
              <w:tc>
                <w:tcPr>
                  <w:tcW w:w="1434" w:type="dxa"/>
                  <w:tcBorders>
                    <w:tl2br w:val="nil"/>
                    <w:tr2bl w:val="nil"/>
                  </w:tcBorders>
                  <w:vAlign w:val="center"/>
                </w:tcPr>
                <w:p w14:paraId="29F782B3">
                  <w:pPr>
                    <w:keepNext w:val="0"/>
                    <w:keepLines w:val="0"/>
                    <w:widowControl/>
                    <w:suppressLineNumbers w:val="0"/>
                    <w:jc w:val="center"/>
                    <w:textAlignment w:val="center"/>
                    <w:rPr>
                      <w:color w:val="auto"/>
                      <w:kern w:val="0"/>
                      <w:lang w:bidi="ar"/>
                    </w:rPr>
                  </w:pPr>
                  <w:r>
                    <w:rPr>
                      <w:rFonts w:hint="default" w:ascii="Times New Roman" w:hAnsi="Times New Roman" w:eastAsia="宋体" w:cs="Times New Roman"/>
                      <w:i w:val="0"/>
                      <w:iCs w:val="0"/>
                      <w:snapToGrid w:val="0"/>
                      <w:color w:val="auto"/>
                      <w:kern w:val="0"/>
                      <w:sz w:val="21"/>
                      <w:szCs w:val="21"/>
                      <w:u w:val="none"/>
                      <w:lang w:val="en-US" w:eastAsia="zh-CN" w:bidi="ar"/>
                    </w:rPr>
                    <w:t>0.036</w:t>
                  </w:r>
                </w:p>
              </w:tc>
              <w:tc>
                <w:tcPr>
                  <w:tcW w:w="714" w:type="pct"/>
                  <w:tcBorders>
                    <w:tl2br w:val="nil"/>
                    <w:tr2bl w:val="nil"/>
                  </w:tcBorders>
                  <w:vAlign w:val="center"/>
                </w:tcPr>
                <w:p w14:paraId="0D83C310">
                  <w:pPr>
                    <w:widowControl/>
                    <w:jc w:val="center"/>
                    <w:textAlignment w:val="center"/>
                    <w:rPr>
                      <w:color w:val="auto"/>
                      <w:kern w:val="0"/>
                      <w:lang w:bidi="ar"/>
                    </w:rPr>
                  </w:pPr>
                  <w:r>
                    <w:rPr>
                      <w:color w:val="auto"/>
                      <w:kern w:val="0"/>
                      <w:lang w:bidi="ar"/>
                    </w:rPr>
                    <w:t>0</w:t>
                  </w:r>
                </w:p>
              </w:tc>
              <w:tc>
                <w:tcPr>
                  <w:tcW w:w="1334" w:type="dxa"/>
                  <w:tcBorders>
                    <w:tl2br w:val="nil"/>
                    <w:tr2bl w:val="nil"/>
                  </w:tcBorders>
                  <w:vAlign w:val="center"/>
                </w:tcPr>
                <w:p w14:paraId="1C810E94">
                  <w:pPr>
                    <w:keepNext w:val="0"/>
                    <w:keepLines w:val="0"/>
                    <w:widowControl/>
                    <w:suppressLineNumbers w:val="0"/>
                    <w:jc w:val="center"/>
                    <w:textAlignment w:val="center"/>
                    <w:rPr>
                      <w:color w:val="auto"/>
                    </w:rPr>
                  </w:pPr>
                  <w:r>
                    <w:rPr>
                      <w:rFonts w:hint="default" w:ascii="Times New Roman" w:hAnsi="Times New Roman" w:eastAsia="宋体" w:cs="Times New Roman"/>
                      <w:i w:val="0"/>
                      <w:iCs w:val="0"/>
                      <w:snapToGrid w:val="0"/>
                      <w:color w:val="auto"/>
                      <w:kern w:val="0"/>
                      <w:sz w:val="21"/>
                      <w:szCs w:val="21"/>
                      <w:u w:val="none"/>
                      <w:lang w:val="en-US" w:eastAsia="zh-CN" w:bidi="ar"/>
                    </w:rPr>
                    <w:t>0.036</w:t>
                  </w:r>
                </w:p>
              </w:tc>
              <w:tc>
                <w:tcPr>
                  <w:tcW w:w="1918" w:type="dxa"/>
                  <w:tcBorders>
                    <w:tl2br w:val="nil"/>
                    <w:tr2bl w:val="nil"/>
                  </w:tcBorders>
                  <w:vAlign w:val="center"/>
                </w:tcPr>
                <w:p w14:paraId="64154F59">
                  <w:pPr>
                    <w:keepNext w:val="0"/>
                    <w:keepLines w:val="0"/>
                    <w:widowControl/>
                    <w:suppressLineNumbers w:val="0"/>
                    <w:jc w:val="center"/>
                    <w:textAlignment w:val="center"/>
                    <w:rPr>
                      <w:rFonts w:hint="default" w:eastAsia="仿宋"/>
                      <w:color w:val="auto"/>
                      <w:lang w:val="en-US" w:eastAsia="zh-CN"/>
                    </w:rPr>
                  </w:pPr>
                  <w:r>
                    <w:rPr>
                      <w:rFonts w:hint="default" w:ascii="Times New Roman" w:hAnsi="Times New Roman" w:eastAsia="宋体" w:cs="Times New Roman"/>
                      <w:i w:val="0"/>
                      <w:iCs w:val="0"/>
                      <w:snapToGrid w:val="0"/>
                      <w:color w:val="auto"/>
                      <w:kern w:val="0"/>
                      <w:sz w:val="21"/>
                      <w:szCs w:val="21"/>
                      <w:u w:val="none"/>
                      <w:lang w:val="en-US" w:eastAsia="zh-CN" w:bidi="ar"/>
                    </w:rPr>
                    <w:t>0.036</w:t>
                  </w:r>
                </w:p>
              </w:tc>
            </w:tr>
            <w:tr w14:paraId="3DA1171F">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cantSplit/>
                <w:jc w:val="center"/>
              </w:trPr>
              <w:tc>
                <w:tcPr>
                  <w:tcW w:w="384" w:type="pct"/>
                  <w:vMerge w:val="restart"/>
                  <w:tcBorders>
                    <w:tl2br w:val="nil"/>
                    <w:tr2bl w:val="nil"/>
                  </w:tcBorders>
                  <w:vAlign w:val="center"/>
                </w:tcPr>
                <w:p w14:paraId="1953C2EF">
                  <w:pPr>
                    <w:adjustRightInd w:val="0"/>
                    <w:snapToGrid w:val="0"/>
                    <w:jc w:val="center"/>
                    <w:rPr>
                      <w:color w:val="auto"/>
                    </w:rPr>
                  </w:pPr>
                  <w:r>
                    <w:rPr>
                      <w:color w:val="auto"/>
                    </w:rPr>
                    <w:t>固废</w:t>
                  </w:r>
                </w:p>
              </w:tc>
              <w:tc>
                <w:tcPr>
                  <w:tcW w:w="1217" w:type="pct"/>
                  <w:gridSpan w:val="2"/>
                  <w:tcBorders>
                    <w:tl2br w:val="nil"/>
                    <w:tr2bl w:val="nil"/>
                  </w:tcBorders>
                  <w:vAlign w:val="center"/>
                </w:tcPr>
                <w:p w14:paraId="6F34453A">
                  <w:pPr>
                    <w:adjustRightInd w:val="0"/>
                    <w:snapToGrid w:val="0"/>
                    <w:jc w:val="center"/>
                    <w:rPr>
                      <w:color w:val="auto"/>
                    </w:rPr>
                  </w:pPr>
                  <w:r>
                    <w:rPr>
                      <w:color w:val="auto"/>
                    </w:rPr>
                    <w:t>生活垃圾</w:t>
                  </w:r>
                </w:p>
              </w:tc>
              <w:tc>
                <w:tcPr>
                  <w:tcW w:w="821" w:type="pct"/>
                  <w:tcBorders>
                    <w:tl2br w:val="nil"/>
                    <w:tr2bl w:val="nil"/>
                  </w:tcBorders>
                  <w:vAlign w:val="center"/>
                </w:tcPr>
                <w:p w14:paraId="0FF26C81">
                  <w:pPr>
                    <w:adjustRightInd w:val="0"/>
                    <w:snapToGrid w:val="0"/>
                    <w:jc w:val="center"/>
                    <w:rPr>
                      <w:rFonts w:hint="default" w:eastAsia="宋体"/>
                      <w:color w:val="auto"/>
                      <w:lang w:val="en-US" w:eastAsia="zh-CN"/>
                    </w:rPr>
                  </w:pPr>
                  <w:r>
                    <w:rPr>
                      <w:rFonts w:hint="eastAsia"/>
                      <w:color w:val="auto"/>
                      <w:lang w:val="en-US" w:eastAsia="zh-CN"/>
                    </w:rPr>
                    <w:t>9</w:t>
                  </w:r>
                </w:p>
              </w:tc>
              <w:tc>
                <w:tcPr>
                  <w:tcW w:w="714" w:type="pct"/>
                  <w:tcBorders>
                    <w:tl2br w:val="nil"/>
                    <w:tr2bl w:val="nil"/>
                  </w:tcBorders>
                  <w:vAlign w:val="center"/>
                </w:tcPr>
                <w:p w14:paraId="4C77BA61">
                  <w:pPr>
                    <w:adjustRightInd w:val="0"/>
                    <w:snapToGrid w:val="0"/>
                    <w:jc w:val="center"/>
                    <w:rPr>
                      <w:rFonts w:hint="default" w:eastAsia="宋体"/>
                      <w:color w:val="auto"/>
                      <w:lang w:val="en-US" w:eastAsia="zh-CN"/>
                    </w:rPr>
                  </w:pPr>
                  <w:r>
                    <w:rPr>
                      <w:rFonts w:hint="eastAsia"/>
                      <w:color w:val="auto"/>
                      <w:lang w:val="en-US" w:eastAsia="zh-CN"/>
                    </w:rPr>
                    <w:t>9</w:t>
                  </w:r>
                </w:p>
              </w:tc>
              <w:tc>
                <w:tcPr>
                  <w:tcW w:w="764" w:type="pct"/>
                  <w:tcBorders>
                    <w:tl2br w:val="nil"/>
                    <w:tr2bl w:val="nil"/>
                  </w:tcBorders>
                  <w:vAlign w:val="center"/>
                </w:tcPr>
                <w:p w14:paraId="0F8C28BC">
                  <w:pPr>
                    <w:adjustRightInd w:val="0"/>
                    <w:snapToGrid w:val="0"/>
                    <w:jc w:val="center"/>
                    <w:rPr>
                      <w:color w:val="auto"/>
                    </w:rPr>
                  </w:pPr>
                  <w:r>
                    <w:rPr>
                      <w:color w:val="auto"/>
                      <w:kern w:val="0"/>
                      <w:lang w:bidi="ar"/>
                    </w:rPr>
                    <w:t>/</w:t>
                  </w:r>
                </w:p>
              </w:tc>
              <w:tc>
                <w:tcPr>
                  <w:tcW w:w="1098" w:type="pct"/>
                  <w:tcBorders>
                    <w:tl2br w:val="nil"/>
                    <w:tr2bl w:val="nil"/>
                  </w:tcBorders>
                  <w:vAlign w:val="center"/>
                </w:tcPr>
                <w:p w14:paraId="2ADE4B4C">
                  <w:pPr>
                    <w:adjustRightInd w:val="0"/>
                    <w:snapToGrid w:val="0"/>
                    <w:jc w:val="center"/>
                    <w:rPr>
                      <w:color w:val="auto"/>
                    </w:rPr>
                  </w:pPr>
                  <w:r>
                    <w:rPr>
                      <w:color w:val="auto"/>
                    </w:rPr>
                    <w:t>0</w:t>
                  </w:r>
                </w:p>
              </w:tc>
            </w:tr>
            <w:tr w14:paraId="30A8E74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cantSplit/>
                <w:jc w:val="center"/>
              </w:trPr>
              <w:tc>
                <w:tcPr>
                  <w:tcW w:w="384" w:type="pct"/>
                  <w:vMerge w:val="continue"/>
                  <w:tcBorders>
                    <w:tl2br w:val="nil"/>
                    <w:tr2bl w:val="nil"/>
                  </w:tcBorders>
                  <w:vAlign w:val="center"/>
                </w:tcPr>
                <w:p w14:paraId="06ABCFC0">
                  <w:pPr>
                    <w:adjustRightInd w:val="0"/>
                    <w:snapToGrid w:val="0"/>
                    <w:jc w:val="center"/>
                    <w:rPr>
                      <w:color w:val="auto"/>
                    </w:rPr>
                  </w:pPr>
                </w:p>
              </w:tc>
              <w:tc>
                <w:tcPr>
                  <w:tcW w:w="1217" w:type="pct"/>
                  <w:gridSpan w:val="2"/>
                  <w:tcBorders>
                    <w:tl2br w:val="nil"/>
                    <w:tr2bl w:val="nil"/>
                  </w:tcBorders>
                  <w:vAlign w:val="center"/>
                </w:tcPr>
                <w:p w14:paraId="6A72937D">
                  <w:pPr>
                    <w:adjustRightInd w:val="0"/>
                    <w:snapToGrid w:val="0"/>
                    <w:jc w:val="center"/>
                    <w:rPr>
                      <w:color w:val="auto"/>
                    </w:rPr>
                  </w:pPr>
                  <w:r>
                    <w:rPr>
                      <w:color w:val="auto"/>
                    </w:rPr>
                    <w:t>一般固废</w:t>
                  </w:r>
                </w:p>
              </w:tc>
              <w:tc>
                <w:tcPr>
                  <w:tcW w:w="821" w:type="pct"/>
                  <w:tcBorders>
                    <w:tl2br w:val="nil"/>
                    <w:tr2bl w:val="nil"/>
                  </w:tcBorders>
                  <w:vAlign w:val="center"/>
                </w:tcPr>
                <w:p w14:paraId="3E4BED36">
                  <w:pPr>
                    <w:adjustRightInd w:val="0"/>
                    <w:snapToGrid w:val="0"/>
                    <w:jc w:val="center"/>
                    <w:rPr>
                      <w:rFonts w:hint="default" w:eastAsia="宋体"/>
                      <w:color w:val="auto"/>
                      <w:lang w:val="en-US" w:eastAsia="zh-CN"/>
                    </w:rPr>
                  </w:pPr>
                  <w:r>
                    <w:rPr>
                      <w:rFonts w:hint="eastAsia"/>
                      <w:color w:val="auto"/>
                      <w:lang w:val="en-US" w:eastAsia="zh-CN"/>
                    </w:rPr>
                    <w:t>3</w:t>
                  </w:r>
                </w:p>
              </w:tc>
              <w:tc>
                <w:tcPr>
                  <w:tcW w:w="714" w:type="pct"/>
                  <w:tcBorders>
                    <w:tl2br w:val="nil"/>
                    <w:tr2bl w:val="nil"/>
                  </w:tcBorders>
                  <w:vAlign w:val="center"/>
                </w:tcPr>
                <w:p w14:paraId="56FB89D6">
                  <w:pPr>
                    <w:adjustRightInd w:val="0"/>
                    <w:snapToGrid w:val="0"/>
                    <w:jc w:val="center"/>
                    <w:rPr>
                      <w:rFonts w:hint="default" w:eastAsia="宋体"/>
                      <w:color w:val="auto"/>
                      <w:lang w:val="en-US" w:eastAsia="zh-CN"/>
                    </w:rPr>
                  </w:pPr>
                  <w:r>
                    <w:rPr>
                      <w:rFonts w:hint="eastAsia"/>
                      <w:color w:val="auto"/>
                      <w:lang w:val="en-US" w:eastAsia="zh-CN"/>
                    </w:rPr>
                    <w:t>3</w:t>
                  </w:r>
                </w:p>
              </w:tc>
              <w:tc>
                <w:tcPr>
                  <w:tcW w:w="764" w:type="pct"/>
                  <w:tcBorders>
                    <w:tl2br w:val="nil"/>
                    <w:tr2bl w:val="nil"/>
                  </w:tcBorders>
                  <w:vAlign w:val="center"/>
                </w:tcPr>
                <w:p w14:paraId="58779004">
                  <w:pPr>
                    <w:adjustRightInd w:val="0"/>
                    <w:snapToGrid w:val="0"/>
                    <w:jc w:val="center"/>
                    <w:rPr>
                      <w:color w:val="auto"/>
                    </w:rPr>
                  </w:pPr>
                  <w:r>
                    <w:rPr>
                      <w:color w:val="auto"/>
                      <w:kern w:val="0"/>
                      <w:lang w:bidi="ar"/>
                    </w:rPr>
                    <w:t>/</w:t>
                  </w:r>
                </w:p>
              </w:tc>
              <w:tc>
                <w:tcPr>
                  <w:tcW w:w="1098" w:type="pct"/>
                  <w:tcBorders>
                    <w:tl2br w:val="nil"/>
                    <w:tr2bl w:val="nil"/>
                  </w:tcBorders>
                  <w:vAlign w:val="center"/>
                </w:tcPr>
                <w:p w14:paraId="25433FB0">
                  <w:pPr>
                    <w:adjustRightInd w:val="0"/>
                    <w:snapToGrid w:val="0"/>
                    <w:jc w:val="center"/>
                    <w:rPr>
                      <w:color w:val="auto"/>
                    </w:rPr>
                  </w:pPr>
                  <w:r>
                    <w:rPr>
                      <w:color w:val="auto"/>
                    </w:rPr>
                    <w:t>0</w:t>
                  </w:r>
                </w:p>
              </w:tc>
            </w:tr>
            <w:tr w14:paraId="4FA15A7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cantSplit/>
                <w:jc w:val="center"/>
              </w:trPr>
              <w:tc>
                <w:tcPr>
                  <w:tcW w:w="384" w:type="pct"/>
                  <w:vMerge w:val="continue"/>
                  <w:tcBorders>
                    <w:tl2br w:val="nil"/>
                    <w:tr2bl w:val="nil"/>
                  </w:tcBorders>
                  <w:vAlign w:val="center"/>
                </w:tcPr>
                <w:p w14:paraId="13D49AAD">
                  <w:pPr>
                    <w:adjustRightInd w:val="0"/>
                    <w:snapToGrid w:val="0"/>
                    <w:jc w:val="center"/>
                    <w:rPr>
                      <w:color w:val="auto"/>
                    </w:rPr>
                  </w:pPr>
                </w:p>
              </w:tc>
              <w:tc>
                <w:tcPr>
                  <w:tcW w:w="1217" w:type="pct"/>
                  <w:gridSpan w:val="2"/>
                  <w:tcBorders>
                    <w:tl2br w:val="nil"/>
                    <w:tr2bl w:val="nil"/>
                  </w:tcBorders>
                  <w:vAlign w:val="center"/>
                </w:tcPr>
                <w:p w14:paraId="12AB04CE">
                  <w:pPr>
                    <w:adjustRightInd w:val="0"/>
                    <w:snapToGrid w:val="0"/>
                    <w:jc w:val="center"/>
                    <w:rPr>
                      <w:color w:val="auto"/>
                    </w:rPr>
                  </w:pPr>
                  <w:r>
                    <w:rPr>
                      <w:color w:val="auto"/>
                    </w:rPr>
                    <w:t>危险废物</w:t>
                  </w:r>
                </w:p>
              </w:tc>
              <w:tc>
                <w:tcPr>
                  <w:tcW w:w="821" w:type="pct"/>
                  <w:tcBorders>
                    <w:tl2br w:val="nil"/>
                    <w:tr2bl w:val="nil"/>
                  </w:tcBorders>
                  <w:vAlign w:val="center"/>
                </w:tcPr>
                <w:p w14:paraId="6FF0226D">
                  <w:pPr>
                    <w:adjustRightInd w:val="0"/>
                    <w:snapToGrid w:val="0"/>
                    <w:jc w:val="center"/>
                    <w:rPr>
                      <w:rFonts w:hint="default" w:eastAsia="宋体"/>
                      <w:color w:val="auto"/>
                      <w:lang w:val="en-US" w:eastAsia="zh-CN"/>
                    </w:rPr>
                  </w:pPr>
                  <w:r>
                    <w:rPr>
                      <w:rFonts w:hint="eastAsia"/>
                      <w:color w:val="auto"/>
                      <w:lang w:val="en-US" w:eastAsia="zh-CN"/>
                    </w:rPr>
                    <w:t>12.4448</w:t>
                  </w:r>
                </w:p>
              </w:tc>
              <w:tc>
                <w:tcPr>
                  <w:tcW w:w="714" w:type="pct"/>
                  <w:tcBorders>
                    <w:tl2br w:val="nil"/>
                    <w:tr2bl w:val="nil"/>
                  </w:tcBorders>
                  <w:vAlign w:val="center"/>
                </w:tcPr>
                <w:p w14:paraId="17FEF6D1">
                  <w:pPr>
                    <w:adjustRightInd w:val="0"/>
                    <w:snapToGrid w:val="0"/>
                    <w:jc w:val="center"/>
                    <w:rPr>
                      <w:rFonts w:hint="default" w:eastAsia="宋体"/>
                      <w:color w:val="auto"/>
                      <w:lang w:val="en-US" w:eastAsia="zh-CN"/>
                    </w:rPr>
                  </w:pPr>
                  <w:r>
                    <w:rPr>
                      <w:rFonts w:hint="eastAsia"/>
                      <w:color w:val="auto"/>
                      <w:lang w:val="en-US" w:eastAsia="zh-CN"/>
                    </w:rPr>
                    <w:t>12.4448</w:t>
                  </w:r>
                </w:p>
              </w:tc>
              <w:tc>
                <w:tcPr>
                  <w:tcW w:w="764" w:type="pct"/>
                  <w:tcBorders>
                    <w:tl2br w:val="nil"/>
                    <w:tr2bl w:val="nil"/>
                  </w:tcBorders>
                  <w:vAlign w:val="center"/>
                </w:tcPr>
                <w:p w14:paraId="5B51E28C">
                  <w:pPr>
                    <w:adjustRightInd w:val="0"/>
                    <w:snapToGrid w:val="0"/>
                    <w:jc w:val="center"/>
                    <w:rPr>
                      <w:color w:val="auto"/>
                    </w:rPr>
                  </w:pPr>
                  <w:r>
                    <w:rPr>
                      <w:color w:val="auto"/>
                      <w:kern w:val="0"/>
                      <w:lang w:bidi="ar"/>
                    </w:rPr>
                    <w:t>/</w:t>
                  </w:r>
                </w:p>
              </w:tc>
              <w:tc>
                <w:tcPr>
                  <w:tcW w:w="1098" w:type="pct"/>
                  <w:tcBorders>
                    <w:tl2br w:val="nil"/>
                    <w:tr2bl w:val="nil"/>
                  </w:tcBorders>
                  <w:vAlign w:val="center"/>
                </w:tcPr>
                <w:p w14:paraId="4F656C81">
                  <w:pPr>
                    <w:adjustRightInd w:val="0"/>
                    <w:snapToGrid w:val="0"/>
                    <w:jc w:val="center"/>
                    <w:rPr>
                      <w:color w:val="auto"/>
                    </w:rPr>
                  </w:pPr>
                  <w:r>
                    <w:rPr>
                      <w:color w:val="auto"/>
                    </w:rPr>
                    <w:t>0</w:t>
                  </w:r>
                </w:p>
              </w:tc>
            </w:tr>
          </w:tbl>
          <w:p w14:paraId="202E4961">
            <w:pPr>
              <w:adjustRightInd w:val="0"/>
              <w:snapToGrid w:val="0"/>
              <w:spacing w:line="360" w:lineRule="auto"/>
              <w:ind w:firstLine="422" w:firstLineChars="200"/>
              <w:rPr>
                <w:b/>
                <w:bCs/>
                <w:color w:val="auto"/>
              </w:rPr>
            </w:pPr>
            <w:r>
              <w:rPr>
                <w:rFonts w:hint="eastAsia"/>
                <w:b/>
                <w:bCs/>
                <w:color w:val="auto"/>
              </w:rPr>
              <w:t>2、污染物总量平衡方案</w:t>
            </w:r>
          </w:p>
          <w:p w14:paraId="2C656B68">
            <w:pPr>
              <w:spacing w:line="360" w:lineRule="auto"/>
              <w:ind w:firstLine="420" w:firstLineChars="200"/>
              <w:rPr>
                <w:color w:val="auto"/>
              </w:rPr>
            </w:pPr>
            <w:r>
              <w:rPr>
                <w:color w:val="auto"/>
              </w:rPr>
              <w:t>建设单位向常州市金坛生态环境局申请总量，大气污染物排放量应在</w:t>
            </w:r>
            <w:r>
              <w:rPr>
                <w:rFonts w:hint="eastAsia"/>
                <w:color w:val="auto"/>
              </w:rPr>
              <w:t>金坛区</w:t>
            </w:r>
            <w:r>
              <w:rPr>
                <w:color w:val="auto"/>
              </w:rPr>
              <w:t>内平衡；项目废水排放总量已纳入</w:t>
            </w:r>
            <w:r>
              <w:rPr>
                <w:rFonts w:hint="eastAsia"/>
                <w:color w:val="auto"/>
              </w:rPr>
              <w:t>常州金坛区第二污水处理有限公司</w:t>
            </w:r>
            <w:r>
              <w:rPr>
                <w:color w:val="auto"/>
              </w:rPr>
              <w:t>排污总量中，在</w:t>
            </w:r>
            <w:r>
              <w:rPr>
                <w:rFonts w:hint="eastAsia"/>
                <w:color w:val="auto"/>
              </w:rPr>
              <w:t>常州金坛区第二污水处理有限公司</w:t>
            </w:r>
            <w:r>
              <w:rPr>
                <w:color w:val="auto"/>
              </w:rPr>
              <w:t>的污染物排放总量控制指标内进行平衡。</w:t>
            </w:r>
          </w:p>
        </w:tc>
      </w:tr>
    </w:tbl>
    <w:p w14:paraId="4EE47575">
      <w:pPr>
        <w:pStyle w:val="55"/>
        <w:outlineLvl w:val="9"/>
        <w:rPr>
          <w:color w:val="auto"/>
          <w:szCs w:val="24"/>
        </w:rPr>
      </w:pPr>
      <w:r>
        <w:rPr>
          <w:color w:val="auto"/>
          <w:szCs w:val="24"/>
        </w:rPr>
        <w:br w:type="page"/>
      </w:r>
      <w:bookmarkStart w:id="15" w:name="_Toc9736"/>
      <w:bookmarkStart w:id="16" w:name="_Toc7882"/>
      <w:bookmarkStart w:id="17" w:name="_Toc137559022"/>
    </w:p>
    <w:p w14:paraId="5E16F626">
      <w:pPr>
        <w:pStyle w:val="55"/>
        <w:rPr>
          <w:color w:val="auto"/>
        </w:rPr>
      </w:pPr>
      <w:r>
        <w:rPr>
          <w:color w:val="auto"/>
        </w:rPr>
        <w:t>四、主要环境影响和保护措施</w:t>
      </w:r>
      <w:bookmarkEnd w:id="15"/>
      <w:bookmarkEnd w:id="16"/>
      <w:bookmarkEnd w:id="17"/>
    </w:p>
    <w:tbl>
      <w:tblPr>
        <w:tblStyle w:val="5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2"/>
        <w:gridCol w:w="8579"/>
      </w:tblGrid>
      <w:tr w14:paraId="24E09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2" w:hRule="atLeast"/>
        </w:trPr>
        <w:tc>
          <w:tcPr>
            <w:tcW w:w="822" w:type="dxa"/>
            <w:shd w:val="clear" w:color="auto" w:fill="auto"/>
            <w:vAlign w:val="center"/>
          </w:tcPr>
          <w:p w14:paraId="6E7F0B19">
            <w:pPr>
              <w:pStyle w:val="55"/>
              <w:rPr>
                <w:color w:val="auto"/>
                <w:sz w:val="21"/>
                <w:szCs w:val="21"/>
              </w:rPr>
            </w:pPr>
            <w:r>
              <w:rPr>
                <w:color w:val="auto"/>
                <w:sz w:val="21"/>
                <w:szCs w:val="21"/>
              </w:rPr>
              <w:t>施工期环境保护措施</w:t>
            </w:r>
          </w:p>
        </w:tc>
        <w:tc>
          <w:tcPr>
            <w:tcW w:w="8579" w:type="dxa"/>
            <w:shd w:val="clear" w:color="auto" w:fill="auto"/>
            <w:vAlign w:val="center"/>
          </w:tcPr>
          <w:p w14:paraId="3AEEA05F">
            <w:pPr>
              <w:adjustRightInd w:val="0"/>
              <w:snapToGrid w:val="0"/>
              <w:spacing w:line="360" w:lineRule="auto"/>
              <w:ind w:firstLine="420" w:firstLineChars="200"/>
              <w:rPr>
                <w:b/>
                <w:color w:val="auto"/>
              </w:rPr>
            </w:pPr>
            <w:r>
              <w:rPr>
                <w:rFonts w:hint="eastAsia"/>
                <w:bCs/>
                <w:color w:val="auto"/>
                <w:spacing w:val="0"/>
                <w:kern w:val="0"/>
                <w:sz w:val="21"/>
              </w:rPr>
              <w:t>本项目利用现有空置厂房进行生产，</w:t>
            </w:r>
            <w:r>
              <w:rPr>
                <w:color w:val="auto"/>
                <w:spacing w:val="0"/>
                <w:kern w:val="0"/>
                <w:sz w:val="21"/>
              </w:rPr>
              <w:t>施工期仅涉及车间内部装修及设备安装，其影响范围小、程度轻、时间短。施工期产污环节主要是设备安装产生的噪声、施工人员生活污水、生活垃圾以及装修过程产生的装修垃圾。考虑施工期环境影响微弱，本评价主要针对营运期影响进行分析。</w:t>
            </w:r>
          </w:p>
        </w:tc>
      </w:tr>
      <w:tr w14:paraId="0DE5B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22" w:hRule="atLeast"/>
        </w:trPr>
        <w:tc>
          <w:tcPr>
            <w:tcW w:w="822" w:type="dxa"/>
            <w:shd w:val="clear" w:color="auto" w:fill="auto"/>
            <w:vAlign w:val="center"/>
          </w:tcPr>
          <w:p w14:paraId="3E1136B6">
            <w:pPr>
              <w:pStyle w:val="55"/>
              <w:rPr>
                <w:color w:val="auto"/>
                <w:sz w:val="21"/>
                <w:szCs w:val="21"/>
              </w:rPr>
            </w:pPr>
            <w:r>
              <w:rPr>
                <w:color w:val="auto"/>
                <w:sz w:val="21"/>
                <w:szCs w:val="21"/>
              </w:rPr>
              <w:t>运营期环境影响和保护措施</w:t>
            </w:r>
          </w:p>
        </w:tc>
        <w:tc>
          <w:tcPr>
            <w:tcW w:w="8579" w:type="dxa"/>
            <w:shd w:val="clear" w:color="auto" w:fill="auto"/>
          </w:tcPr>
          <w:p w14:paraId="2691F534">
            <w:pPr>
              <w:adjustRightInd w:val="0"/>
              <w:snapToGrid w:val="0"/>
              <w:spacing w:line="360" w:lineRule="auto"/>
              <w:rPr>
                <w:b/>
                <w:bCs/>
                <w:color w:val="auto"/>
              </w:rPr>
            </w:pPr>
            <w:r>
              <w:rPr>
                <w:b/>
                <w:bCs/>
                <w:color w:val="auto"/>
              </w:rPr>
              <w:t>1、大气环境影响分析</w:t>
            </w:r>
          </w:p>
          <w:p w14:paraId="6DCBC3B8">
            <w:pPr>
              <w:pStyle w:val="5"/>
              <w:adjustRightInd w:val="0"/>
              <w:snapToGrid w:val="0"/>
              <w:spacing w:line="360" w:lineRule="auto"/>
              <w:ind w:firstLine="422" w:firstLineChars="200"/>
              <w:rPr>
                <w:b/>
                <w:bCs/>
                <w:color w:val="auto"/>
                <w:szCs w:val="21"/>
              </w:rPr>
            </w:pPr>
            <w:r>
              <w:rPr>
                <w:rFonts w:hint="eastAsia"/>
                <w:b/>
                <w:bCs/>
                <w:color w:val="auto"/>
                <w:szCs w:val="21"/>
              </w:rPr>
              <w:t>（1）正常工况</w:t>
            </w:r>
          </w:p>
          <w:p w14:paraId="05D99434">
            <w:pPr>
              <w:pStyle w:val="5"/>
              <w:adjustRightInd w:val="0"/>
              <w:snapToGrid w:val="0"/>
              <w:spacing w:line="360" w:lineRule="auto"/>
              <w:ind w:firstLineChars="200"/>
              <w:rPr>
                <w:rFonts w:hint="default"/>
                <w:color w:val="auto"/>
                <w:kern w:val="0"/>
                <w:sz w:val="21"/>
                <w:lang w:val="en-US" w:eastAsia="zh-CN"/>
              </w:rPr>
            </w:pPr>
            <w:r>
              <w:rPr>
                <w:color w:val="auto"/>
                <w:kern w:val="0"/>
                <w:sz w:val="21"/>
              </w:rPr>
              <w:t>本项目产生的大气污染物主要包</w:t>
            </w:r>
            <w:r>
              <w:rPr>
                <w:rFonts w:hint="eastAsia"/>
                <w:color w:val="auto"/>
                <w:kern w:val="0"/>
                <w:sz w:val="21"/>
                <w:lang w:val="en-US" w:eastAsia="zh-CN"/>
              </w:rPr>
              <w:t>括喷砂产生的喷砂粉尘（以颗粒物表征）、热喷锌产生的喷锌粉尘（以颗粒物表征）、调漆、喷漆、晾干过程产生的漆雾（以颗粒物表征）和有机废气（以非甲烷总烃表征）、喷枪清洗过程产生的有机废气（以非甲烷总烃表征）。</w:t>
            </w:r>
          </w:p>
          <w:p w14:paraId="0F13FB3C">
            <w:pPr>
              <w:pStyle w:val="5"/>
              <w:adjustRightInd w:val="0"/>
              <w:snapToGrid w:val="0"/>
              <w:spacing w:line="360" w:lineRule="auto"/>
              <w:ind w:firstLineChars="200"/>
              <w:rPr>
                <w:color w:val="auto"/>
                <w:kern w:val="0"/>
                <w:sz w:val="21"/>
                <w:szCs w:val="21"/>
              </w:rPr>
            </w:pPr>
            <w:r>
              <w:rPr>
                <w:rFonts w:hint="eastAsia"/>
                <w:color w:val="auto"/>
                <w:kern w:val="0"/>
                <w:sz w:val="21"/>
                <w:szCs w:val="21"/>
              </w:rPr>
              <w:t>项目</w:t>
            </w:r>
            <w:r>
              <w:rPr>
                <w:color w:val="auto"/>
                <w:kern w:val="0"/>
                <w:sz w:val="21"/>
                <w:szCs w:val="21"/>
              </w:rPr>
              <w:t>有组织废气源强产生及排放</w:t>
            </w:r>
            <w:r>
              <w:rPr>
                <w:rFonts w:hint="eastAsia"/>
                <w:color w:val="auto"/>
                <w:kern w:val="0"/>
                <w:sz w:val="21"/>
                <w:szCs w:val="21"/>
              </w:rPr>
              <w:t>情况</w:t>
            </w:r>
            <w:r>
              <w:rPr>
                <w:color w:val="auto"/>
                <w:kern w:val="0"/>
                <w:sz w:val="21"/>
                <w:szCs w:val="21"/>
              </w:rPr>
              <w:t>详见表4-1</w:t>
            </w:r>
            <w:r>
              <w:rPr>
                <w:rFonts w:hint="eastAsia"/>
                <w:color w:val="auto"/>
                <w:kern w:val="0"/>
                <w:sz w:val="21"/>
                <w:szCs w:val="21"/>
              </w:rPr>
              <w:t>，无组织废气源强产生及排放情况详见表4-2</w:t>
            </w:r>
            <w:r>
              <w:rPr>
                <w:color w:val="auto"/>
                <w:kern w:val="0"/>
                <w:sz w:val="21"/>
                <w:szCs w:val="21"/>
              </w:rPr>
              <w:t>。</w:t>
            </w:r>
          </w:p>
          <w:p w14:paraId="7277E20A">
            <w:pPr>
              <w:adjustRightInd w:val="0"/>
              <w:snapToGrid w:val="0"/>
              <w:spacing w:line="360" w:lineRule="auto"/>
              <w:rPr>
                <w:bCs/>
                <w:color w:val="auto"/>
                <w:kern w:val="0"/>
              </w:rPr>
            </w:pPr>
          </w:p>
        </w:tc>
      </w:tr>
    </w:tbl>
    <w:p w14:paraId="7D56FA7E">
      <w:pPr>
        <w:pStyle w:val="55"/>
        <w:rPr>
          <w:color w:val="auto"/>
        </w:rPr>
        <w:sectPr>
          <w:pgSz w:w="11907" w:h="16840"/>
          <w:pgMar w:top="1418" w:right="1361" w:bottom="1418" w:left="1361" w:header="851" w:footer="851" w:gutter="0"/>
          <w:pgBorders>
            <w:top w:val="none" w:sz="0" w:space="0"/>
            <w:left w:val="none" w:sz="0" w:space="0"/>
            <w:bottom w:val="none" w:sz="0" w:space="0"/>
            <w:right w:val="none" w:sz="0" w:space="0"/>
          </w:pgBorders>
          <w:cols w:space="720" w:num="1"/>
          <w:docGrid w:linePitch="312" w:charSpace="0"/>
        </w:sectPr>
      </w:pPr>
    </w:p>
    <w:tbl>
      <w:tblPr>
        <w:tblStyle w:val="5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7"/>
        <w:gridCol w:w="13493"/>
      </w:tblGrid>
      <w:tr w14:paraId="6FEA3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29" w:hRule="atLeast"/>
        </w:trPr>
        <w:tc>
          <w:tcPr>
            <w:tcW w:w="727" w:type="dxa"/>
            <w:shd w:val="clear" w:color="auto" w:fill="auto"/>
            <w:vAlign w:val="center"/>
          </w:tcPr>
          <w:p w14:paraId="50F3ED1C">
            <w:pPr>
              <w:pStyle w:val="55"/>
              <w:rPr>
                <w:color w:val="auto"/>
                <w:sz w:val="28"/>
                <w:szCs w:val="28"/>
              </w:rPr>
            </w:pPr>
            <w:r>
              <w:rPr>
                <w:color w:val="auto"/>
              </w:rPr>
              <w:t>运营期环境影响和保护措施</w:t>
            </w:r>
          </w:p>
        </w:tc>
        <w:tc>
          <w:tcPr>
            <w:tcW w:w="13493" w:type="dxa"/>
            <w:shd w:val="clear" w:color="auto" w:fill="auto"/>
          </w:tcPr>
          <w:p w14:paraId="1D16C42C">
            <w:pPr>
              <w:pStyle w:val="23"/>
              <w:widowControl w:val="0"/>
              <w:snapToGrid/>
              <w:spacing w:line="240" w:lineRule="auto"/>
              <w:jc w:val="center"/>
              <w:rPr>
                <w:b/>
                <w:color w:val="auto"/>
                <w:spacing w:val="6"/>
                <w:kern w:val="18"/>
                <w:sz w:val="21"/>
                <w:szCs w:val="21"/>
              </w:rPr>
            </w:pPr>
            <w:r>
              <w:rPr>
                <w:b/>
                <w:color w:val="auto"/>
                <w:spacing w:val="6"/>
                <w:kern w:val="18"/>
                <w:sz w:val="21"/>
                <w:szCs w:val="21"/>
              </w:rPr>
              <w:t xml:space="preserve">表4-1  </w:t>
            </w:r>
            <w:r>
              <w:rPr>
                <w:rFonts w:hint="eastAsia"/>
                <w:b/>
                <w:color w:val="auto"/>
                <w:spacing w:val="6"/>
                <w:kern w:val="18"/>
                <w:sz w:val="21"/>
                <w:szCs w:val="21"/>
              </w:rPr>
              <w:t xml:space="preserve"> 本</w:t>
            </w:r>
            <w:r>
              <w:rPr>
                <w:rFonts w:hint="eastAsia"/>
                <w:b/>
                <w:color w:val="auto"/>
                <w:sz w:val="21"/>
                <w:szCs w:val="21"/>
              </w:rPr>
              <w:t>项目有组织废气产生及排放情况</w:t>
            </w:r>
          </w:p>
          <w:tbl>
            <w:tblPr>
              <w:tblStyle w:val="59"/>
              <w:tblW w:w="4998"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856"/>
              <w:gridCol w:w="808"/>
              <w:gridCol w:w="1039"/>
              <w:gridCol w:w="1140"/>
              <w:gridCol w:w="1100"/>
              <w:gridCol w:w="1100"/>
              <w:gridCol w:w="1103"/>
              <w:gridCol w:w="1001"/>
              <w:gridCol w:w="597"/>
              <w:gridCol w:w="703"/>
              <w:gridCol w:w="958"/>
              <w:gridCol w:w="1033"/>
              <w:gridCol w:w="991"/>
              <w:gridCol w:w="843"/>
            </w:tblGrid>
            <w:tr w14:paraId="3E11C2B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322" w:type="pct"/>
                  <w:vMerge w:val="restart"/>
                  <w:vAlign w:val="center"/>
                </w:tcPr>
                <w:p w14:paraId="4804372F">
                  <w:pPr>
                    <w:pStyle w:val="656"/>
                    <w:snapToGrid w:val="0"/>
                    <w:rPr>
                      <w:rFonts w:eastAsia="宋体"/>
                      <w:b/>
                      <w:bCs/>
                      <w:color w:val="auto"/>
                      <w:sz w:val="18"/>
                      <w:szCs w:val="18"/>
                    </w:rPr>
                  </w:pPr>
                  <w:r>
                    <w:rPr>
                      <w:rFonts w:hint="eastAsia" w:eastAsia="宋体"/>
                      <w:b/>
                      <w:bCs/>
                      <w:color w:val="auto"/>
                      <w:sz w:val="18"/>
                      <w:szCs w:val="18"/>
                    </w:rPr>
                    <w:t>排放口</w:t>
                  </w:r>
                </w:p>
              </w:tc>
              <w:tc>
                <w:tcPr>
                  <w:tcW w:w="304" w:type="pct"/>
                  <w:vMerge w:val="restart"/>
                  <w:vAlign w:val="center"/>
                </w:tcPr>
                <w:p w14:paraId="1B3AEF68">
                  <w:pPr>
                    <w:pStyle w:val="656"/>
                    <w:snapToGrid w:val="0"/>
                    <w:rPr>
                      <w:rFonts w:eastAsia="宋体"/>
                      <w:b/>
                      <w:bCs/>
                      <w:color w:val="auto"/>
                      <w:sz w:val="18"/>
                      <w:szCs w:val="18"/>
                    </w:rPr>
                  </w:pPr>
                  <w:r>
                    <w:rPr>
                      <w:rFonts w:hint="eastAsia" w:eastAsia="宋体"/>
                      <w:b/>
                      <w:bCs/>
                      <w:color w:val="auto"/>
                      <w:sz w:val="18"/>
                      <w:szCs w:val="18"/>
                    </w:rPr>
                    <w:t>排气量m</w:t>
                  </w:r>
                  <w:r>
                    <w:rPr>
                      <w:rFonts w:eastAsia="宋体"/>
                      <w:b/>
                      <w:bCs/>
                      <w:color w:val="auto"/>
                      <w:sz w:val="18"/>
                      <w:szCs w:val="18"/>
                    </w:rPr>
                    <w:t>³</w:t>
                  </w:r>
                  <w:r>
                    <w:rPr>
                      <w:rFonts w:hint="eastAsia" w:eastAsia="宋体"/>
                      <w:b/>
                      <w:bCs/>
                      <w:color w:val="auto"/>
                      <w:sz w:val="18"/>
                      <w:szCs w:val="18"/>
                    </w:rPr>
                    <w:t>/h</w:t>
                  </w:r>
                </w:p>
              </w:tc>
              <w:tc>
                <w:tcPr>
                  <w:tcW w:w="391" w:type="pct"/>
                  <w:vMerge w:val="restart"/>
                  <w:vAlign w:val="center"/>
                </w:tcPr>
                <w:p w14:paraId="5CC7DA11">
                  <w:pPr>
                    <w:pStyle w:val="656"/>
                    <w:snapToGrid w:val="0"/>
                    <w:rPr>
                      <w:rFonts w:eastAsia="宋体"/>
                      <w:b/>
                      <w:bCs/>
                      <w:color w:val="auto"/>
                      <w:sz w:val="18"/>
                      <w:szCs w:val="18"/>
                    </w:rPr>
                  </w:pPr>
                  <w:r>
                    <w:rPr>
                      <w:rFonts w:hint="eastAsia" w:eastAsia="宋体"/>
                      <w:b/>
                      <w:bCs/>
                      <w:color w:val="auto"/>
                      <w:sz w:val="18"/>
                      <w:szCs w:val="18"/>
                    </w:rPr>
                    <w:t>产污</w:t>
                  </w:r>
                </w:p>
                <w:p w14:paraId="32E63C7F">
                  <w:pPr>
                    <w:pStyle w:val="656"/>
                    <w:snapToGrid w:val="0"/>
                    <w:rPr>
                      <w:rFonts w:eastAsia="宋体"/>
                      <w:b/>
                      <w:bCs/>
                      <w:color w:val="auto"/>
                      <w:sz w:val="18"/>
                      <w:szCs w:val="18"/>
                    </w:rPr>
                  </w:pPr>
                  <w:r>
                    <w:rPr>
                      <w:rFonts w:hint="eastAsia" w:eastAsia="宋体"/>
                      <w:b/>
                      <w:bCs/>
                      <w:color w:val="auto"/>
                      <w:sz w:val="18"/>
                      <w:szCs w:val="18"/>
                    </w:rPr>
                    <w:t>环节</w:t>
                  </w:r>
                </w:p>
              </w:tc>
              <w:tc>
                <w:tcPr>
                  <w:tcW w:w="429" w:type="pct"/>
                  <w:vMerge w:val="restart"/>
                  <w:vAlign w:val="center"/>
                </w:tcPr>
                <w:p w14:paraId="4CB14F5E">
                  <w:pPr>
                    <w:pStyle w:val="656"/>
                    <w:snapToGrid w:val="0"/>
                    <w:rPr>
                      <w:rFonts w:eastAsia="宋体"/>
                      <w:b/>
                      <w:bCs/>
                      <w:color w:val="auto"/>
                      <w:sz w:val="18"/>
                      <w:szCs w:val="18"/>
                    </w:rPr>
                  </w:pPr>
                  <w:r>
                    <w:rPr>
                      <w:rFonts w:hint="eastAsia" w:eastAsia="宋体"/>
                      <w:b/>
                      <w:bCs/>
                      <w:color w:val="auto"/>
                      <w:sz w:val="18"/>
                      <w:szCs w:val="18"/>
                    </w:rPr>
                    <w:t>污染物</w:t>
                  </w:r>
                </w:p>
              </w:tc>
              <w:tc>
                <w:tcPr>
                  <w:tcW w:w="1244" w:type="pct"/>
                  <w:gridSpan w:val="3"/>
                  <w:vAlign w:val="center"/>
                </w:tcPr>
                <w:p w14:paraId="064EFF59">
                  <w:pPr>
                    <w:pStyle w:val="656"/>
                    <w:snapToGrid w:val="0"/>
                    <w:rPr>
                      <w:rFonts w:eastAsia="宋体"/>
                      <w:b/>
                      <w:bCs/>
                      <w:color w:val="auto"/>
                      <w:sz w:val="18"/>
                      <w:szCs w:val="18"/>
                    </w:rPr>
                  </w:pPr>
                  <w:r>
                    <w:rPr>
                      <w:rFonts w:eastAsia="宋体"/>
                      <w:b/>
                      <w:bCs/>
                      <w:color w:val="auto"/>
                      <w:sz w:val="18"/>
                      <w:szCs w:val="18"/>
                    </w:rPr>
                    <w:t>污染物产生</w:t>
                  </w:r>
                  <w:r>
                    <w:rPr>
                      <w:rFonts w:hint="eastAsia" w:eastAsia="宋体"/>
                      <w:b/>
                      <w:bCs/>
                      <w:color w:val="auto"/>
                      <w:sz w:val="18"/>
                      <w:szCs w:val="18"/>
                    </w:rPr>
                    <w:t>情况</w:t>
                  </w:r>
                </w:p>
              </w:tc>
              <w:tc>
                <w:tcPr>
                  <w:tcW w:w="377" w:type="pct"/>
                  <w:vMerge w:val="restart"/>
                  <w:vAlign w:val="center"/>
                </w:tcPr>
                <w:p w14:paraId="6B74D9C3">
                  <w:pPr>
                    <w:pStyle w:val="656"/>
                    <w:snapToGrid w:val="0"/>
                    <w:rPr>
                      <w:rFonts w:eastAsia="宋体"/>
                      <w:b/>
                      <w:bCs/>
                      <w:color w:val="auto"/>
                      <w:sz w:val="18"/>
                      <w:szCs w:val="18"/>
                    </w:rPr>
                  </w:pPr>
                  <w:r>
                    <w:rPr>
                      <w:rStyle w:val="71"/>
                      <w:rFonts w:hint="eastAsia" w:eastAsia="宋体"/>
                      <w:b/>
                      <w:bCs/>
                      <w:color w:val="auto"/>
                      <w:kern w:val="0"/>
                      <w:sz w:val="18"/>
                      <w:szCs w:val="18"/>
                    </w:rPr>
                    <w:t>治理措施</w:t>
                  </w:r>
                </w:p>
              </w:tc>
              <w:tc>
                <w:tcPr>
                  <w:tcW w:w="224" w:type="pct"/>
                  <w:vMerge w:val="restart"/>
                  <w:vAlign w:val="center"/>
                </w:tcPr>
                <w:p w14:paraId="09E4E1D6">
                  <w:pPr>
                    <w:pStyle w:val="656"/>
                    <w:snapToGrid w:val="0"/>
                    <w:rPr>
                      <w:rStyle w:val="71"/>
                      <w:rFonts w:eastAsia="宋体"/>
                      <w:color w:val="auto"/>
                      <w:kern w:val="0"/>
                      <w:sz w:val="18"/>
                      <w:szCs w:val="18"/>
                    </w:rPr>
                  </w:pPr>
                  <w:r>
                    <w:rPr>
                      <w:rStyle w:val="71"/>
                      <w:rFonts w:hint="eastAsia" w:eastAsia="宋体"/>
                      <w:b/>
                      <w:bCs/>
                      <w:color w:val="auto"/>
                      <w:kern w:val="0"/>
                      <w:sz w:val="18"/>
                      <w:szCs w:val="18"/>
                    </w:rPr>
                    <w:t>收集率%</w:t>
                  </w:r>
                </w:p>
              </w:tc>
              <w:tc>
                <w:tcPr>
                  <w:tcW w:w="264" w:type="pct"/>
                  <w:vMerge w:val="restart"/>
                  <w:vAlign w:val="center"/>
                </w:tcPr>
                <w:p w14:paraId="36355038">
                  <w:pPr>
                    <w:pStyle w:val="656"/>
                    <w:snapToGrid w:val="0"/>
                    <w:rPr>
                      <w:rFonts w:eastAsia="宋体"/>
                      <w:b/>
                      <w:bCs/>
                      <w:color w:val="auto"/>
                      <w:sz w:val="18"/>
                      <w:szCs w:val="18"/>
                    </w:rPr>
                  </w:pPr>
                  <w:r>
                    <w:rPr>
                      <w:rFonts w:eastAsia="宋体"/>
                      <w:b/>
                      <w:bCs/>
                      <w:color w:val="auto"/>
                      <w:sz w:val="18"/>
                      <w:szCs w:val="18"/>
                    </w:rPr>
                    <w:t>去除率%</w:t>
                  </w:r>
                </w:p>
              </w:tc>
              <w:tc>
                <w:tcPr>
                  <w:tcW w:w="1441" w:type="pct"/>
                  <w:gridSpan w:val="4"/>
                  <w:vAlign w:val="center"/>
                </w:tcPr>
                <w:p w14:paraId="4A418CD4">
                  <w:pPr>
                    <w:pStyle w:val="656"/>
                    <w:snapToGrid w:val="0"/>
                    <w:rPr>
                      <w:rFonts w:eastAsia="宋体"/>
                      <w:b/>
                      <w:bCs/>
                      <w:color w:val="auto"/>
                      <w:sz w:val="18"/>
                      <w:szCs w:val="18"/>
                    </w:rPr>
                  </w:pPr>
                  <w:r>
                    <w:rPr>
                      <w:rFonts w:eastAsia="宋体"/>
                      <w:b/>
                      <w:bCs/>
                      <w:color w:val="auto"/>
                      <w:sz w:val="18"/>
                      <w:szCs w:val="18"/>
                    </w:rPr>
                    <w:t>污染物排放</w:t>
                  </w:r>
                  <w:r>
                    <w:rPr>
                      <w:rFonts w:hint="eastAsia" w:eastAsia="宋体"/>
                      <w:b/>
                      <w:bCs/>
                      <w:color w:val="auto"/>
                      <w:sz w:val="18"/>
                      <w:szCs w:val="18"/>
                    </w:rPr>
                    <w:t>情况</w:t>
                  </w:r>
                </w:p>
              </w:tc>
            </w:tr>
            <w:tr w14:paraId="0A4C0937">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322" w:type="pct"/>
                  <w:vMerge w:val="continue"/>
                  <w:vAlign w:val="center"/>
                </w:tcPr>
                <w:p w14:paraId="26AB7293">
                  <w:pPr>
                    <w:pStyle w:val="656"/>
                    <w:snapToGrid w:val="0"/>
                    <w:rPr>
                      <w:rFonts w:eastAsia="宋体"/>
                      <w:b/>
                      <w:bCs/>
                      <w:color w:val="auto"/>
                      <w:sz w:val="18"/>
                      <w:szCs w:val="18"/>
                    </w:rPr>
                  </w:pPr>
                </w:p>
              </w:tc>
              <w:tc>
                <w:tcPr>
                  <w:tcW w:w="304" w:type="pct"/>
                  <w:vMerge w:val="continue"/>
                  <w:vAlign w:val="center"/>
                </w:tcPr>
                <w:p w14:paraId="08A48EE5">
                  <w:pPr>
                    <w:pStyle w:val="656"/>
                    <w:snapToGrid w:val="0"/>
                    <w:rPr>
                      <w:rFonts w:eastAsia="宋体"/>
                      <w:b/>
                      <w:bCs/>
                      <w:color w:val="auto"/>
                      <w:sz w:val="18"/>
                      <w:szCs w:val="18"/>
                    </w:rPr>
                  </w:pPr>
                </w:p>
              </w:tc>
              <w:tc>
                <w:tcPr>
                  <w:tcW w:w="391" w:type="pct"/>
                  <w:vMerge w:val="continue"/>
                  <w:vAlign w:val="center"/>
                </w:tcPr>
                <w:p w14:paraId="0F865BA3">
                  <w:pPr>
                    <w:pStyle w:val="656"/>
                    <w:snapToGrid w:val="0"/>
                    <w:rPr>
                      <w:rFonts w:eastAsia="宋体"/>
                      <w:b/>
                      <w:bCs/>
                      <w:color w:val="auto"/>
                      <w:sz w:val="18"/>
                      <w:szCs w:val="18"/>
                    </w:rPr>
                  </w:pPr>
                </w:p>
              </w:tc>
              <w:tc>
                <w:tcPr>
                  <w:tcW w:w="429" w:type="pct"/>
                  <w:vMerge w:val="continue"/>
                  <w:vAlign w:val="center"/>
                </w:tcPr>
                <w:p w14:paraId="07538E48">
                  <w:pPr>
                    <w:pStyle w:val="656"/>
                    <w:snapToGrid w:val="0"/>
                    <w:rPr>
                      <w:rFonts w:eastAsia="宋体"/>
                      <w:b/>
                      <w:bCs/>
                      <w:color w:val="auto"/>
                      <w:sz w:val="18"/>
                      <w:szCs w:val="18"/>
                    </w:rPr>
                  </w:pPr>
                </w:p>
              </w:tc>
              <w:tc>
                <w:tcPr>
                  <w:tcW w:w="414" w:type="pct"/>
                  <w:vAlign w:val="center"/>
                </w:tcPr>
                <w:p w14:paraId="40D576D6">
                  <w:pPr>
                    <w:pStyle w:val="656"/>
                    <w:snapToGrid w:val="0"/>
                    <w:rPr>
                      <w:rFonts w:eastAsia="宋体"/>
                      <w:b/>
                      <w:bCs/>
                      <w:color w:val="auto"/>
                      <w:sz w:val="18"/>
                      <w:szCs w:val="18"/>
                    </w:rPr>
                  </w:pPr>
                  <w:r>
                    <w:rPr>
                      <w:rFonts w:hint="eastAsia" w:eastAsia="宋体"/>
                      <w:b/>
                      <w:bCs/>
                      <w:color w:val="auto"/>
                      <w:sz w:val="18"/>
                      <w:szCs w:val="18"/>
                    </w:rPr>
                    <w:t>浓度mg/m</w:t>
                  </w:r>
                  <w:r>
                    <w:rPr>
                      <w:rFonts w:eastAsia="宋体"/>
                      <w:b/>
                      <w:bCs/>
                      <w:color w:val="auto"/>
                      <w:sz w:val="18"/>
                      <w:szCs w:val="18"/>
                    </w:rPr>
                    <w:t>³</w:t>
                  </w:r>
                </w:p>
              </w:tc>
              <w:tc>
                <w:tcPr>
                  <w:tcW w:w="414" w:type="pct"/>
                  <w:vAlign w:val="center"/>
                </w:tcPr>
                <w:p w14:paraId="5A53103B">
                  <w:pPr>
                    <w:pStyle w:val="656"/>
                    <w:snapToGrid w:val="0"/>
                    <w:rPr>
                      <w:rFonts w:eastAsia="宋体"/>
                      <w:b/>
                      <w:bCs/>
                      <w:color w:val="auto"/>
                      <w:sz w:val="18"/>
                      <w:szCs w:val="18"/>
                    </w:rPr>
                  </w:pPr>
                  <w:r>
                    <w:rPr>
                      <w:rFonts w:hint="eastAsia" w:eastAsia="宋体"/>
                      <w:b/>
                      <w:bCs/>
                      <w:color w:val="auto"/>
                      <w:sz w:val="18"/>
                      <w:szCs w:val="18"/>
                    </w:rPr>
                    <w:t>速率kg</w:t>
                  </w:r>
                  <w:r>
                    <w:rPr>
                      <w:rFonts w:eastAsia="宋体"/>
                      <w:b/>
                      <w:bCs/>
                      <w:color w:val="auto"/>
                      <w:sz w:val="18"/>
                      <w:szCs w:val="18"/>
                    </w:rPr>
                    <w:t>/h</w:t>
                  </w:r>
                </w:p>
              </w:tc>
              <w:tc>
                <w:tcPr>
                  <w:tcW w:w="415" w:type="pct"/>
                  <w:vAlign w:val="center"/>
                </w:tcPr>
                <w:p w14:paraId="7B479400">
                  <w:pPr>
                    <w:pStyle w:val="656"/>
                    <w:snapToGrid w:val="0"/>
                    <w:rPr>
                      <w:rFonts w:eastAsia="宋体"/>
                      <w:b/>
                      <w:bCs/>
                      <w:color w:val="auto"/>
                      <w:sz w:val="18"/>
                      <w:szCs w:val="18"/>
                    </w:rPr>
                  </w:pPr>
                  <w:r>
                    <w:rPr>
                      <w:rFonts w:eastAsia="宋体"/>
                      <w:b/>
                      <w:bCs/>
                      <w:color w:val="auto"/>
                      <w:sz w:val="18"/>
                      <w:szCs w:val="18"/>
                    </w:rPr>
                    <w:t>产生量</w:t>
                  </w:r>
                  <w:r>
                    <w:rPr>
                      <w:rFonts w:hint="eastAsia" w:eastAsia="宋体"/>
                      <w:b/>
                      <w:bCs/>
                      <w:color w:val="auto"/>
                      <w:sz w:val="18"/>
                      <w:szCs w:val="18"/>
                    </w:rPr>
                    <w:t>t</w:t>
                  </w:r>
                  <w:r>
                    <w:rPr>
                      <w:rFonts w:eastAsia="宋体"/>
                      <w:b/>
                      <w:bCs/>
                      <w:color w:val="auto"/>
                      <w:sz w:val="18"/>
                      <w:szCs w:val="18"/>
                    </w:rPr>
                    <w:t>/a</w:t>
                  </w:r>
                </w:p>
              </w:tc>
              <w:tc>
                <w:tcPr>
                  <w:tcW w:w="377" w:type="pct"/>
                  <w:vMerge w:val="continue"/>
                  <w:vAlign w:val="center"/>
                </w:tcPr>
                <w:p w14:paraId="34B23CB7">
                  <w:pPr>
                    <w:pStyle w:val="656"/>
                    <w:snapToGrid w:val="0"/>
                    <w:rPr>
                      <w:rFonts w:eastAsia="宋体"/>
                      <w:b/>
                      <w:bCs/>
                      <w:color w:val="auto"/>
                      <w:sz w:val="18"/>
                      <w:szCs w:val="18"/>
                    </w:rPr>
                  </w:pPr>
                </w:p>
              </w:tc>
              <w:tc>
                <w:tcPr>
                  <w:tcW w:w="224" w:type="pct"/>
                  <w:vMerge w:val="continue"/>
                  <w:vAlign w:val="center"/>
                </w:tcPr>
                <w:p w14:paraId="3330F586">
                  <w:pPr>
                    <w:pStyle w:val="656"/>
                    <w:snapToGrid w:val="0"/>
                    <w:rPr>
                      <w:rFonts w:eastAsia="宋体"/>
                      <w:b/>
                      <w:bCs/>
                      <w:color w:val="auto"/>
                      <w:sz w:val="18"/>
                      <w:szCs w:val="18"/>
                    </w:rPr>
                  </w:pPr>
                </w:p>
              </w:tc>
              <w:tc>
                <w:tcPr>
                  <w:tcW w:w="264" w:type="pct"/>
                  <w:vMerge w:val="continue"/>
                  <w:vAlign w:val="center"/>
                </w:tcPr>
                <w:p w14:paraId="5AAB77C1">
                  <w:pPr>
                    <w:pStyle w:val="656"/>
                    <w:snapToGrid w:val="0"/>
                    <w:rPr>
                      <w:rFonts w:eastAsia="宋体"/>
                      <w:b/>
                      <w:bCs/>
                      <w:color w:val="auto"/>
                      <w:sz w:val="18"/>
                      <w:szCs w:val="18"/>
                    </w:rPr>
                  </w:pPr>
                </w:p>
              </w:tc>
              <w:tc>
                <w:tcPr>
                  <w:tcW w:w="360" w:type="pct"/>
                  <w:vAlign w:val="center"/>
                </w:tcPr>
                <w:p w14:paraId="0A69192A">
                  <w:pPr>
                    <w:pStyle w:val="656"/>
                    <w:snapToGrid w:val="0"/>
                    <w:rPr>
                      <w:rFonts w:eastAsia="宋体"/>
                      <w:b/>
                      <w:bCs/>
                      <w:color w:val="auto"/>
                      <w:sz w:val="18"/>
                      <w:szCs w:val="18"/>
                    </w:rPr>
                  </w:pPr>
                  <w:r>
                    <w:rPr>
                      <w:rFonts w:hint="eastAsia" w:eastAsia="宋体"/>
                      <w:b/>
                      <w:bCs/>
                      <w:color w:val="auto"/>
                      <w:sz w:val="18"/>
                      <w:szCs w:val="18"/>
                    </w:rPr>
                    <w:t>浓度mg/m</w:t>
                  </w:r>
                  <w:r>
                    <w:rPr>
                      <w:rFonts w:eastAsia="宋体"/>
                      <w:b/>
                      <w:bCs/>
                      <w:color w:val="auto"/>
                      <w:sz w:val="18"/>
                      <w:szCs w:val="18"/>
                    </w:rPr>
                    <w:t>³</w:t>
                  </w:r>
                </w:p>
              </w:tc>
              <w:tc>
                <w:tcPr>
                  <w:tcW w:w="389" w:type="pct"/>
                  <w:vAlign w:val="center"/>
                </w:tcPr>
                <w:p w14:paraId="0ECFDADD">
                  <w:pPr>
                    <w:pStyle w:val="656"/>
                    <w:snapToGrid w:val="0"/>
                    <w:rPr>
                      <w:rFonts w:eastAsia="宋体"/>
                      <w:b/>
                      <w:bCs/>
                      <w:color w:val="auto"/>
                      <w:sz w:val="18"/>
                      <w:szCs w:val="18"/>
                    </w:rPr>
                  </w:pPr>
                  <w:r>
                    <w:rPr>
                      <w:rFonts w:hint="eastAsia" w:eastAsia="宋体"/>
                      <w:b/>
                      <w:bCs/>
                      <w:color w:val="auto"/>
                      <w:sz w:val="18"/>
                      <w:szCs w:val="18"/>
                    </w:rPr>
                    <w:t>速率kg</w:t>
                  </w:r>
                  <w:r>
                    <w:rPr>
                      <w:rFonts w:eastAsia="宋体"/>
                      <w:b/>
                      <w:bCs/>
                      <w:color w:val="auto"/>
                      <w:sz w:val="18"/>
                      <w:szCs w:val="18"/>
                    </w:rPr>
                    <w:t>/h</w:t>
                  </w:r>
                </w:p>
              </w:tc>
              <w:tc>
                <w:tcPr>
                  <w:tcW w:w="373" w:type="pct"/>
                  <w:vAlign w:val="center"/>
                </w:tcPr>
                <w:p w14:paraId="0A728725">
                  <w:pPr>
                    <w:pStyle w:val="656"/>
                    <w:snapToGrid w:val="0"/>
                    <w:rPr>
                      <w:rFonts w:eastAsia="宋体"/>
                      <w:b/>
                      <w:bCs/>
                      <w:color w:val="auto"/>
                      <w:sz w:val="18"/>
                      <w:szCs w:val="18"/>
                    </w:rPr>
                  </w:pPr>
                  <w:r>
                    <w:rPr>
                      <w:rFonts w:hint="eastAsia" w:eastAsia="宋体"/>
                      <w:b/>
                      <w:bCs/>
                      <w:color w:val="auto"/>
                      <w:sz w:val="18"/>
                      <w:szCs w:val="18"/>
                    </w:rPr>
                    <w:t>排放</w:t>
                  </w:r>
                  <w:r>
                    <w:rPr>
                      <w:rFonts w:eastAsia="宋体"/>
                      <w:b/>
                      <w:bCs/>
                      <w:color w:val="auto"/>
                      <w:sz w:val="18"/>
                      <w:szCs w:val="18"/>
                    </w:rPr>
                    <w:t>量</w:t>
                  </w:r>
                  <w:r>
                    <w:rPr>
                      <w:rFonts w:hint="eastAsia" w:eastAsia="宋体"/>
                      <w:b/>
                      <w:bCs/>
                      <w:color w:val="auto"/>
                      <w:sz w:val="18"/>
                      <w:szCs w:val="18"/>
                    </w:rPr>
                    <w:t>t</w:t>
                  </w:r>
                  <w:r>
                    <w:rPr>
                      <w:rFonts w:eastAsia="宋体"/>
                      <w:b/>
                      <w:bCs/>
                      <w:color w:val="auto"/>
                      <w:sz w:val="18"/>
                      <w:szCs w:val="18"/>
                    </w:rPr>
                    <w:t>/a</w:t>
                  </w:r>
                </w:p>
              </w:tc>
              <w:tc>
                <w:tcPr>
                  <w:tcW w:w="317" w:type="pct"/>
                  <w:vAlign w:val="center"/>
                </w:tcPr>
                <w:p w14:paraId="47CCB6CB">
                  <w:pPr>
                    <w:pStyle w:val="656"/>
                    <w:snapToGrid w:val="0"/>
                    <w:rPr>
                      <w:rFonts w:eastAsia="宋体"/>
                      <w:b/>
                      <w:bCs/>
                      <w:color w:val="auto"/>
                      <w:sz w:val="18"/>
                      <w:szCs w:val="18"/>
                    </w:rPr>
                  </w:pPr>
                  <w:r>
                    <w:rPr>
                      <w:rFonts w:hint="eastAsia" w:eastAsia="宋体"/>
                      <w:b/>
                      <w:bCs/>
                      <w:color w:val="auto"/>
                      <w:sz w:val="18"/>
                      <w:szCs w:val="18"/>
                    </w:rPr>
                    <w:t>排放时间</w:t>
                  </w:r>
                </w:p>
              </w:tc>
            </w:tr>
            <w:tr w14:paraId="5A68C60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322" w:type="pct"/>
                  <w:vMerge w:val="restart"/>
                  <w:vAlign w:val="center"/>
                </w:tcPr>
                <w:p w14:paraId="53C68CBF">
                  <w:pPr>
                    <w:pStyle w:val="656"/>
                    <w:snapToGrid w:val="0"/>
                    <w:rPr>
                      <w:rFonts w:eastAsia="宋体"/>
                      <w:color w:val="auto"/>
                      <w:sz w:val="18"/>
                      <w:szCs w:val="18"/>
                    </w:rPr>
                  </w:pPr>
                  <w:r>
                    <w:rPr>
                      <w:rFonts w:hint="eastAsia" w:eastAsia="宋体"/>
                      <w:color w:val="auto"/>
                      <w:sz w:val="18"/>
                      <w:szCs w:val="18"/>
                    </w:rPr>
                    <w:t>DA001</w:t>
                  </w:r>
                </w:p>
              </w:tc>
              <w:tc>
                <w:tcPr>
                  <w:tcW w:w="304" w:type="pct"/>
                  <w:vMerge w:val="restart"/>
                  <w:vAlign w:val="center"/>
                </w:tcPr>
                <w:p w14:paraId="3542DABD">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25000</w:t>
                  </w:r>
                </w:p>
              </w:tc>
              <w:tc>
                <w:tcPr>
                  <w:tcW w:w="391" w:type="pct"/>
                  <w:vAlign w:val="center"/>
                </w:tcPr>
                <w:p w14:paraId="74596C4E">
                  <w:pPr>
                    <w:pStyle w:val="656"/>
                    <w:snapToGrid w:val="0"/>
                    <w:rPr>
                      <w:rFonts w:hint="eastAsia" w:eastAsia="宋体"/>
                      <w:color w:val="auto"/>
                      <w:sz w:val="18"/>
                      <w:szCs w:val="18"/>
                      <w:lang w:val="en-US" w:eastAsia="zh-CN"/>
                    </w:rPr>
                  </w:pPr>
                  <w:r>
                    <w:rPr>
                      <w:rFonts w:hint="eastAsia" w:eastAsia="宋体"/>
                      <w:color w:val="auto"/>
                      <w:sz w:val="18"/>
                      <w:szCs w:val="18"/>
                      <w:lang w:val="en-US" w:eastAsia="zh-CN"/>
                    </w:rPr>
                    <w:t>喷砂</w:t>
                  </w:r>
                </w:p>
              </w:tc>
              <w:tc>
                <w:tcPr>
                  <w:tcW w:w="429" w:type="pct"/>
                  <w:vAlign w:val="center"/>
                </w:tcPr>
                <w:p w14:paraId="42D61A13">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颗粒物</w:t>
                  </w:r>
                </w:p>
              </w:tc>
              <w:tc>
                <w:tcPr>
                  <w:tcW w:w="414" w:type="pct"/>
                  <w:vAlign w:val="center"/>
                </w:tcPr>
                <w:p w14:paraId="5E83FACA">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1.44</w:t>
                  </w:r>
                </w:p>
              </w:tc>
              <w:tc>
                <w:tcPr>
                  <w:tcW w:w="414" w:type="pct"/>
                  <w:vAlign w:val="center"/>
                </w:tcPr>
                <w:p w14:paraId="57A5ACC1">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0.036</w:t>
                  </w:r>
                </w:p>
              </w:tc>
              <w:tc>
                <w:tcPr>
                  <w:tcW w:w="415" w:type="pct"/>
                  <w:vAlign w:val="center"/>
                </w:tcPr>
                <w:p w14:paraId="28E7715C">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0.0215</w:t>
                  </w:r>
                </w:p>
              </w:tc>
              <w:tc>
                <w:tcPr>
                  <w:tcW w:w="377" w:type="pct"/>
                  <w:vMerge w:val="restart"/>
                  <w:vAlign w:val="center"/>
                </w:tcPr>
                <w:p w14:paraId="3FAE717D">
                  <w:pPr>
                    <w:pStyle w:val="656"/>
                    <w:snapToGrid w:val="0"/>
                    <w:rPr>
                      <w:rFonts w:hint="eastAsia" w:eastAsia="宋体"/>
                      <w:color w:val="auto"/>
                      <w:sz w:val="18"/>
                      <w:szCs w:val="18"/>
                      <w:lang w:val="en-US" w:eastAsia="zh-CN"/>
                    </w:rPr>
                  </w:pPr>
                  <w:r>
                    <w:rPr>
                      <w:rFonts w:hint="eastAsia" w:eastAsia="宋体"/>
                      <w:color w:val="auto"/>
                      <w:sz w:val="18"/>
                      <w:szCs w:val="18"/>
                      <w:lang w:val="en-US" w:eastAsia="zh-CN"/>
                    </w:rPr>
                    <w:t>袋式除尘装置</w:t>
                  </w:r>
                </w:p>
              </w:tc>
              <w:tc>
                <w:tcPr>
                  <w:tcW w:w="224" w:type="pct"/>
                  <w:vMerge w:val="restart"/>
                  <w:vAlign w:val="center"/>
                </w:tcPr>
                <w:p w14:paraId="7BDED4BE">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98</w:t>
                  </w:r>
                </w:p>
              </w:tc>
              <w:tc>
                <w:tcPr>
                  <w:tcW w:w="264" w:type="pct"/>
                  <w:vMerge w:val="restart"/>
                  <w:vAlign w:val="center"/>
                </w:tcPr>
                <w:p w14:paraId="49E7ABCE">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95</w:t>
                  </w:r>
                </w:p>
              </w:tc>
              <w:tc>
                <w:tcPr>
                  <w:tcW w:w="360" w:type="pct"/>
                  <w:vAlign w:val="center"/>
                </w:tcPr>
                <w:p w14:paraId="5F7B1285">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0.072</w:t>
                  </w:r>
                </w:p>
              </w:tc>
              <w:tc>
                <w:tcPr>
                  <w:tcW w:w="389" w:type="pct"/>
                  <w:vAlign w:val="center"/>
                </w:tcPr>
                <w:p w14:paraId="642DB84E">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0.0018</w:t>
                  </w:r>
                </w:p>
              </w:tc>
              <w:tc>
                <w:tcPr>
                  <w:tcW w:w="373" w:type="pct"/>
                  <w:vAlign w:val="center"/>
                </w:tcPr>
                <w:p w14:paraId="499080C8">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0.0011</w:t>
                  </w:r>
                </w:p>
              </w:tc>
              <w:tc>
                <w:tcPr>
                  <w:tcW w:w="317" w:type="pct"/>
                  <w:vMerge w:val="restart"/>
                  <w:vAlign w:val="center"/>
                </w:tcPr>
                <w:p w14:paraId="0C359A30">
                  <w:pPr>
                    <w:pStyle w:val="656"/>
                    <w:snapToGrid w:val="0"/>
                    <w:rPr>
                      <w:rFonts w:hint="default" w:eastAsia="宋体"/>
                      <w:color w:val="auto"/>
                      <w:sz w:val="18"/>
                      <w:szCs w:val="18"/>
                      <w:lang w:val="en-US"/>
                    </w:rPr>
                  </w:pPr>
                  <w:r>
                    <w:rPr>
                      <w:rFonts w:hint="eastAsia" w:eastAsia="宋体"/>
                      <w:color w:val="auto"/>
                      <w:sz w:val="18"/>
                      <w:szCs w:val="18"/>
                      <w:lang w:val="en-US" w:eastAsia="zh-CN"/>
                    </w:rPr>
                    <w:t>600h</w:t>
                  </w:r>
                </w:p>
              </w:tc>
            </w:tr>
            <w:tr w14:paraId="68B1BDFF">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322" w:type="pct"/>
                  <w:vMerge w:val="continue"/>
                  <w:vAlign w:val="center"/>
                </w:tcPr>
                <w:p w14:paraId="49D462AE">
                  <w:pPr>
                    <w:pStyle w:val="656"/>
                    <w:snapToGrid w:val="0"/>
                    <w:rPr>
                      <w:rFonts w:hint="eastAsia" w:eastAsia="宋体"/>
                      <w:color w:val="auto"/>
                      <w:sz w:val="18"/>
                      <w:szCs w:val="18"/>
                    </w:rPr>
                  </w:pPr>
                </w:p>
              </w:tc>
              <w:tc>
                <w:tcPr>
                  <w:tcW w:w="304" w:type="pct"/>
                  <w:vMerge w:val="continue"/>
                  <w:vAlign w:val="center"/>
                </w:tcPr>
                <w:p w14:paraId="668E00EE">
                  <w:pPr>
                    <w:pStyle w:val="656"/>
                    <w:snapToGrid w:val="0"/>
                    <w:rPr>
                      <w:rFonts w:hint="eastAsia" w:eastAsia="宋体"/>
                      <w:color w:val="auto"/>
                      <w:sz w:val="18"/>
                      <w:szCs w:val="18"/>
                    </w:rPr>
                  </w:pPr>
                </w:p>
              </w:tc>
              <w:tc>
                <w:tcPr>
                  <w:tcW w:w="391" w:type="pct"/>
                  <w:vAlign w:val="center"/>
                </w:tcPr>
                <w:p w14:paraId="7B020780">
                  <w:pPr>
                    <w:pStyle w:val="656"/>
                    <w:snapToGrid w:val="0"/>
                    <w:rPr>
                      <w:rFonts w:hint="eastAsia" w:eastAsia="宋体"/>
                      <w:color w:val="auto"/>
                      <w:sz w:val="18"/>
                      <w:szCs w:val="18"/>
                      <w:lang w:val="en-US" w:eastAsia="zh-CN"/>
                    </w:rPr>
                  </w:pPr>
                  <w:r>
                    <w:rPr>
                      <w:rFonts w:hint="eastAsia" w:eastAsia="宋体"/>
                      <w:color w:val="auto"/>
                      <w:sz w:val="18"/>
                      <w:szCs w:val="18"/>
                      <w:lang w:val="en-US" w:eastAsia="zh-CN"/>
                    </w:rPr>
                    <w:t>喷锌</w:t>
                  </w:r>
                </w:p>
              </w:tc>
              <w:tc>
                <w:tcPr>
                  <w:tcW w:w="429" w:type="pct"/>
                  <w:vAlign w:val="center"/>
                </w:tcPr>
                <w:p w14:paraId="26D98CC4">
                  <w:pPr>
                    <w:pStyle w:val="656"/>
                    <w:snapToGrid w:val="0"/>
                    <w:rPr>
                      <w:rFonts w:hint="eastAsia" w:eastAsia="宋体"/>
                      <w:color w:val="auto"/>
                      <w:sz w:val="18"/>
                      <w:szCs w:val="18"/>
                    </w:rPr>
                  </w:pPr>
                  <w:r>
                    <w:rPr>
                      <w:rFonts w:hint="eastAsia" w:eastAsia="宋体"/>
                      <w:color w:val="auto"/>
                      <w:sz w:val="18"/>
                      <w:szCs w:val="18"/>
                      <w:lang w:val="en-US" w:eastAsia="zh-CN"/>
                    </w:rPr>
                    <w:t>颗粒物</w:t>
                  </w:r>
                </w:p>
              </w:tc>
              <w:tc>
                <w:tcPr>
                  <w:tcW w:w="414" w:type="pct"/>
                  <w:vAlign w:val="center"/>
                </w:tcPr>
                <w:p w14:paraId="5434459B">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29.4</w:t>
                  </w:r>
                </w:p>
              </w:tc>
              <w:tc>
                <w:tcPr>
                  <w:tcW w:w="414" w:type="pct"/>
                  <w:vAlign w:val="center"/>
                </w:tcPr>
                <w:p w14:paraId="5C5AEF71">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0.735</w:t>
                  </w:r>
                </w:p>
              </w:tc>
              <w:tc>
                <w:tcPr>
                  <w:tcW w:w="415" w:type="pct"/>
                  <w:vAlign w:val="center"/>
                </w:tcPr>
                <w:p w14:paraId="32EFAF9B">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0.441</w:t>
                  </w:r>
                </w:p>
              </w:tc>
              <w:tc>
                <w:tcPr>
                  <w:tcW w:w="377" w:type="pct"/>
                  <w:vMerge w:val="continue"/>
                  <w:vAlign w:val="center"/>
                </w:tcPr>
                <w:p w14:paraId="3C564D89">
                  <w:pPr>
                    <w:pStyle w:val="656"/>
                    <w:snapToGrid w:val="0"/>
                    <w:rPr>
                      <w:rFonts w:eastAsia="宋体"/>
                      <w:color w:val="auto"/>
                      <w:sz w:val="18"/>
                      <w:szCs w:val="18"/>
                    </w:rPr>
                  </w:pPr>
                </w:p>
              </w:tc>
              <w:tc>
                <w:tcPr>
                  <w:tcW w:w="224" w:type="pct"/>
                  <w:vMerge w:val="continue"/>
                  <w:vAlign w:val="center"/>
                </w:tcPr>
                <w:p w14:paraId="2D867720">
                  <w:pPr>
                    <w:pStyle w:val="656"/>
                    <w:snapToGrid w:val="0"/>
                    <w:rPr>
                      <w:rFonts w:hint="eastAsia" w:eastAsia="宋体"/>
                      <w:color w:val="auto"/>
                      <w:sz w:val="18"/>
                      <w:szCs w:val="18"/>
                    </w:rPr>
                  </w:pPr>
                </w:p>
              </w:tc>
              <w:tc>
                <w:tcPr>
                  <w:tcW w:w="264" w:type="pct"/>
                  <w:vMerge w:val="continue"/>
                  <w:vAlign w:val="center"/>
                </w:tcPr>
                <w:p w14:paraId="74B1E42F">
                  <w:pPr>
                    <w:pStyle w:val="656"/>
                    <w:snapToGrid w:val="0"/>
                    <w:rPr>
                      <w:rFonts w:hint="eastAsia" w:eastAsia="宋体"/>
                      <w:color w:val="auto"/>
                      <w:sz w:val="18"/>
                      <w:szCs w:val="18"/>
                    </w:rPr>
                  </w:pPr>
                </w:p>
              </w:tc>
              <w:tc>
                <w:tcPr>
                  <w:tcW w:w="360" w:type="pct"/>
                  <w:vAlign w:val="center"/>
                </w:tcPr>
                <w:p w14:paraId="7AAE26B4">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1.48</w:t>
                  </w:r>
                </w:p>
              </w:tc>
              <w:tc>
                <w:tcPr>
                  <w:tcW w:w="389" w:type="pct"/>
                  <w:vAlign w:val="center"/>
                </w:tcPr>
                <w:p w14:paraId="34CAB5B4">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0.037</w:t>
                  </w:r>
                </w:p>
              </w:tc>
              <w:tc>
                <w:tcPr>
                  <w:tcW w:w="373" w:type="pct"/>
                  <w:vAlign w:val="center"/>
                </w:tcPr>
                <w:p w14:paraId="1849072D">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0.0221</w:t>
                  </w:r>
                </w:p>
              </w:tc>
              <w:tc>
                <w:tcPr>
                  <w:tcW w:w="317" w:type="pct"/>
                  <w:vMerge w:val="continue"/>
                  <w:vAlign w:val="center"/>
                </w:tcPr>
                <w:p w14:paraId="3D762824">
                  <w:pPr>
                    <w:pStyle w:val="656"/>
                    <w:snapToGrid w:val="0"/>
                    <w:rPr>
                      <w:rFonts w:hint="eastAsia" w:eastAsia="宋体"/>
                      <w:color w:val="auto"/>
                      <w:sz w:val="18"/>
                      <w:szCs w:val="18"/>
                    </w:rPr>
                  </w:pPr>
                </w:p>
              </w:tc>
            </w:tr>
            <w:tr w14:paraId="498BA47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18" w:hRule="atLeast"/>
                <w:jc w:val="center"/>
              </w:trPr>
              <w:tc>
                <w:tcPr>
                  <w:tcW w:w="322" w:type="pct"/>
                  <w:vMerge w:val="restart"/>
                  <w:vAlign w:val="center"/>
                </w:tcPr>
                <w:p w14:paraId="5FAF92D0">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DA002</w:t>
                  </w:r>
                </w:p>
              </w:tc>
              <w:tc>
                <w:tcPr>
                  <w:tcW w:w="304" w:type="pct"/>
                  <w:vMerge w:val="restart"/>
                  <w:vAlign w:val="center"/>
                </w:tcPr>
                <w:p w14:paraId="7F2E200E">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25000</w:t>
                  </w:r>
                </w:p>
              </w:tc>
              <w:tc>
                <w:tcPr>
                  <w:tcW w:w="391" w:type="pct"/>
                  <w:vMerge w:val="restart"/>
                  <w:vAlign w:val="center"/>
                </w:tcPr>
                <w:p w14:paraId="695700D8">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调漆、喷漆、晾干</w:t>
                  </w:r>
                </w:p>
              </w:tc>
              <w:tc>
                <w:tcPr>
                  <w:tcW w:w="429" w:type="pct"/>
                  <w:vAlign w:val="center"/>
                </w:tcPr>
                <w:p w14:paraId="54DF61A3">
                  <w:pPr>
                    <w:pStyle w:val="656"/>
                    <w:snapToGrid w:val="0"/>
                    <w:rPr>
                      <w:rFonts w:hint="eastAsia" w:eastAsia="宋体"/>
                      <w:color w:val="auto"/>
                      <w:sz w:val="18"/>
                      <w:szCs w:val="18"/>
                      <w:lang w:val="en-US" w:eastAsia="zh-CN"/>
                    </w:rPr>
                  </w:pPr>
                  <w:r>
                    <w:rPr>
                      <w:rFonts w:hint="eastAsia" w:eastAsia="宋体"/>
                      <w:color w:val="auto"/>
                      <w:sz w:val="18"/>
                      <w:szCs w:val="18"/>
                      <w:lang w:val="en-US" w:eastAsia="zh-CN"/>
                    </w:rPr>
                    <w:t>颗粒物</w:t>
                  </w:r>
                </w:p>
              </w:tc>
              <w:tc>
                <w:tcPr>
                  <w:tcW w:w="414" w:type="pct"/>
                  <w:vAlign w:val="center"/>
                </w:tcPr>
                <w:p w14:paraId="69FFB131">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19.6</w:t>
                  </w:r>
                </w:p>
              </w:tc>
              <w:tc>
                <w:tcPr>
                  <w:tcW w:w="414" w:type="pct"/>
                  <w:vAlign w:val="center"/>
                </w:tcPr>
                <w:p w14:paraId="6350D1FE">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0.49</w:t>
                  </w:r>
                </w:p>
              </w:tc>
              <w:tc>
                <w:tcPr>
                  <w:tcW w:w="415" w:type="pct"/>
                  <w:vAlign w:val="center"/>
                </w:tcPr>
                <w:p w14:paraId="6ED1E5FD">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1.4555</w:t>
                  </w:r>
                </w:p>
              </w:tc>
              <w:tc>
                <w:tcPr>
                  <w:tcW w:w="377" w:type="pct"/>
                  <w:vMerge w:val="restart"/>
                  <w:vAlign w:val="center"/>
                </w:tcPr>
                <w:p w14:paraId="16DB07A7">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过滤棉+二级活性炭装置</w:t>
                  </w:r>
                </w:p>
              </w:tc>
              <w:tc>
                <w:tcPr>
                  <w:tcW w:w="224" w:type="pct"/>
                  <w:vMerge w:val="restart"/>
                  <w:vAlign w:val="center"/>
                </w:tcPr>
                <w:p w14:paraId="0C05B999">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98</w:t>
                  </w:r>
                </w:p>
              </w:tc>
              <w:tc>
                <w:tcPr>
                  <w:tcW w:w="264" w:type="pct"/>
                  <w:vMerge w:val="restart"/>
                  <w:vAlign w:val="center"/>
                </w:tcPr>
                <w:p w14:paraId="2BCEEC0C">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90</w:t>
                  </w:r>
                </w:p>
              </w:tc>
              <w:tc>
                <w:tcPr>
                  <w:tcW w:w="360" w:type="pct"/>
                  <w:vAlign w:val="center"/>
                </w:tcPr>
                <w:p w14:paraId="660501E3">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1.96</w:t>
                  </w:r>
                </w:p>
              </w:tc>
              <w:tc>
                <w:tcPr>
                  <w:tcW w:w="389" w:type="pct"/>
                  <w:vAlign w:val="center"/>
                </w:tcPr>
                <w:p w14:paraId="68307C7C">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0.049</w:t>
                  </w:r>
                </w:p>
              </w:tc>
              <w:tc>
                <w:tcPr>
                  <w:tcW w:w="373" w:type="pct"/>
                  <w:vAlign w:val="center"/>
                </w:tcPr>
                <w:p w14:paraId="75FEE466">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0.14555</w:t>
                  </w:r>
                </w:p>
              </w:tc>
              <w:tc>
                <w:tcPr>
                  <w:tcW w:w="317" w:type="pct"/>
                  <w:vAlign w:val="center"/>
                </w:tcPr>
                <w:p w14:paraId="4E4EB7A3">
                  <w:pPr>
                    <w:pStyle w:val="656"/>
                    <w:snapToGrid w:val="0"/>
                    <w:rPr>
                      <w:rFonts w:hint="default" w:eastAsia="宋体"/>
                      <w:color w:val="auto"/>
                      <w:sz w:val="18"/>
                      <w:szCs w:val="18"/>
                      <w:lang w:val="en-US" w:eastAsia="zh-CN"/>
                    </w:rPr>
                  </w:pPr>
                  <w:r>
                    <w:rPr>
                      <w:rFonts w:hint="eastAsia" w:eastAsia="宋体" w:cs="Times New Roman"/>
                      <w:color w:val="auto"/>
                      <w:sz w:val="18"/>
                      <w:szCs w:val="18"/>
                      <w:lang w:val="en-US" w:eastAsia="zh-CN"/>
                    </w:rPr>
                    <w:t>1200h</w:t>
                  </w:r>
                </w:p>
              </w:tc>
            </w:tr>
            <w:tr w14:paraId="012F50C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322" w:type="pct"/>
                  <w:vMerge w:val="continue"/>
                  <w:vAlign w:val="center"/>
                </w:tcPr>
                <w:p w14:paraId="352FA3D8">
                  <w:pPr>
                    <w:pStyle w:val="656"/>
                    <w:snapToGrid w:val="0"/>
                    <w:rPr>
                      <w:rFonts w:hint="eastAsia" w:eastAsia="宋体"/>
                      <w:color w:val="auto"/>
                      <w:sz w:val="18"/>
                      <w:szCs w:val="18"/>
                      <w:lang w:val="en-US" w:eastAsia="zh-CN"/>
                    </w:rPr>
                  </w:pPr>
                </w:p>
              </w:tc>
              <w:tc>
                <w:tcPr>
                  <w:tcW w:w="304" w:type="pct"/>
                  <w:vMerge w:val="continue"/>
                  <w:vAlign w:val="center"/>
                </w:tcPr>
                <w:p w14:paraId="3DF2D21E">
                  <w:pPr>
                    <w:pStyle w:val="656"/>
                    <w:snapToGrid w:val="0"/>
                    <w:rPr>
                      <w:rFonts w:hint="eastAsia" w:eastAsia="宋体"/>
                      <w:color w:val="auto"/>
                      <w:sz w:val="18"/>
                      <w:szCs w:val="18"/>
                      <w:lang w:val="en-US" w:eastAsia="zh-CN"/>
                    </w:rPr>
                  </w:pPr>
                </w:p>
              </w:tc>
              <w:tc>
                <w:tcPr>
                  <w:tcW w:w="391" w:type="pct"/>
                  <w:vMerge w:val="continue"/>
                  <w:vAlign w:val="center"/>
                </w:tcPr>
                <w:p w14:paraId="6AAD99A9">
                  <w:pPr>
                    <w:pStyle w:val="656"/>
                    <w:snapToGrid w:val="0"/>
                    <w:rPr>
                      <w:rFonts w:hint="eastAsia" w:eastAsia="宋体"/>
                      <w:color w:val="auto"/>
                      <w:sz w:val="18"/>
                      <w:szCs w:val="18"/>
                      <w:lang w:val="en-US" w:eastAsia="zh-CN"/>
                    </w:rPr>
                  </w:pPr>
                </w:p>
              </w:tc>
              <w:tc>
                <w:tcPr>
                  <w:tcW w:w="429" w:type="pct"/>
                  <w:vAlign w:val="center"/>
                </w:tcPr>
                <w:p w14:paraId="348BE49C">
                  <w:pPr>
                    <w:pStyle w:val="656"/>
                    <w:snapToGrid w:val="0"/>
                    <w:rPr>
                      <w:rFonts w:hint="eastAsia" w:eastAsia="宋体"/>
                      <w:color w:val="auto"/>
                      <w:sz w:val="18"/>
                      <w:szCs w:val="18"/>
                      <w:lang w:val="en-US" w:eastAsia="zh-CN"/>
                    </w:rPr>
                  </w:pPr>
                  <w:r>
                    <w:rPr>
                      <w:rFonts w:hint="eastAsia" w:eastAsia="宋体"/>
                      <w:color w:val="auto"/>
                      <w:sz w:val="18"/>
                      <w:szCs w:val="18"/>
                      <w:lang w:val="en-US" w:eastAsia="zh-CN"/>
                    </w:rPr>
                    <w:t>非甲烷总烃</w:t>
                  </w:r>
                </w:p>
              </w:tc>
              <w:tc>
                <w:tcPr>
                  <w:tcW w:w="414" w:type="pct"/>
                  <w:vAlign w:val="center"/>
                </w:tcPr>
                <w:p w14:paraId="33DD86B6">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14.96</w:t>
                  </w:r>
                </w:p>
              </w:tc>
              <w:tc>
                <w:tcPr>
                  <w:tcW w:w="414" w:type="pct"/>
                  <w:vAlign w:val="center"/>
                </w:tcPr>
                <w:p w14:paraId="1F6DCBF0">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0.374</w:t>
                  </w:r>
                </w:p>
              </w:tc>
              <w:tc>
                <w:tcPr>
                  <w:tcW w:w="415" w:type="pct"/>
                  <w:vAlign w:val="center"/>
                </w:tcPr>
                <w:p w14:paraId="530E2FFC">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1.121</w:t>
                  </w:r>
                </w:p>
              </w:tc>
              <w:tc>
                <w:tcPr>
                  <w:tcW w:w="377" w:type="pct"/>
                  <w:vMerge w:val="continue"/>
                  <w:vAlign w:val="center"/>
                </w:tcPr>
                <w:p w14:paraId="28490661">
                  <w:pPr>
                    <w:pStyle w:val="656"/>
                    <w:snapToGrid w:val="0"/>
                    <w:rPr>
                      <w:rFonts w:eastAsia="宋体"/>
                      <w:color w:val="auto"/>
                      <w:sz w:val="18"/>
                      <w:szCs w:val="18"/>
                    </w:rPr>
                  </w:pPr>
                </w:p>
              </w:tc>
              <w:tc>
                <w:tcPr>
                  <w:tcW w:w="224" w:type="pct"/>
                  <w:vMerge w:val="continue"/>
                  <w:vAlign w:val="center"/>
                </w:tcPr>
                <w:p w14:paraId="675721F0">
                  <w:pPr>
                    <w:pStyle w:val="656"/>
                    <w:snapToGrid w:val="0"/>
                    <w:rPr>
                      <w:rFonts w:hint="eastAsia" w:eastAsia="宋体"/>
                      <w:color w:val="auto"/>
                      <w:sz w:val="18"/>
                      <w:szCs w:val="18"/>
                    </w:rPr>
                  </w:pPr>
                </w:p>
              </w:tc>
              <w:tc>
                <w:tcPr>
                  <w:tcW w:w="264" w:type="pct"/>
                  <w:vMerge w:val="continue"/>
                  <w:vAlign w:val="center"/>
                </w:tcPr>
                <w:p w14:paraId="163BB9C1">
                  <w:pPr>
                    <w:pStyle w:val="656"/>
                    <w:snapToGrid w:val="0"/>
                    <w:rPr>
                      <w:rFonts w:hint="eastAsia" w:eastAsia="宋体"/>
                      <w:color w:val="auto"/>
                      <w:sz w:val="18"/>
                      <w:szCs w:val="18"/>
                    </w:rPr>
                  </w:pPr>
                </w:p>
              </w:tc>
              <w:tc>
                <w:tcPr>
                  <w:tcW w:w="360" w:type="pct"/>
                  <w:vAlign w:val="center"/>
                </w:tcPr>
                <w:p w14:paraId="4CC24146">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1.496</w:t>
                  </w:r>
                </w:p>
              </w:tc>
              <w:tc>
                <w:tcPr>
                  <w:tcW w:w="389" w:type="pct"/>
                  <w:vAlign w:val="center"/>
                </w:tcPr>
                <w:p w14:paraId="02CE5FA0">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0.0374</w:t>
                  </w:r>
                </w:p>
              </w:tc>
              <w:tc>
                <w:tcPr>
                  <w:tcW w:w="373" w:type="pct"/>
                  <w:vAlign w:val="center"/>
                </w:tcPr>
                <w:p w14:paraId="7A2329CF">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0.1121</w:t>
                  </w:r>
                </w:p>
              </w:tc>
              <w:tc>
                <w:tcPr>
                  <w:tcW w:w="317" w:type="pct"/>
                  <w:vMerge w:val="restart"/>
                  <w:vAlign w:val="center"/>
                </w:tcPr>
                <w:p w14:paraId="00C3F55E">
                  <w:pPr>
                    <w:pStyle w:val="656"/>
                    <w:snapToGrid w:val="0"/>
                    <w:rPr>
                      <w:rFonts w:hint="default" w:eastAsia="宋体"/>
                      <w:color w:val="auto"/>
                      <w:sz w:val="18"/>
                      <w:szCs w:val="18"/>
                      <w:lang w:val="en-US"/>
                    </w:rPr>
                  </w:pPr>
                  <w:r>
                    <w:rPr>
                      <w:rFonts w:hint="eastAsia" w:eastAsia="宋体" w:cs="Times New Roman"/>
                      <w:color w:val="auto"/>
                      <w:sz w:val="18"/>
                      <w:szCs w:val="18"/>
                      <w:lang w:val="en-US" w:eastAsia="zh-CN"/>
                    </w:rPr>
                    <w:t>3000h</w:t>
                  </w:r>
                </w:p>
              </w:tc>
            </w:tr>
            <w:tr w14:paraId="27A02BD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322" w:type="pct"/>
                  <w:vMerge w:val="continue"/>
                  <w:vAlign w:val="center"/>
                </w:tcPr>
                <w:p w14:paraId="42530FAE">
                  <w:pPr>
                    <w:pStyle w:val="656"/>
                    <w:snapToGrid w:val="0"/>
                    <w:rPr>
                      <w:rFonts w:hint="eastAsia" w:eastAsia="宋体"/>
                      <w:color w:val="auto"/>
                      <w:sz w:val="18"/>
                      <w:szCs w:val="18"/>
                      <w:lang w:val="en-US" w:eastAsia="zh-CN"/>
                    </w:rPr>
                  </w:pPr>
                </w:p>
              </w:tc>
              <w:tc>
                <w:tcPr>
                  <w:tcW w:w="304" w:type="pct"/>
                  <w:vMerge w:val="continue"/>
                  <w:vAlign w:val="center"/>
                </w:tcPr>
                <w:p w14:paraId="7A5C7A06">
                  <w:pPr>
                    <w:pStyle w:val="656"/>
                    <w:snapToGrid w:val="0"/>
                    <w:rPr>
                      <w:rFonts w:hint="eastAsia" w:eastAsia="宋体"/>
                      <w:color w:val="auto"/>
                      <w:sz w:val="18"/>
                      <w:szCs w:val="18"/>
                      <w:lang w:val="en-US" w:eastAsia="zh-CN"/>
                    </w:rPr>
                  </w:pPr>
                </w:p>
              </w:tc>
              <w:tc>
                <w:tcPr>
                  <w:tcW w:w="391" w:type="pct"/>
                  <w:vMerge w:val="continue"/>
                  <w:vAlign w:val="center"/>
                </w:tcPr>
                <w:p w14:paraId="4D1781EC">
                  <w:pPr>
                    <w:pStyle w:val="656"/>
                    <w:snapToGrid w:val="0"/>
                    <w:rPr>
                      <w:rFonts w:hint="eastAsia" w:eastAsia="宋体"/>
                      <w:color w:val="auto"/>
                      <w:sz w:val="18"/>
                      <w:szCs w:val="18"/>
                      <w:lang w:val="en-US" w:eastAsia="zh-CN"/>
                    </w:rPr>
                  </w:pPr>
                </w:p>
              </w:tc>
              <w:tc>
                <w:tcPr>
                  <w:tcW w:w="429" w:type="pct"/>
                  <w:shd w:val="clear" w:color="auto" w:fill="auto"/>
                  <w:vAlign w:val="center"/>
                </w:tcPr>
                <w:p w14:paraId="569B6B53">
                  <w:pPr>
                    <w:pStyle w:val="656"/>
                    <w:snapToGrid w:val="0"/>
                    <w:rPr>
                      <w:rFonts w:hint="eastAsia" w:ascii="Times New Roman" w:hAnsi="Times New Roman" w:eastAsia="宋体" w:cs="Times New Roman"/>
                      <w:snapToGrid w:val="0"/>
                      <w:color w:val="auto"/>
                      <w:kern w:val="2"/>
                      <w:sz w:val="18"/>
                      <w:szCs w:val="18"/>
                      <w:lang w:val="en-US" w:eastAsia="zh-CN" w:bidi="ar-SA"/>
                    </w:rPr>
                  </w:pPr>
                  <w:r>
                    <w:rPr>
                      <w:rFonts w:hint="eastAsia" w:eastAsia="宋体"/>
                      <w:color w:val="auto"/>
                      <w:sz w:val="18"/>
                      <w:szCs w:val="18"/>
                      <w:lang w:val="en-US" w:eastAsia="zh-CN"/>
                    </w:rPr>
                    <w:t>苯系物</w:t>
                  </w:r>
                </w:p>
              </w:tc>
              <w:tc>
                <w:tcPr>
                  <w:tcW w:w="414" w:type="pct"/>
                  <w:shd w:val="clear" w:color="auto" w:fill="auto"/>
                  <w:vAlign w:val="center"/>
                </w:tcPr>
                <w:p w14:paraId="6B60CB5D">
                  <w:pPr>
                    <w:pStyle w:val="656"/>
                    <w:snapToGrid w:val="0"/>
                    <w:rPr>
                      <w:rFonts w:hint="default" w:ascii="Times New Roman" w:hAnsi="Times New Roman" w:eastAsia="宋体" w:cs="Times New Roman"/>
                      <w:snapToGrid w:val="0"/>
                      <w:color w:val="auto"/>
                      <w:kern w:val="2"/>
                      <w:sz w:val="18"/>
                      <w:szCs w:val="18"/>
                      <w:lang w:val="en-US" w:eastAsia="zh-CN" w:bidi="ar-SA"/>
                    </w:rPr>
                  </w:pPr>
                  <w:r>
                    <w:rPr>
                      <w:rFonts w:hint="eastAsia" w:eastAsia="宋体" w:cs="Times New Roman"/>
                      <w:snapToGrid w:val="0"/>
                      <w:color w:val="auto"/>
                      <w:kern w:val="2"/>
                      <w:sz w:val="18"/>
                      <w:szCs w:val="18"/>
                      <w:lang w:val="en-US" w:eastAsia="zh-CN" w:bidi="ar-SA"/>
                    </w:rPr>
                    <w:t>8</w:t>
                  </w:r>
                </w:p>
              </w:tc>
              <w:tc>
                <w:tcPr>
                  <w:tcW w:w="414" w:type="pct"/>
                  <w:shd w:val="clear" w:color="auto" w:fill="auto"/>
                  <w:vAlign w:val="center"/>
                </w:tcPr>
                <w:p w14:paraId="05ED882F">
                  <w:pPr>
                    <w:pStyle w:val="656"/>
                    <w:snapToGrid w:val="0"/>
                    <w:rPr>
                      <w:rFonts w:hint="default" w:ascii="Times New Roman" w:hAnsi="Times New Roman" w:eastAsia="宋体" w:cs="Times New Roman"/>
                      <w:snapToGrid w:val="0"/>
                      <w:color w:val="auto"/>
                      <w:kern w:val="2"/>
                      <w:sz w:val="18"/>
                      <w:szCs w:val="18"/>
                      <w:lang w:val="en-US" w:eastAsia="zh-CN" w:bidi="ar-SA"/>
                    </w:rPr>
                  </w:pPr>
                  <w:r>
                    <w:rPr>
                      <w:rFonts w:hint="eastAsia" w:eastAsia="宋体" w:cs="Times New Roman"/>
                      <w:snapToGrid w:val="0"/>
                      <w:color w:val="auto"/>
                      <w:kern w:val="2"/>
                      <w:sz w:val="18"/>
                      <w:szCs w:val="18"/>
                      <w:lang w:val="en-US" w:eastAsia="zh-CN" w:bidi="ar-SA"/>
                    </w:rPr>
                    <w:t>0.2</w:t>
                  </w:r>
                </w:p>
              </w:tc>
              <w:tc>
                <w:tcPr>
                  <w:tcW w:w="415" w:type="pct"/>
                  <w:shd w:val="clear" w:color="auto" w:fill="auto"/>
                  <w:vAlign w:val="center"/>
                </w:tcPr>
                <w:p w14:paraId="02BF60F5">
                  <w:pPr>
                    <w:pStyle w:val="656"/>
                    <w:snapToGrid w:val="0"/>
                    <w:rPr>
                      <w:rFonts w:hint="default" w:ascii="Times New Roman" w:hAnsi="Times New Roman" w:eastAsia="宋体" w:cs="Times New Roman"/>
                      <w:snapToGrid w:val="0"/>
                      <w:color w:val="auto"/>
                      <w:kern w:val="2"/>
                      <w:sz w:val="18"/>
                      <w:szCs w:val="18"/>
                      <w:lang w:val="en-US" w:eastAsia="zh-CN" w:bidi="ar-SA"/>
                    </w:rPr>
                  </w:pPr>
                  <w:r>
                    <w:rPr>
                      <w:rFonts w:hint="eastAsia" w:eastAsia="宋体" w:cs="Times New Roman"/>
                      <w:snapToGrid w:val="0"/>
                      <w:color w:val="auto"/>
                      <w:kern w:val="2"/>
                      <w:sz w:val="18"/>
                      <w:szCs w:val="18"/>
                      <w:lang w:val="en-US" w:eastAsia="zh-CN" w:bidi="ar-SA"/>
                    </w:rPr>
                    <w:t>0.5986</w:t>
                  </w:r>
                </w:p>
              </w:tc>
              <w:tc>
                <w:tcPr>
                  <w:tcW w:w="377" w:type="pct"/>
                  <w:vMerge w:val="continue"/>
                  <w:vAlign w:val="center"/>
                </w:tcPr>
                <w:p w14:paraId="216CAAA8">
                  <w:pPr>
                    <w:pStyle w:val="656"/>
                    <w:snapToGrid w:val="0"/>
                    <w:rPr>
                      <w:rFonts w:eastAsia="宋体"/>
                      <w:color w:val="auto"/>
                      <w:sz w:val="18"/>
                      <w:szCs w:val="18"/>
                    </w:rPr>
                  </w:pPr>
                </w:p>
              </w:tc>
              <w:tc>
                <w:tcPr>
                  <w:tcW w:w="224" w:type="pct"/>
                  <w:vMerge w:val="continue"/>
                  <w:shd w:val="clear" w:color="auto" w:fill="auto"/>
                  <w:vAlign w:val="center"/>
                </w:tcPr>
                <w:p w14:paraId="04BB62FB">
                  <w:pPr>
                    <w:pStyle w:val="656"/>
                    <w:snapToGrid w:val="0"/>
                    <w:rPr>
                      <w:rFonts w:hint="eastAsia" w:ascii="Times New Roman" w:hAnsi="Times New Roman" w:eastAsia="宋体" w:cs="Times New Roman"/>
                      <w:snapToGrid w:val="0"/>
                      <w:color w:val="auto"/>
                      <w:kern w:val="2"/>
                      <w:sz w:val="18"/>
                      <w:szCs w:val="18"/>
                      <w:lang w:val="en-US" w:eastAsia="zh-CN" w:bidi="ar-SA"/>
                    </w:rPr>
                  </w:pPr>
                </w:p>
              </w:tc>
              <w:tc>
                <w:tcPr>
                  <w:tcW w:w="264" w:type="pct"/>
                  <w:vMerge w:val="continue"/>
                  <w:shd w:val="clear" w:color="auto" w:fill="auto"/>
                  <w:vAlign w:val="center"/>
                </w:tcPr>
                <w:p w14:paraId="6880EEE9">
                  <w:pPr>
                    <w:pStyle w:val="656"/>
                    <w:snapToGrid w:val="0"/>
                    <w:rPr>
                      <w:rFonts w:hint="eastAsia" w:ascii="Times New Roman" w:hAnsi="Times New Roman" w:eastAsia="宋体" w:cs="Times New Roman"/>
                      <w:snapToGrid w:val="0"/>
                      <w:color w:val="auto"/>
                      <w:kern w:val="2"/>
                      <w:sz w:val="18"/>
                      <w:szCs w:val="18"/>
                      <w:lang w:val="en-US" w:eastAsia="zh-CN" w:bidi="ar-SA"/>
                    </w:rPr>
                  </w:pPr>
                </w:p>
              </w:tc>
              <w:tc>
                <w:tcPr>
                  <w:tcW w:w="360" w:type="pct"/>
                  <w:shd w:val="clear" w:color="auto" w:fill="auto"/>
                  <w:vAlign w:val="center"/>
                </w:tcPr>
                <w:p w14:paraId="1D36A1B5">
                  <w:pPr>
                    <w:pStyle w:val="656"/>
                    <w:snapToGrid w:val="0"/>
                    <w:rPr>
                      <w:rFonts w:hint="default" w:ascii="Times New Roman" w:hAnsi="Times New Roman" w:eastAsia="宋体" w:cs="Times New Roman"/>
                      <w:snapToGrid w:val="0"/>
                      <w:color w:val="auto"/>
                      <w:kern w:val="2"/>
                      <w:sz w:val="18"/>
                      <w:szCs w:val="18"/>
                      <w:lang w:val="en-US" w:eastAsia="zh-CN" w:bidi="ar-SA"/>
                    </w:rPr>
                  </w:pPr>
                  <w:r>
                    <w:rPr>
                      <w:rFonts w:hint="eastAsia" w:eastAsia="宋体" w:cs="Times New Roman"/>
                      <w:snapToGrid w:val="0"/>
                      <w:color w:val="auto"/>
                      <w:kern w:val="2"/>
                      <w:sz w:val="18"/>
                      <w:szCs w:val="18"/>
                      <w:lang w:val="en-US" w:eastAsia="zh-CN" w:bidi="ar-SA"/>
                    </w:rPr>
                    <w:t>0.8</w:t>
                  </w:r>
                </w:p>
              </w:tc>
              <w:tc>
                <w:tcPr>
                  <w:tcW w:w="389" w:type="pct"/>
                  <w:shd w:val="clear" w:color="auto" w:fill="auto"/>
                  <w:vAlign w:val="center"/>
                </w:tcPr>
                <w:p w14:paraId="71236DEC">
                  <w:pPr>
                    <w:pStyle w:val="656"/>
                    <w:snapToGrid w:val="0"/>
                    <w:rPr>
                      <w:rFonts w:hint="default" w:ascii="Times New Roman" w:hAnsi="Times New Roman" w:eastAsia="宋体" w:cs="Times New Roman"/>
                      <w:snapToGrid w:val="0"/>
                      <w:color w:val="auto"/>
                      <w:kern w:val="2"/>
                      <w:sz w:val="18"/>
                      <w:szCs w:val="18"/>
                      <w:lang w:val="en-US" w:eastAsia="zh-CN" w:bidi="ar-SA"/>
                    </w:rPr>
                  </w:pPr>
                  <w:r>
                    <w:rPr>
                      <w:rFonts w:hint="eastAsia" w:eastAsia="宋体" w:cs="Times New Roman"/>
                      <w:snapToGrid w:val="0"/>
                      <w:color w:val="auto"/>
                      <w:kern w:val="2"/>
                      <w:sz w:val="18"/>
                      <w:szCs w:val="18"/>
                      <w:lang w:val="en-US" w:eastAsia="zh-CN" w:bidi="ar-SA"/>
                    </w:rPr>
                    <w:t>0.02</w:t>
                  </w:r>
                </w:p>
              </w:tc>
              <w:tc>
                <w:tcPr>
                  <w:tcW w:w="373" w:type="pct"/>
                  <w:shd w:val="clear" w:color="auto" w:fill="auto"/>
                  <w:vAlign w:val="center"/>
                </w:tcPr>
                <w:p w14:paraId="051F2F74">
                  <w:pPr>
                    <w:pStyle w:val="656"/>
                    <w:snapToGrid w:val="0"/>
                    <w:rPr>
                      <w:rFonts w:hint="default" w:ascii="Times New Roman" w:hAnsi="Times New Roman" w:eastAsia="宋体" w:cs="Times New Roman"/>
                      <w:snapToGrid w:val="0"/>
                      <w:color w:val="auto"/>
                      <w:kern w:val="2"/>
                      <w:sz w:val="18"/>
                      <w:szCs w:val="18"/>
                      <w:lang w:val="en-US" w:eastAsia="zh-CN" w:bidi="ar-SA"/>
                    </w:rPr>
                  </w:pPr>
                  <w:r>
                    <w:rPr>
                      <w:rFonts w:hint="eastAsia" w:eastAsia="宋体" w:cs="Times New Roman"/>
                      <w:snapToGrid w:val="0"/>
                      <w:color w:val="auto"/>
                      <w:kern w:val="2"/>
                      <w:sz w:val="18"/>
                      <w:szCs w:val="18"/>
                      <w:lang w:val="en-US" w:eastAsia="zh-CN" w:bidi="ar-SA"/>
                    </w:rPr>
                    <w:t>0.05986</w:t>
                  </w:r>
                </w:p>
              </w:tc>
              <w:tc>
                <w:tcPr>
                  <w:tcW w:w="317" w:type="pct"/>
                  <w:vMerge w:val="continue"/>
                  <w:vAlign w:val="center"/>
                </w:tcPr>
                <w:p w14:paraId="072E9F79">
                  <w:pPr>
                    <w:pStyle w:val="656"/>
                    <w:snapToGrid w:val="0"/>
                    <w:rPr>
                      <w:rFonts w:hint="eastAsia" w:eastAsia="宋体" w:cs="Times New Roman"/>
                      <w:color w:val="auto"/>
                      <w:sz w:val="18"/>
                      <w:szCs w:val="18"/>
                      <w:lang w:val="en-US" w:eastAsia="zh-CN"/>
                    </w:rPr>
                  </w:pPr>
                </w:p>
              </w:tc>
            </w:tr>
            <w:tr w14:paraId="7450C20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322" w:type="pct"/>
                  <w:vMerge w:val="continue"/>
                  <w:vAlign w:val="center"/>
                </w:tcPr>
                <w:p w14:paraId="37A22E59">
                  <w:pPr>
                    <w:pStyle w:val="656"/>
                    <w:snapToGrid w:val="0"/>
                    <w:rPr>
                      <w:rFonts w:hint="eastAsia" w:eastAsia="宋体"/>
                      <w:color w:val="auto"/>
                      <w:sz w:val="18"/>
                      <w:szCs w:val="18"/>
                      <w:lang w:val="en-US" w:eastAsia="zh-CN"/>
                    </w:rPr>
                  </w:pPr>
                </w:p>
              </w:tc>
              <w:tc>
                <w:tcPr>
                  <w:tcW w:w="304" w:type="pct"/>
                  <w:vMerge w:val="continue"/>
                  <w:vAlign w:val="center"/>
                </w:tcPr>
                <w:p w14:paraId="243A35BE">
                  <w:pPr>
                    <w:pStyle w:val="656"/>
                    <w:snapToGrid w:val="0"/>
                    <w:rPr>
                      <w:rFonts w:hint="eastAsia" w:eastAsia="宋体"/>
                      <w:color w:val="auto"/>
                      <w:sz w:val="18"/>
                      <w:szCs w:val="18"/>
                      <w:lang w:val="en-US" w:eastAsia="zh-CN"/>
                    </w:rPr>
                  </w:pPr>
                </w:p>
              </w:tc>
              <w:tc>
                <w:tcPr>
                  <w:tcW w:w="391" w:type="pct"/>
                  <w:vMerge w:val="continue"/>
                  <w:vAlign w:val="center"/>
                </w:tcPr>
                <w:p w14:paraId="1D5A07C4">
                  <w:pPr>
                    <w:pStyle w:val="656"/>
                    <w:snapToGrid w:val="0"/>
                    <w:rPr>
                      <w:rFonts w:hint="eastAsia" w:eastAsia="宋体"/>
                      <w:color w:val="auto"/>
                      <w:sz w:val="18"/>
                      <w:szCs w:val="18"/>
                      <w:lang w:val="en-US" w:eastAsia="zh-CN"/>
                    </w:rPr>
                  </w:pPr>
                </w:p>
              </w:tc>
              <w:tc>
                <w:tcPr>
                  <w:tcW w:w="429" w:type="pct"/>
                  <w:shd w:val="clear" w:color="auto" w:fill="auto"/>
                  <w:vAlign w:val="center"/>
                </w:tcPr>
                <w:p w14:paraId="79F61552">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二甲苯</w:t>
                  </w:r>
                </w:p>
              </w:tc>
              <w:tc>
                <w:tcPr>
                  <w:tcW w:w="414" w:type="pct"/>
                  <w:shd w:val="clear" w:color="auto" w:fill="auto"/>
                  <w:vAlign w:val="center"/>
                </w:tcPr>
                <w:p w14:paraId="4BD52874">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5.44</w:t>
                  </w:r>
                </w:p>
              </w:tc>
              <w:tc>
                <w:tcPr>
                  <w:tcW w:w="414" w:type="pct"/>
                  <w:shd w:val="clear" w:color="auto" w:fill="auto"/>
                  <w:vAlign w:val="center"/>
                </w:tcPr>
                <w:p w14:paraId="17745E2B">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0.136</w:t>
                  </w:r>
                </w:p>
              </w:tc>
              <w:tc>
                <w:tcPr>
                  <w:tcW w:w="415" w:type="pct"/>
                  <w:shd w:val="clear" w:color="auto" w:fill="auto"/>
                  <w:vAlign w:val="center"/>
                </w:tcPr>
                <w:p w14:paraId="07CDF801">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0.409</w:t>
                  </w:r>
                </w:p>
              </w:tc>
              <w:tc>
                <w:tcPr>
                  <w:tcW w:w="377" w:type="pct"/>
                  <w:vMerge w:val="continue"/>
                  <w:vAlign w:val="center"/>
                </w:tcPr>
                <w:p w14:paraId="01FF8157">
                  <w:pPr>
                    <w:pStyle w:val="656"/>
                    <w:snapToGrid w:val="0"/>
                    <w:rPr>
                      <w:rFonts w:eastAsia="宋体"/>
                      <w:color w:val="auto"/>
                      <w:sz w:val="18"/>
                      <w:szCs w:val="18"/>
                    </w:rPr>
                  </w:pPr>
                </w:p>
              </w:tc>
              <w:tc>
                <w:tcPr>
                  <w:tcW w:w="224" w:type="pct"/>
                  <w:vMerge w:val="continue"/>
                  <w:shd w:val="clear" w:color="auto" w:fill="auto"/>
                  <w:vAlign w:val="center"/>
                </w:tcPr>
                <w:p w14:paraId="471FEED8">
                  <w:pPr>
                    <w:pStyle w:val="656"/>
                    <w:snapToGrid w:val="0"/>
                    <w:rPr>
                      <w:rFonts w:hint="eastAsia" w:eastAsia="宋体"/>
                      <w:color w:val="auto"/>
                      <w:sz w:val="18"/>
                      <w:szCs w:val="18"/>
                      <w:lang w:val="en-US" w:eastAsia="zh-CN"/>
                    </w:rPr>
                  </w:pPr>
                </w:p>
              </w:tc>
              <w:tc>
                <w:tcPr>
                  <w:tcW w:w="264" w:type="pct"/>
                  <w:vMerge w:val="continue"/>
                  <w:shd w:val="clear" w:color="auto" w:fill="auto"/>
                  <w:vAlign w:val="center"/>
                </w:tcPr>
                <w:p w14:paraId="1A8E95D8">
                  <w:pPr>
                    <w:pStyle w:val="656"/>
                    <w:snapToGrid w:val="0"/>
                    <w:rPr>
                      <w:rFonts w:hint="eastAsia" w:eastAsia="宋体"/>
                      <w:color w:val="auto"/>
                      <w:sz w:val="18"/>
                      <w:szCs w:val="18"/>
                      <w:lang w:val="en-US" w:eastAsia="zh-CN"/>
                    </w:rPr>
                  </w:pPr>
                </w:p>
              </w:tc>
              <w:tc>
                <w:tcPr>
                  <w:tcW w:w="360" w:type="pct"/>
                  <w:shd w:val="clear" w:color="auto" w:fill="auto"/>
                  <w:vAlign w:val="center"/>
                </w:tcPr>
                <w:p w14:paraId="21BECA62">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0.544</w:t>
                  </w:r>
                </w:p>
              </w:tc>
              <w:tc>
                <w:tcPr>
                  <w:tcW w:w="389" w:type="pct"/>
                  <w:shd w:val="clear" w:color="auto" w:fill="auto"/>
                  <w:vAlign w:val="center"/>
                </w:tcPr>
                <w:p w14:paraId="4D510B14">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0.0136</w:t>
                  </w:r>
                </w:p>
              </w:tc>
              <w:tc>
                <w:tcPr>
                  <w:tcW w:w="373" w:type="pct"/>
                  <w:shd w:val="clear" w:color="auto" w:fill="auto"/>
                  <w:vAlign w:val="center"/>
                </w:tcPr>
                <w:p w14:paraId="5DCE9B5E">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0.0409</w:t>
                  </w:r>
                </w:p>
              </w:tc>
              <w:tc>
                <w:tcPr>
                  <w:tcW w:w="317" w:type="pct"/>
                  <w:vMerge w:val="continue"/>
                  <w:vAlign w:val="center"/>
                </w:tcPr>
                <w:p w14:paraId="7A9C4E6A">
                  <w:pPr>
                    <w:pStyle w:val="656"/>
                    <w:snapToGrid w:val="0"/>
                    <w:rPr>
                      <w:rFonts w:hint="eastAsia" w:eastAsia="宋体" w:cs="Times New Roman"/>
                      <w:color w:val="auto"/>
                      <w:sz w:val="18"/>
                      <w:szCs w:val="18"/>
                      <w:lang w:val="en-US" w:eastAsia="zh-CN"/>
                    </w:rPr>
                  </w:pPr>
                </w:p>
              </w:tc>
            </w:tr>
            <w:tr w14:paraId="1523D9AF">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322" w:type="pct"/>
                  <w:vMerge w:val="continue"/>
                  <w:vAlign w:val="center"/>
                </w:tcPr>
                <w:p w14:paraId="0F95F41B">
                  <w:pPr>
                    <w:pStyle w:val="656"/>
                    <w:snapToGrid w:val="0"/>
                    <w:rPr>
                      <w:rFonts w:hint="eastAsia" w:eastAsia="宋体"/>
                      <w:color w:val="auto"/>
                      <w:sz w:val="18"/>
                      <w:szCs w:val="18"/>
                      <w:lang w:val="en-US" w:eastAsia="zh-CN"/>
                    </w:rPr>
                  </w:pPr>
                </w:p>
              </w:tc>
              <w:tc>
                <w:tcPr>
                  <w:tcW w:w="304" w:type="pct"/>
                  <w:vMerge w:val="continue"/>
                  <w:vAlign w:val="center"/>
                </w:tcPr>
                <w:p w14:paraId="5A394390">
                  <w:pPr>
                    <w:pStyle w:val="656"/>
                    <w:snapToGrid w:val="0"/>
                    <w:rPr>
                      <w:rFonts w:hint="eastAsia" w:eastAsia="宋体"/>
                      <w:color w:val="auto"/>
                      <w:sz w:val="18"/>
                      <w:szCs w:val="18"/>
                      <w:lang w:val="en-US" w:eastAsia="zh-CN"/>
                    </w:rPr>
                  </w:pPr>
                </w:p>
              </w:tc>
              <w:tc>
                <w:tcPr>
                  <w:tcW w:w="391" w:type="pct"/>
                  <w:vMerge w:val="continue"/>
                  <w:vAlign w:val="center"/>
                </w:tcPr>
                <w:p w14:paraId="6397DB01">
                  <w:pPr>
                    <w:pStyle w:val="656"/>
                    <w:snapToGrid w:val="0"/>
                    <w:rPr>
                      <w:rFonts w:hint="eastAsia" w:eastAsia="宋体"/>
                      <w:color w:val="auto"/>
                      <w:sz w:val="18"/>
                      <w:szCs w:val="18"/>
                      <w:lang w:val="en-US" w:eastAsia="zh-CN"/>
                    </w:rPr>
                  </w:pPr>
                </w:p>
              </w:tc>
              <w:tc>
                <w:tcPr>
                  <w:tcW w:w="429" w:type="pct"/>
                  <w:shd w:val="clear" w:color="auto" w:fill="auto"/>
                  <w:vAlign w:val="center"/>
                </w:tcPr>
                <w:p w14:paraId="2377034B">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乙苯</w:t>
                  </w:r>
                </w:p>
              </w:tc>
              <w:tc>
                <w:tcPr>
                  <w:tcW w:w="414" w:type="pct"/>
                  <w:shd w:val="clear" w:color="auto" w:fill="auto"/>
                  <w:vAlign w:val="center"/>
                </w:tcPr>
                <w:p w14:paraId="1A6967F4">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1.24</w:t>
                  </w:r>
                </w:p>
              </w:tc>
              <w:tc>
                <w:tcPr>
                  <w:tcW w:w="414" w:type="pct"/>
                  <w:shd w:val="clear" w:color="auto" w:fill="auto"/>
                  <w:vAlign w:val="center"/>
                </w:tcPr>
                <w:p w14:paraId="0B483066">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0.031</w:t>
                  </w:r>
                </w:p>
              </w:tc>
              <w:tc>
                <w:tcPr>
                  <w:tcW w:w="415" w:type="pct"/>
                  <w:shd w:val="clear" w:color="auto" w:fill="auto"/>
                  <w:vAlign w:val="center"/>
                </w:tcPr>
                <w:p w14:paraId="759867D1">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0.0917</w:t>
                  </w:r>
                </w:p>
              </w:tc>
              <w:tc>
                <w:tcPr>
                  <w:tcW w:w="377" w:type="pct"/>
                  <w:vMerge w:val="continue"/>
                  <w:vAlign w:val="center"/>
                </w:tcPr>
                <w:p w14:paraId="59FBF978">
                  <w:pPr>
                    <w:pStyle w:val="656"/>
                    <w:snapToGrid w:val="0"/>
                    <w:rPr>
                      <w:rFonts w:eastAsia="宋体"/>
                      <w:color w:val="auto"/>
                      <w:sz w:val="18"/>
                      <w:szCs w:val="18"/>
                    </w:rPr>
                  </w:pPr>
                </w:p>
              </w:tc>
              <w:tc>
                <w:tcPr>
                  <w:tcW w:w="224" w:type="pct"/>
                  <w:vMerge w:val="continue"/>
                  <w:shd w:val="clear" w:color="auto" w:fill="auto"/>
                  <w:vAlign w:val="center"/>
                </w:tcPr>
                <w:p w14:paraId="005FA62A">
                  <w:pPr>
                    <w:pStyle w:val="656"/>
                    <w:snapToGrid w:val="0"/>
                    <w:rPr>
                      <w:rFonts w:hint="eastAsia" w:eastAsia="宋体"/>
                      <w:color w:val="auto"/>
                      <w:sz w:val="18"/>
                      <w:szCs w:val="18"/>
                      <w:lang w:val="en-US" w:eastAsia="zh-CN"/>
                    </w:rPr>
                  </w:pPr>
                </w:p>
              </w:tc>
              <w:tc>
                <w:tcPr>
                  <w:tcW w:w="264" w:type="pct"/>
                  <w:vMerge w:val="continue"/>
                  <w:shd w:val="clear" w:color="auto" w:fill="auto"/>
                  <w:vAlign w:val="center"/>
                </w:tcPr>
                <w:p w14:paraId="56C9C562">
                  <w:pPr>
                    <w:pStyle w:val="656"/>
                    <w:snapToGrid w:val="0"/>
                    <w:rPr>
                      <w:rFonts w:hint="eastAsia" w:eastAsia="宋体"/>
                      <w:color w:val="auto"/>
                      <w:sz w:val="18"/>
                      <w:szCs w:val="18"/>
                      <w:lang w:val="en-US" w:eastAsia="zh-CN"/>
                    </w:rPr>
                  </w:pPr>
                </w:p>
              </w:tc>
              <w:tc>
                <w:tcPr>
                  <w:tcW w:w="360" w:type="pct"/>
                  <w:shd w:val="clear" w:color="auto" w:fill="auto"/>
                  <w:vAlign w:val="center"/>
                </w:tcPr>
                <w:p w14:paraId="2BFC9D4A">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0.124</w:t>
                  </w:r>
                </w:p>
              </w:tc>
              <w:tc>
                <w:tcPr>
                  <w:tcW w:w="389" w:type="pct"/>
                  <w:shd w:val="clear" w:color="auto" w:fill="auto"/>
                  <w:vAlign w:val="center"/>
                </w:tcPr>
                <w:p w14:paraId="3A74FCE3">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0.0031</w:t>
                  </w:r>
                </w:p>
              </w:tc>
              <w:tc>
                <w:tcPr>
                  <w:tcW w:w="373" w:type="pct"/>
                  <w:shd w:val="clear" w:color="auto" w:fill="auto"/>
                  <w:vAlign w:val="center"/>
                </w:tcPr>
                <w:p w14:paraId="0381F00B">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0.00917</w:t>
                  </w:r>
                </w:p>
              </w:tc>
              <w:tc>
                <w:tcPr>
                  <w:tcW w:w="317" w:type="pct"/>
                  <w:vMerge w:val="continue"/>
                  <w:vAlign w:val="center"/>
                </w:tcPr>
                <w:p w14:paraId="256ED2E2">
                  <w:pPr>
                    <w:pStyle w:val="656"/>
                    <w:snapToGrid w:val="0"/>
                    <w:rPr>
                      <w:rFonts w:hint="eastAsia" w:eastAsia="宋体" w:cs="Times New Roman"/>
                      <w:color w:val="auto"/>
                      <w:sz w:val="18"/>
                      <w:szCs w:val="18"/>
                      <w:lang w:val="en-US" w:eastAsia="zh-CN"/>
                    </w:rPr>
                  </w:pPr>
                </w:p>
              </w:tc>
            </w:tr>
            <w:tr w14:paraId="7C69418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322" w:type="pct"/>
                  <w:vMerge w:val="continue"/>
                  <w:vAlign w:val="center"/>
                </w:tcPr>
                <w:p w14:paraId="04A2E42E">
                  <w:pPr>
                    <w:pStyle w:val="656"/>
                    <w:snapToGrid w:val="0"/>
                    <w:rPr>
                      <w:rFonts w:hint="eastAsia" w:eastAsia="宋体"/>
                      <w:color w:val="auto"/>
                      <w:sz w:val="18"/>
                      <w:szCs w:val="18"/>
                      <w:lang w:val="en-US" w:eastAsia="zh-CN"/>
                    </w:rPr>
                  </w:pPr>
                </w:p>
              </w:tc>
              <w:tc>
                <w:tcPr>
                  <w:tcW w:w="304" w:type="pct"/>
                  <w:vMerge w:val="continue"/>
                  <w:vAlign w:val="center"/>
                </w:tcPr>
                <w:p w14:paraId="7059FF39">
                  <w:pPr>
                    <w:pStyle w:val="656"/>
                    <w:snapToGrid w:val="0"/>
                    <w:rPr>
                      <w:rFonts w:hint="eastAsia" w:eastAsia="宋体"/>
                      <w:color w:val="auto"/>
                      <w:sz w:val="18"/>
                      <w:szCs w:val="18"/>
                      <w:lang w:val="en-US" w:eastAsia="zh-CN"/>
                    </w:rPr>
                  </w:pPr>
                </w:p>
              </w:tc>
              <w:tc>
                <w:tcPr>
                  <w:tcW w:w="391" w:type="pct"/>
                  <w:vMerge w:val="continue"/>
                  <w:vAlign w:val="center"/>
                </w:tcPr>
                <w:p w14:paraId="09EF046C">
                  <w:pPr>
                    <w:pStyle w:val="656"/>
                    <w:snapToGrid w:val="0"/>
                    <w:rPr>
                      <w:rFonts w:hint="eastAsia" w:eastAsia="宋体"/>
                      <w:color w:val="auto"/>
                      <w:sz w:val="18"/>
                      <w:szCs w:val="18"/>
                      <w:lang w:val="en-US" w:eastAsia="zh-CN"/>
                    </w:rPr>
                  </w:pPr>
                </w:p>
              </w:tc>
              <w:tc>
                <w:tcPr>
                  <w:tcW w:w="429" w:type="pct"/>
                  <w:shd w:val="clear" w:color="auto" w:fill="auto"/>
                  <w:vAlign w:val="center"/>
                </w:tcPr>
                <w:p w14:paraId="5FB2D886">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三甲苯</w:t>
                  </w:r>
                </w:p>
              </w:tc>
              <w:tc>
                <w:tcPr>
                  <w:tcW w:w="414" w:type="pct"/>
                  <w:shd w:val="clear" w:color="auto" w:fill="auto"/>
                  <w:vAlign w:val="center"/>
                </w:tcPr>
                <w:p w14:paraId="6876B6C1">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1.32</w:t>
                  </w:r>
                </w:p>
              </w:tc>
              <w:tc>
                <w:tcPr>
                  <w:tcW w:w="414" w:type="pct"/>
                  <w:shd w:val="clear" w:color="auto" w:fill="auto"/>
                  <w:vAlign w:val="center"/>
                </w:tcPr>
                <w:p w14:paraId="332E92E8">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0.033</w:t>
                  </w:r>
                </w:p>
              </w:tc>
              <w:tc>
                <w:tcPr>
                  <w:tcW w:w="415" w:type="pct"/>
                  <w:shd w:val="clear" w:color="auto" w:fill="auto"/>
                  <w:vAlign w:val="center"/>
                </w:tcPr>
                <w:p w14:paraId="37FC687F">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0.0982</w:t>
                  </w:r>
                </w:p>
              </w:tc>
              <w:tc>
                <w:tcPr>
                  <w:tcW w:w="377" w:type="pct"/>
                  <w:vMerge w:val="continue"/>
                  <w:vAlign w:val="center"/>
                </w:tcPr>
                <w:p w14:paraId="0BE4A931">
                  <w:pPr>
                    <w:pStyle w:val="656"/>
                    <w:snapToGrid w:val="0"/>
                    <w:rPr>
                      <w:rFonts w:eastAsia="宋体"/>
                      <w:color w:val="auto"/>
                      <w:sz w:val="18"/>
                      <w:szCs w:val="18"/>
                    </w:rPr>
                  </w:pPr>
                </w:p>
              </w:tc>
              <w:tc>
                <w:tcPr>
                  <w:tcW w:w="224" w:type="pct"/>
                  <w:vMerge w:val="continue"/>
                  <w:shd w:val="clear" w:color="auto" w:fill="auto"/>
                  <w:vAlign w:val="center"/>
                </w:tcPr>
                <w:p w14:paraId="38C973DB">
                  <w:pPr>
                    <w:pStyle w:val="656"/>
                    <w:snapToGrid w:val="0"/>
                    <w:rPr>
                      <w:rFonts w:hint="eastAsia" w:eastAsia="宋体"/>
                      <w:color w:val="auto"/>
                      <w:sz w:val="18"/>
                      <w:szCs w:val="18"/>
                      <w:lang w:val="en-US" w:eastAsia="zh-CN"/>
                    </w:rPr>
                  </w:pPr>
                </w:p>
              </w:tc>
              <w:tc>
                <w:tcPr>
                  <w:tcW w:w="264" w:type="pct"/>
                  <w:vMerge w:val="continue"/>
                  <w:shd w:val="clear" w:color="auto" w:fill="auto"/>
                  <w:vAlign w:val="center"/>
                </w:tcPr>
                <w:p w14:paraId="6C079EA3">
                  <w:pPr>
                    <w:pStyle w:val="656"/>
                    <w:snapToGrid w:val="0"/>
                    <w:rPr>
                      <w:rFonts w:hint="eastAsia" w:eastAsia="宋体"/>
                      <w:color w:val="auto"/>
                      <w:sz w:val="18"/>
                      <w:szCs w:val="18"/>
                      <w:lang w:val="en-US" w:eastAsia="zh-CN"/>
                    </w:rPr>
                  </w:pPr>
                </w:p>
              </w:tc>
              <w:tc>
                <w:tcPr>
                  <w:tcW w:w="360" w:type="pct"/>
                  <w:shd w:val="clear" w:color="auto" w:fill="auto"/>
                  <w:vAlign w:val="center"/>
                </w:tcPr>
                <w:p w14:paraId="486B9E52">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0.132</w:t>
                  </w:r>
                </w:p>
              </w:tc>
              <w:tc>
                <w:tcPr>
                  <w:tcW w:w="389" w:type="pct"/>
                  <w:shd w:val="clear" w:color="auto" w:fill="auto"/>
                  <w:vAlign w:val="center"/>
                </w:tcPr>
                <w:p w14:paraId="306B81D5">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0.0033</w:t>
                  </w:r>
                </w:p>
              </w:tc>
              <w:tc>
                <w:tcPr>
                  <w:tcW w:w="373" w:type="pct"/>
                  <w:shd w:val="clear" w:color="auto" w:fill="auto"/>
                  <w:vAlign w:val="center"/>
                </w:tcPr>
                <w:p w14:paraId="6ED6A228">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0.00982</w:t>
                  </w:r>
                </w:p>
              </w:tc>
              <w:tc>
                <w:tcPr>
                  <w:tcW w:w="317" w:type="pct"/>
                  <w:vMerge w:val="continue"/>
                  <w:vAlign w:val="center"/>
                </w:tcPr>
                <w:p w14:paraId="4165C831">
                  <w:pPr>
                    <w:pStyle w:val="656"/>
                    <w:snapToGrid w:val="0"/>
                    <w:rPr>
                      <w:rFonts w:hint="eastAsia" w:eastAsia="宋体" w:cs="Times New Roman"/>
                      <w:color w:val="auto"/>
                      <w:sz w:val="18"/>
                      <w:szCs w:val="18"/>
                      <w:lang w:val="en-US" w:eastAsia="zh-CN"/>
                    </w:rPr>
                  </w:pPr>
                </w:p>
              </w:tc>
            </w:tr>
            <w:tr w14:paraId="21D0AFB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322" w:type="pct"/>
                  <w:vMerge w:val="continue"/>
                  <w:vAlign w:val="center"/>
                </w:tcPr>
                <w:p w14:paraId="03341758">
                  <w:pPr>
                    <w:pStyle w:val="656"/>
                    <w:snapToGrid w:val="0"/>
                    <w:rPr>
                      <w:rFonts w:hint="eastAsia" w:eastAsia="宋体"/>
                      <w:color w:val="auto"/>
                      <w:sz w:val="18"/>
                      <w:szCs w:val="18"/>
                      <w:lang w:val="en-US" w:eastAsia="zh-CN"/>
                    </w:rPr>
                  </w:pPr>
                </w:p>
              </w:tc>
              <w:tc>
                <w:tcPr>
                  <w:tcW w:w="304" w:type="pct"/>
                  <w:vMerge w:val="continue"/>
                  <w:vAlign w:val="center"/>
                </w:tcPr>
                <w:p w14:paraId="53E13FB0">
                  <w:pPr>
                    <w:pStyle w:val="656"/>
                    <w:snapToGrid w:val="0"/>
                    <w:rPr>
                      <w:rFonts w:hint="eastAsia" w:eastAsia="宋体"/>
                      <w:color w:val="auto"/>
                      <w:sz w:val="18"/>
                      <w:szCs w:val="18"/>
                      <w:lang w:val="en-US" w:eastAsia="zh-CN"/>
                    </w:rPr>
                  </w:pPr>
                </w:p>
              </w:tc>
              <w:tc>
                <w:tcPr>
                  <w:tcW w:w="391" w:type="pct"/>
                  <w:vAlign w:val="center"/>
                </w:tcPr>
                <w:p w14:paraId="69AD71D2">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喷枪清洗</w:t>
                  </w:r>
                </w:p>
              </w:tc>
              <w:tc>
                <w:tcPr>
                  <w:tcW w:w="429" w:type="pct"/>
                  <w:shd w:val="clear" w:color="auto" w:fill="auto"/>
                  <w:vAlign w:val="center"/>
                </w:tcPr>
                <w:p w14:paraId="0C87A698">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非甲烷总烃</w:t>
                  </w:r>
                </w:p>
              </w:tc>
              <w:tc>
                <w:tcPr>
                  <w:tcW w:w="414" w:type="pct"/>
                  <w:shd w:val="clear" w:color="auto" w:fill="auto"/>
                  <w:vAlign w:val="center"/>
                </w:tcPr>
                <w:p w14:paraId="61BD236E">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0.132</w:t>
                  </w:r>
                </w:p>
              </w:tc>
              <w:tc>
                <w:tcPr>
                  <w:tcW w:w="414" w:type="pct"/>
                  <w:shd w:val="clear" w:color="auto" w:fill="auto"/>
                  <w:vAlign w:val="center"/>
                </w:tcPr>
                <w:p w14:paraId="25FE18FD">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0.0033</w:t>
                  </w:r>
                </w:p>
              </w:tc>
              <w:tc>
                <w:tcPr>
                  <w:tcW w:w="415" w:type="pct"/>
                  <w:shd w:val="clear" w:color="auto" w:fill="auto"/>
                  <w:vAlign w:val="center"/>
                </w:tcPr>
                <w:p w14:paraId="123D5DC7">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0.0098</w:t>
                  </w:r>
                </w:p>
              </w:tc>
              <w:tc>
                <w:tcPr>
                  <w:tcW w:w="377" w:type="pct"/>
                  <w:vMerge w:val="continue"/>
                  <w:vAlign w:val="center"/>
                </w:tcPr>
                <w:p w14:paraId="39C603A4">
                  <w:pPr>
                    <w:pStyle w:val="656"/>
                    <w:snapToGrid w:val="0"/>
                    <w:rPr>
                      <w:rFonts w:eastAsia="宋体"/>
                      <w:color w:val="auto"/>
                      <w:sz w:val="18"/>
                      <w:szCs w:val="18"/>
                    </w:rPr>
                  </w:pPr>
                </w:p>
              </w:tc>
              <w:tc>
                <w:tcPr>
                  <w:tcW w:w="224" w:type="pct"/>
                  <w:vMerge w:val="continue"/>
                  <w:shd w:val="clear" w:color="auto" w:fill="auto"/>
                  <w:vAlign w:val="center"/>
                </w:tcPr>
                <w:p w14:paraId="23D7DE53">
                  <w:pPr>
                    <w:pStyle w:val="656"/>
                    <w:snapToGrid w:val="0"/>
                    <w:rPr>
                      <w:rFonts w:hint="eastAsia" w:eastAsia="宋体"/>
                      <w:color w:val="auto"/>
                      <w:sz w:val="18"/>
                      <w:szCs w:val="18"/>
                      <w:lang w:val="en-US" w:eastAsia="zh-CN"/>
                    </w:rPr>
                  </w:pPr>
                </w:p>
              </w:tc>
              <w:tc>
                <w:tcPr>
                  <w:tcW w:w="264" w:type="pct"/>
                  <w:vMerge w:val="continue"/>
                  <w:shd w:val="clear" w:color="auto" w:fill="auto"/>
                  <w:vAlign w:val="center"/>
                </w:tcPr>
                <w:p w14:paraId="1C42A71E">
                  <w:pPr>
                    <w:pStyle w:val="656"/>
                    <w:snapToGrid w:val="0"/>
                    <w:rPr>
                      <w:rFonts w:hint="eastAsia" w:eastAsia="宋体"/>
                      <w:color w:val="auto"/>
                      <w:sz w:val="18"/>
                      <w:szCs w:val="18"/>
                      <w:lang w:val="en-US" w:eastAsia="zh-CN"/>
                    </w:rPr>
                  </w:pPr>
                </w:p>
              </w:tc>
              <w:tc>
                <w:tcPr>
                  <w:tcW w:w="360" w:type="pct"/>
                  <w:shd w:val="clear" w:color="auto" w:fill="auto"/>
                  <w:vAlign w:val="center"/>
                </w:tcPr>
                <w:p w14:paraId="44A9C8B9">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0.0132</w:t>
                  </w:r>
                </w:p>
              </w:tc>
              <w:tc>
                <w:tcPr>
                  <w:tcW w:w="389" w:type="pct"/>
                  <w:shd w:val="clear" w:color="auto" w:fill="auto"/>
                  <w:vAlign w:val="center"/>
                </w:tcPr>
                <w:p w14:paraId="73810CEA">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0.00033</w:t>
                  </w:r>
                </w:p>
              </w:tc>
              <w:tc>
                <w:tcPr>
                  <w:tcW w:w="373" w:type="pct"/>
                  <w:shd w:val="clear" w:color="auto" w:fill="auto"/>
                  <w:vAlign w:val="center"/>
                </w:tcPr>
                <w:p w14:paraId="4F739C01">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0.00098</w:t>
                  </w:r>
                </w:p>
              </w:tc>
              <w:tc>
                <w:tcPr>
                  <w:tcW w:w="317" w:type="pct"/>
                  <w:vMerge w:val="continue"/>
                  <w:vAlign w:val="center"/>
                </w:tcPr>
                <w:p w14:paraId="72466ACD">
                  <w:pPr>
                    <w:pStyle w:val="656"/>
                    <w:snapToGrid w:val="0"/>
                    <w:rPr>
                      <w:rFonts w:hint="eastAsia" w:eastAsia="宋体" w:cs="Times New Roman"/>
                      <w:color w:val="auto"/>
                      <w:sz w:val="18"/>
                      <w:szCs w:val="18"/>
                      <w:lang w:val="en-US" w:eastAsia="zh-CN"/>
                    </w:rPr>
                  </w:pPr>
                </w:p>
              </w:tc>
            </w:tr>
            <w:tr w14:paraId="565C0D7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5000" w:type="pct"/>
                  <w:gridSpan w:val="14"/>
                  <w:vAlign w:val="center"/>
                </w:tcPr>
                <w:p w14:paraId="54718EEB">
                  <w:pPr>
                    <w:pStyle w:val="656"/>
                    <w:snapToGrid w:val="0"/>
                    <w:jc w:val="left"/>
                    <w:rPr>
                      <w:rFonts w:hint="default" w:eastAsia="宋体" w:cs="Times New Roman"/>
                      <w:color w:val="auto"/>
                      <w:sz w:val="18"/>
                      <w:szCs w:val="18"/>
                      <w:lang w:val="en-US" w:eastAsia="zh-CN"/>
                    </w:rPr>
                  </w:pPr>
                  <w:r>
                    <w:rPr>
                      <w:rFonts w:hint="eastAsia" w:eastAsia="宋体" w:cs="Times New Roman"/>
                      <w:color w:val="auto"/>
                      <w:sz w:val="18"/>
                      <w:szCs w:val="18"/>
                      <w:lang w:val="en-US" w:eastAsia="zh-CN"/>
                    </w:rPr>
                    <w:t>注：非甲烷总烃中包含苯系物（其中包括二甲苯、乙苯、三甲苯）。</w:t>
                  </w:r>
                </w:p>
              </w:tc>
            </w:tr>
          </w:tbl>
          <w:p w14:paraId="217C95C4">
            <w:pPr>
              <w:jc w:val="center"/>
              <w:rPr>
                <w:b/>
                <w:color w:val="auto"/>
                <w:lang w:bidi="ar"/>
              </w:rPr>
            </w:pPr>
            <w:r>
              <w:rPr>
                <w:b/>
                <w:color w:val="auto"/>
                <w:lang w:bidi="ar"/>
              </w:rPr>
              <w:t>表</w:t>
            </w:r>
            <w:r>
              <w:rPr>
                <w:rFonts w:hint="eastAsia"/>
                <w:b/>
                <w:color w:val="auto"/>
                <w:lang w:bidi="ar"/>
              </w:rPr>
              <w:t>4</w:t>
            </w:r>
            <w:r>
              <w:rPr>
                <w:b/>
                <w:color w:val="auto"/>
                <w:lang w:bidi="ar"/>
              </w:rPr>
              <w:t>-</w:t>
            </w:r>
            <w:r>
              <w:rPr>
                <w:rFonts w:hint="eastAsia"/>
                <w:b/>
                <w:color w:val="auto"/>
                <w:lang w:bidi="ar"/>
              </w:rPr>
              <w:t>2   本项目无组织废气产生及排放情况</w:t>
            </w:r>
          </w:p>
          <w:tbl>
            <w:tblPr>
              <w:tblStyle w:val="59"/>
              <w:tblW w:w="5000"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909"/>
              <w:gridCol w:w="1268"/>
              <w:gridCol w:w="1427"/>
              <w:gridCol w:w="1360"/>
              <w:gridCol w:w="1208"/>
              <w:gridCol w:w="1853"/>
              <w:gridCol w:w="1853"/>
              <w:gridCol w:w="1229"/>
              <w:gridCol w:w="1195"/>
              <w:gridCol w:w="975"/>
            </w:tblGrid>
            <w:tr w14:paraId="1BE30C2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342" w:type="pct"/>
                  <w:vMerge w:val="restart"/>
                  <w:vAlign w:val="center"/>
                </w:tcPr>
                <w:p w14:paraId="446C15B3">
                  <w:pPr>
                    <w:pStyle w:val="656"/>
                    <w:snapToGrid w:val="0"/>
                    <w:rPr>
                      <w:rFonts w:eastAsia="宋体"/>
                      <w:b/>
                      <w:bCs/>
                      <w:color w:val="auto"/>
                      <w:sz w:val="18"/>
                      <w:szCs w:val="18"/>
                    </w:rPr>
                  </w:pPr>
                  <w:r>
                    <w:rPr>
                      <w:rFonts w:eastAsia="宋体"/>
                      <w:b/>
                      <w:bCs/>
                      <w:color w:val="auto"/>
                      <w:sz w:val="18"/>
                      <w:szCs w:val="18"/>
                    </w:rPr>
                    <w:t>污染源</w:t>
                  </w:r>
                </w:p>
              </w:tc>
              <w:tc>
                <w:tcPr>
                  <w:tcW w:w="477" w:type="pct"/>
                  <w:vMerge w:val="restart"/>
                  <w:vAlign w:val="center"/>
                </w:tcPr>
                <w:p w14:paraId="1B5120B5">
                  <w:pPr>
                    <w:pStyle w:val="656"/>
                    <w:snapToGrid w:val="0"/>
                    <w:rPr>
                      <w:rFonts w:eastAsia="宋体"/>
                      <w:b/>
                      <w:bCs/>
                      <w:color w:val="auto"/>
                      <w:sz w:val="18"/>
                      <w:szCs w:val="18"/>
                    </w:rPr>
                  </w:pPr>
                  <w:r>
                    <w:rPr>
                      <w:rFonts w:hint="eastAsia" w:eastAsia="宋体"/>
                      <w:b/>
                      <w:bCs/>
                      <w:color w:val="auto"/>
                      <w:sz w:val="18"/>
                      <w:szCs w:val="18"/>
                    </w:rPr>
                    <w:t>产污</w:t>
                  </w:r>
                </w:p>
                <w:p w14:paraId="7EAE529E">
                  <w:pPr>
                    <w:pStyle w:val="656"/>
                    <w:snapToGrid w:val="0"/>
                    <w:rPr>
                      <w:rFonts w:eastAsia="宋体"/>
                      <w:b/>
                      <w:bCs/>
                      <w:color w:val="auto"/>
                      <w:sz w:val="18"/>
                      <w:szCs w:val="18"/>
                    </w:rPr>
                  </w:pPr>
                  <w:r>
                    <w:rPr>
                      <w:rFonts w:hint="eastAsia" w:eastAsia="宋体"/>
                      <w:b/>
                      <w:bCs/>
                      <w:color w:val="auto"/>
                      <w:sz w:val="18"/>
                      <w:szCs w:val="18"/>
                    </w:rPr>
                    <w:t>环节</w:t>
                  </w:r>
                </w:p>
              </w:tc>
              <w:tc>
                <w:tcPr>
                  <w:tcW w:w="537" w:type="pct"/>
                  <w:vMerge w:val="restart"/>
                  <w:vAlign w:val="center"/>
                </w:tcPr>
                <w:p w14:paraId="2AE56A38">
                  <w:pPr>
                    <w:pStyle w:val="656"/>
                    <w:snapToGrid w:val="0"/>
                    <w:rPr>
                      <w:rFonts w:eastAsia="宋体"/>
                      <w:b/>
                      <w:bCs/>
                      <w:color w:val="auto"/>
                      <w:sz w:val="18"/>
                      <w:szCs w:val="18"/>
                    </w:rPr>
                  </w:pPr>
                  <w:r>
                    <w:rPr>
                      <w:rFonts w:eastAsia="宋体"/>
                      <w:b/>
                      <w:bCs/>
                      <w:color w:val="auto"/>
                      <w:sz w:val="18"/>
                      <w:szCs w:val="18"/>
                    </w:rPr>
                    <w:t>污染物</w:t>
                  </w:r>
                </w:p>
              </w:tc>
              <w:tc>
                <w:tcPr>
                  <w:tcW w:w="967" w:type="pct"/>
                  <w:gridSpan w:val="2"/>
                  <w:vAlign w:val="center"/>
                </w:tcPr>
                <w:p w14:paraId="65EC48E0">
                  <w:pPr>
                    <w:pStyle w:val="656"/>
                    <w:snapToGrid w:val="0"/>
                    <w:rPr>
                      <w:rFonts w:eastAsia="宋体"/>
                      <w:b/>
                      <w:bCs/>
                      <w:color w:val="auto"/>
                      <w:sz w:val="18"/>
                      <w:szCs w:val="18"/>
                    </w:rPr>
                  </w:pPr>
                  <w:r>
                    <w:rPr>
                      <w:rFonts w:eastAsia="宋体"/>
                      <w:b/>
                      <w:bCs/>
                      <w:color w:val="auto"/>
                      <w:sz w:val="18"/>
                      <w:szCs w:val="18"/>
                    </w:rPr>
                    <w:t>污染物产生</w:t>
                  </w:r>
                  <w:r>
                    <w:rPr>
                      <w:rFonts w:hint="eastAsia" w:eastAsia="宋体"/>
                      <w:b/>
                      <w:bCs/>
                      <w:color w:val="auto"/>
                      <w:sz w:val="18"/>
                      <w:szCs w:val="18"/>
                    </w:rPr>
                    <w:t>情况</w:t>
                  </w:r>
                </w:p>
              </w:tc>
              <w:tc>
                <w:tcPr>
                  <w:tcW w:w="1395" w:type="pct"/>
                  <w:gridSpan w:val="2"/>
                  <w:vAlign w:val="center"/>
                </w:tcPr>
                <w:p w14:paraId="3CFD570B">
                  <w:pPr>
                    <w:pStyle w:val="656"/>
                    <w:snapToGrid w:val="0"/>
                    <w:rPr>
                      <w:rFonts w:eastAsia="宋体"/>
                      <w:b/>
                      <w:bCs/>
                      <w:color w:val="auto"/>
                      <w:sz w:val="18"/>
                      <w:szCs w:val="18"/>
                    </w:rPr>
                  </w:pPr>
                  <w:r>
                    <w:rPr>
                      <w:rFonts w:eastAsia="宋体"/>
                      <w:b/>
                      <w:bCs/>
                      <w:color w:val="auto"/>
                      <w:sz w:val="18"/>
                      <w:szCs w:val="18"/>
                    </w:rPr>
                    <w:t>治理设施</w:t>
                  </w:r>
                </w:p>
              </w:tc>
              <w:tc>
                <w:tcPr>
                  <w:tcW w:w="1280" w:type="pct"/>
                  <w:gridSpan w:val="3"/>
                  <w:vAlign w:val="center"/>
                </w:tcPr>
                <w:p w14:paraId="7BCBA5EA">
                  <w:pPr>
                    <w:pStyle w:val="656"/>
                    <w:snapToGrid w:val="0"/>
                    <w:rPr>
                      <w:rFonts w:eastAsia="宋体"/>
                      <w:b/>
                      <w:bCs/>
                      <w:color w:val="auto"/>
                      <w:sz w:val="18"/>
                      <w:szCs w:val="18"/>
                    </w:rPr>
                  </w:pPr>
                  <w:r>
                    <w:rPr>
                      <w:rFonts w:eastAsia="宋体"/>
                      <w:b/>
                      <w:bCs/>
                      <w:color w:val="auto"/>
                      <w:sz w:val="18"/>
                      <w:szCs w:val="18"/>
                    </w:rPr>
                    <w:t>污染物排放</w:t>
                  </w:r>
                  <w:r>
                    <w:rPr>
                      <w:rFonts w:hint="eastAsia" w:eastAsia="宋体"/>
                      <w:b/>
                      <w:bCs/>
                      <w:color w:val="auto"/>
                      <w:sz w:val="18"/>
                      <w:szCs w:val="18"/>
                    </w:rPr>
                    <w:t>情况</w:t>
                  </w:r>
                </w:p>
              </w:tc>
            </w:tr>
            <w:tr w14:paraId="364D357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342" w:type="pct"/>
                  <w:vMerge w:val="continue"/>
                  <w:vAlign w:val="center"/>
                </w:tcPr>
                <w:p w14:paraId="22647594">
                  <w:pPr>
                    <w:pStyle w:val="656"/>
                    <w:snapToGrid w:val="0"/>
                    <w:rPr>
                      <w:rFonts w:eastAsia="宋体"/>
                      <w:b/>
                      <w:bCs/>
                      <w:color w:val="auto"/>
                      <w:sz w:val="18"/>
                      <w:szCs w:val="18"/>
                    </w:rPr>
                  </w:pPr>
                </w:p>
              </w:tc>
              <w:tc>
                <w:tcPr>
                  <w:tcW w:w="477" w:type="pct"/>
                  <w:vMerge w:val="continue"/>
                  <w:vAlign w:val="center"/>
                </w:tcPr>
                <w:p w14:paraId="1B62C194">
                  <w:pPr>
                    <w:pStyle w:val="656"/>
                    <w:snapToGrid w:val="0"/>
                    <w:rPr>
                      <w:rFonts w:eastAsia="宋体"/>
                      <w:b/>
                      <w:bCs/>
                      <w:color w:val="auto"/>
                      <w:sz w:val="18"/>
                      <w:szCs w:val="18"/>
                    </w:rPr>
                  </w:pPr>
                </w:p>
              </w:tc>
              <w:tc>
                <w:tcPr>
                  <w:tcW w:w="537" w:type="pct"/>
                  <w:vMerge w:val="continue"/>
                  <w:vAlign w:val="center"/>
                </w:tcPr>
                <w:p w14:paraId="1F327B8E">
                  <w:pPr>
                    <w:pStyle w:val="656"/>
                    <w:snapToGrid w:val="0"/>
                    <w:rPr>
                      <w:rFonts w:eastAsia="宋体"/>
                      <w:b/>
                      <w:bCs/>
                      <w:color w:val="auto"/>
                      <w:sz w:val="18"/>
                      <w:szCs w:val="18"/>
                    </w:rPr>
                  </w:pPr>
                </w:p>
              </w:tc>
              <w:tc>
                <w:tcPr>
                  <w:tcW w:w="512" w:type="pct"/>
                  <w:vAlign w:val="center"/>
                </w:tcPr>
                <w:p w14:paraId="034FC660">
                  <w:pPr>
                    <w:pStyle w:val="656"/>
                    <w:snapToGrid w:val="0"/>
                    <w:rPr>
                      <w:rFonts w:eastAsia="宋体"/>
                      <w:b/>
                      <w:bCs/>
                      <w:color w:val="auto"/>
                      <w:sz w:val="18"/>
                      <w:szCs w:val="18"/>
                    </w:rPr>
                  </w:pPr>
                  <w:r>
                    <w:rPr>
                      <w:rFonts w:eastAsia="宋体"/>
                      <w:b/>
                      <w:bCs/>
                      <w:color w:val="auto"/>
                      <w:sz w:val="18"/>
                      <w:szCs w:val="18"/>
                    </w:rPr>
                    <w:t>产生</w:t>
                  </w:r>
                  <w:r>
                    <w:rPr>
                      <w:rFonts w:hint="eastAsia" w:eastAsia="宋体"/>
                      <w:b/>
                      <w:bCs/>
                      <w:color w:val="auto"/>
                      <w:sz w:val="18"/>
                      <w:szCs w:val="18"/>
                    </w:rPr>
                    <w:t>速率kg</w:t>
                  </w:r>
                  <w:r>
                    <w:rPr>
                      <w:rFonts w:eastAsia="宋体"/>
                      <w:b/>
                      <w:bCs/>
                      <w:color w:val="auto"/>
                      <w:sz w:val="18"/>
                      <w:szCs w:val="18"/>
                    </w:rPr>
                    <w:t>/h</w:t>
                  </w:r>
                </w:p>
              </w:tc>
              <w:tc>
                <w:tcPr>
                  <w:tcW w:w="454" w:type="pct"/>
                  <w:vAlign w:val="center"/>
                </w:tcPr>
                <w:p w14:paraId="7F7572EF">
                  <w:pPr>
                    <w:pStyle w:val="656"/>
                    <w:snapToGrid w:val="0"/>
                    <w:rPr>
                      <w:rFonts w:eastAsia="宋体"/>
                      <w:b/>
                      <w:bCs/>
                      <w:color w:val="auto"/>
                      <w:sz w:val="18"/>
                      <w:szCs w:val="18"/>
                    </w:rPr>
                  </w:pPr>
                  <w:r>
                    <w:rPr>
                      <w:rFonts w:eastAsia="宋体"/>
                      <w:b/>
                      <w:bCs/>
                      <w:color w:val="auto"/>
                      <w:sz w:val="18"/>
                      <w:szCs w:val="18"/>
                    </w:rPr>
                    <w:t>产生量</w:t>
                  </w:r>
                  <w:r>
                    <w:rPr>
                      <w:rFonts w:hint="eastAsia" w:eastAsia="宋体"/>
                      <w:b/>
                      <w:bCs/>
                      <w:color w:val="auto"/>
                      <w:sz w:val="18"/>
                      <w:szCs w:val="18"/>
                    </w:rPr>
                    <w:t>t</w:t>
                  </w:r>
                  <w:r>
                    <w:rPr>
                      <w:rFonts w:eastAsia="宋体"/>
                      <w:b/>
                      <w:bCs/>
                      <w:color w:val="auto"/>
                      <w:sz w:val="18"/>
                      <w:szCs w:val="18"/>
                    </w:rPr>
                    <w:t>/a</w:t>
                  </w:r>
                </w:p>
              </w:tc>
              <w:tc>
                <w:tcPr>
                  <w:tcW w:w="697" w:type="pct"/>
                  <w:vAlign w:val="center"/>
                </w:tcPr>
                <w:p w14:paraId="232EFE4E">
                  <w:pPr>
                    <w:pStyle w:val="656"/>
                    <w:snapToGrid w:val="0"/>
                    <w:rPr>
                      <w:rFonts w:eastAsia="宋体"/>
                      <w:b/>
                      <w:bCs/>
                      <w:color w:val="auto"/>
                      <w:sz w:val="18"/>
                      <w:szCs w:val="18"/>
                    </w:rPr>
                  </w:pPr>
                  <w:r>
                    <w:rPr>
                      <w:rFonts w:eastAsia="宋体"/>
                      <w:b/>
                      <w:bCs/>
                      <w:color w:val="auto"/>
                      <w:sz w:val="18"/>
                      <w:szCs w:val="18"/>
                    </w:rPr>
                    <w:t>治理工艺</w:t>
                  </w:r>
                </w:p>
              </w:tc>
              <w:tc>
                <w:tcPr>
                  <w:tcW w:w="697" w:type="pct"/>
                  <w:vAlign w:val="center"/>
                </w:tcPr>
                <w:p w14:paraId="3F67453C">
                  <w:pPr>
                    <w:pStyle w:val="656"/>
                    <w:snapToGrid w:val="0"/>
                    <w:rPr>
                      <w:rFonts w:eastAsia="宋体"/>
                      <w:b/>
                      <w:bCs/>
                      <w:color w:val="auto"/>
                      <w:sz w:val="18"/>
                      <w:szCs w:val="18"/>
                    </w:rPr>
                  </w:pPr>
                  <w:r>
                    <w:rPr>
                      <w:rFonts w:hint="eastAsia" w:eastAsia="宋体"/>
                      <w:b/>
                      <w:bCs/>
                      <w:color w:val="auto"/>
                      <w:sz w:val="18"/>
                      <w:szCs w:val="18"/>
                      <w:lang w:val="en-US" w:eastAsia="zh-CN"/>
                    </w:rPr>
                    <w:t>综合收集治理</w:t>
                  </w:r>
                  <w:r>
                    <w:rPr>
                      <w:rFonts w:eastAsia="宋体"/>
                      <w:b/>
                      <w:bCs/>
                      <w:color w:val="auto"/>
                      <w:sz w:val="18"/>
                      <w:szCs w:val="18"/>
                    </w:rPr>
                    <w:t>效率%</w:t>
                  </w:r>
                </w:p>
              </w:tc>
              <w:tc>
                <w:tcPr>
                  <w:tcW w:w="462" w:type="pct"/>
                  <w:vAlign w:val="center"/>
                </w:tcPr>
                <w:p w14:paraId="72D0AF6E">
                  <w:pPr>
                    <w:pStyle w:val="656"/>
                    <w:snapToGrid w:val="0"/>
                    <w:rPr>
                      <w:rFonts w:eastAsia="宋体"/>
                      <w:b/>
                      <w:bCs/>
                      <w:color w:val="auto"/>
                      <w:sz w:val="18"/>
                      <w:szCs w:val="18"/>
                    </w:rPr>
                  </w:pPr>
                  <w:r>
                    <w:rPr>
                      <w:rFonts w:eastAsia="宋体"/>
                      <w:b/>
                      <w:bCs/>
                      <w:color w:val="auto"/>
                      <w:sz w:val="18"/>
                      <w:szCs w:val="18"/>
                    </w:rPr>
                    <w:t>排放</w:t>
                  </w:r>
                  <w:r>
                    <w:rPr>
                      <w:rFonts w:hint="eastAsia" w:eastAsia="宋体"/>
                      <w:b/>
                      <w:bCs/>
                      <w:color w:val="auto"/>
                      <w:sz w:val="18"/>
                      <w:szCs w:val="18"/>
                    </w:rPr>
                    <w:t>速率kg</w:t>
                  </w:r>
                  <w:r>
                    <w:rPr>
                      <w:rFonts w:eastAsia="宋体"/>
                      <w:b/>
                      <w:bCs/>
                      <w:color w:val="auto"/>
                      <w:sz w:val="18"/>
                      <w:szCs w:val="18"/>
                    </w:rPr>
                    <w:t>/h</w:t>
                  </w:r>
                </w:p>
              </w:tc>
              <w:tc>
                <w:tcPr>
                  <w:tcW w:w="450" w:type="pct"/>
                  <w:vAlign w:val="center"/>
                </w:tcPr>
                <w:p w14:paraId="6E4147A9">
                  <w:pPr>
                    <w:pStyle w:val="656"/>
                    <w:snapToGrid w:val="0"/>
                    <w:rPr>
                      <w:rFonts w:eastAsia="宋体"/>
                      <w:b/>
                      <w:bCs/>
                      <w:color w:val="auto"/>
                      <w:sz w:val="18"/>
                      <w:szCs w:val="18"/>
                    </w:rPr>
                  </w:pPr>
                  <w:r>
                    <w:rPr>
                      <w:rFonts w:eastAsia="宋体"/>
                      <w:b/>
                      <w:bCs/>
                      <w:color w:val="auto"/>
                      <w:sz w:val="18"/>
                      <w:szCs w:val="18"/>
                    </w:rPr>
                    <w:t>排放量</w:t>
                  </w:r>
                  <w:r>
                    <w:rPr>
                      <w:rFonts w:hint="eastAsia" w:eastAsia="宋体"/>
                      <w:b/>
                      <w:bCs/>
                      <w:color w:val="auto"/>
                      <w:sz w:val="18"/>
                      <w:szCs w:val="18"/>
                    </w:rPr>
                    <w:t>t</w:t>
                  </w:r>
                  <w:r>
                    <w:rPr>
                      <w:rFonts w:eastAsia="宋体"/>
                      <w:b/>
                      <w:bCs/>
                      <w:color w:val="auto"/>
                      <w:sz w:val="18"/>
                      <w:szCs w:val="18"/>
                    </w:rPr>
                    <w:t>/a</w:t>
                  </w:r>
                </w:p>
              </w:tc>
              <w:tc>
                <w:tcPr>
                  <w:tcW w:w="367" w:type="pct"/>
                  <w:vAlign w:val="center"/>
                </w:tcPr>
                <w:p w14:paraId="5F70572A">
                  <w:pPr>
                    <w:pStyle w:val="656"/>
                    <w:snapToGrid w:val="0"/>
                    <w:rPr>
                      <w:rFonts w:eastAsia="宋体"/>
                      <w:b/>
                      <w:bCs/>
                      <w:color w:val="auto"/>
                      <w:sz w:val="18"/>
                      <w:szCs w:val="18"/>
                    </w:rPr>
                  </w:pPr>
                  <w:r>
                    <w:rPr>
                      <w:rFonts w:hint="eastAsia" w:eastAsia="宋体"/>
                      <w:b/>
                      <w:bCs/>
                      <w:color w:val="auto"/>
                      <w:sz w:val="18"/>
                      <w:szCs w:val="18"/>
                    </w:rPr>
                    <w:t>排放时间h/a</w:t>
                  </w:r>
                </w:p>
              </w:tc>
            </w:tr>
            <w:tr w14:paraId="7B3C4F6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342" w:type="pct"/>
                  <w:vMerge w:val="restart"/>
                  <w:vAlign w:val="center"/>
                </w:tcPr>
                <w:p w14:paraId="3684FC0E">
                  <w:pPr>
                    <w:pStyle w:val="656"/>
                    <w:snapToGrid w:val="0"/>
                    <w:rPr>
                      <w:rFonts w:hint="eastAsia" w:eastAsia="宋体"/>
                      <w:color w:val="auto"/>
                      <w:sz w:val="18"/>
                      <w:szCs w:val="18"/>
                      <w:lang w:val="en-US" w:eastAsia="zh-CN"/>
                    </w:rPr>
                  </w:pPr>
                  <w:r>
                    <w:rPr>
                      <w:rFonts w:hint="eastAsia" w:eastAsia="宋体"/>
                      <w:color w:val="auto"/>
                      <w:sz w:val="18"/>
                      <w:szCs w:val="18"/>
                      <w:lang w:val="en-US" w:eastAsia="zh-CN"/>
                    </w:rPr>
                    <w:t>生产</w:t>
                  </w:r>
                </w:p>
                <w:p w14:paraId="4F1541EE">
                  <w:pPr>
                    <w:pStyle w:val="656"/>
                    <w:snapToGrid w:val="0"/>
                    <w:rPr>
                      <w:rFonts w:hint="eastAsia" w:eastAsia="宋体"/>
                      <w:color w:val="auto"/>
                      <w:sz w:val="18"/>
                      <w:szCs w:val="18"/>
                      <w:lang w:eastAsia="zh-CN"/>
                    </w:rPr>
                  </w:pPr>
                  <w:r>
                    <w:rPr>
                      <w:rFonts w:hint="eastAsia" w:eastAsia="宋体"/>
                      <w:color w:val="auto"/>
                      <w:sz w:val="18"/>
                      <w:szCs w:val="18"/>
                      <w:lang w:val="en-US" w:eastAsia="zh-CN"/>
                    </w:rPr>
                    <w:t>车间</w:t>
                  </w:r>
                </w:p>
              </w:tc>
              <w:tc>
                <w:tcPr>
                  <w:tcW w:w="477" w:type="pct"/>
                  <w:vAlign w:val="center"/>
                </w:tcPr>
                <w:p w14:paraId="717B2ED5">
                  <w:pPr>
                    <w:pStyle w:val="656"/>
                    <w:snapToGrid w:val="0"/>
                    <w:rPr>
                      <w:rFonts w:eastAsia="宋体"/>
                      <w:color w:val="auto"/>
                      <w:sz w:val="18"/>
                      <w:szCs w:val="18"/>
                    </w:rPr>
                  </w:pPr>
                  <w:r>
                    <w:rPr>
                      <w:rFonts w:hint="eastAsia" w:eastAsia="宋体"/>
                      <w:color w:val="auto"/>
                      <w:sz w:val="18"/>
                      <w:szCs w:val="18"/>
                      <w:lang w:val="en-US" w:eastAsia="zh-CN"/>
                    </w:rPr>
                    <w:t>喷砂</w:t>
                  </w:r>
                </w:p>
              </w:tc>
              <w:tc>
                <w:tcPr>
                  <w:tcW w:w="537" w:type="pct"/>
                  <w:vAlign w:val="center"/>
                </w:tcPr>
                <w:p w14:paraId="51952585">
                  <w:pPr>
                    <w:pStyle w:val="656"/>
                    <w:snapToGrid w:val="0"/>
                    <w:rPr>
                      <w:rFonts w:eastAsia="宋体"/>
                      <w:color w:val="auto"/>
                      <w:sz w:val="18"/>
                      <w:szCs w:val="18"/>
                    </w:rPr>
                  </w:pPr>
                  <w:r>
                    <w:rPr>
                      <w:rFonts w:hint="eastAsia" w:eastAsia="宋体"/>
                      <w:color w:val="auto"/>
                      <w:sz w:val="18"/>
                      <w:szCs w:val="18"/>
                      <w:lang w:val="en-US" w:eastAsia="zh-CN"/>
                    </w:rPr>
                    <w:t>颗粒物</w:t>
                  </w:r>
                </w:p>
              </w:tc>
              <w:tc>
                <w:tcPr>
                  <w:tcW w:w="512" w:type="pct"/>
                  <w:vAlign w:val="center"/>
                </w:tcPr>
                <w:p w14:paraId="47137C63">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0.00073</w:t>
                  </w:r>
                </w:p>
              </w:tc>
              <w:tc>
                <w:tcPr>
                  <w:tcW w:w="454" w:type="pct"/>
                  <w:vAlign w:val="center"/>
                </w:tcPr>
                <w:p w14:paraId="2C670AFB">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0.000438</w:t>
                  </w:r>
                </w:p>
              </w:tc>
              <w:tc>
                <w:tcPr>
                  <w:tcW w:w="697" w:type="pct"/>
                  <w:vAlign w:val="center"/>
                </w:tcPr>
                <w:p w14:paraId="71AEAA39">
                  <w:pPr>
                    <w:adjustRightInd w:val="0"/>
                    <w:snapToGrid w:val="0"/>
                    <w:jc w:val="center"/>
                    <w:rPr>
                      <w:rFonts w:hint="default" w:eastAsia="宋体"/>
                      <w:color w:val="auto"/>
                      <w:sz w:val="18"/>
                      <w:szCs w:val="18"/>
                      <w:lang w:val="en-US" w:eastAsia="zh-CN"/>
                    </w:rPr>
                  </w:pPr>
                  <w:r>
                    <w:rPr>
                      <w:rFonts w:hint="eastAsia"/>
                      <w:color w:val="auto"/>
                      <w:sz w:val="18"/>
                      <w:szCs w:val="18"/>
                      <w:lang w:val="en-US" w:eastAsia="zh-CN"/>
                    </w:rPr>
                    <w:t>--</w:t>
                  </w:r>
                </w:p>
              </w:tc>
              <w:tc>
                <w:tcPr>
                  <w:tcW w:w="697" w:type="pct"/>
                  <w:vAlign w:val="center"/>
                </w:tcPr>
                <w:p w14:paraId="48B659CA">
                  <w:pPr>
                    <w:adjustRightInd w:val="0"/>
                    <w:snapToGrid w:val="0"/>
                    <w:jc w:val="center"/>
                    <w:rPr>
                      <w:rFonts w:hint="default" w:eastAsia="宋体"/>
                      <w:color w:val="auto"/>
                      <w:sz w:val="18"/>
                      <w:szCs w:val="18"/>
                      <w:lang w:val="en-US" w:eastAsia="zh-CN"/>
                    </w:rPr>
                  </w:pPr>
                  <w:r>
                    <w:rPr>
                      <w:rFonts w:hint="eastAsia"/>
                      <w:color w:val="auto"/>
                      <w:sz w:val="18"/>
                      <w:szCs w:val="18"/>
                      <w:lang w:val="en-US" w:eastAsia="zh-CN"/>
                    </w:rPr>
                    <w:t>--</w:t>
                  </w:r>
                </w:p>
              </w:tc>
              <w:tc>
                <w:tcPr>
                  <w:tcW w:w="462" w:type="pct"/>
                  <w:shd w:val="clear" w:color="auto" w:fill="auto"/>
                  <w:vAlign w:val="center"/>
                </w:tcPr>
                <w:p w14:paraId="505D748E">
                  <w:pPr>
                    <w:pStyle w:val="656"/>
                    <w:snapToGrid w:val="0"/>
                    <w:rPr>
                      <w:rFonts w:hint="default" w:ascii="Times New Roman" w:hAnsi="Times New Roman" w:eastAsia="宋体" w:cs="Times New Roman"/>
                      <w:snapToGrid w:val="0"/>
                      <w:color w:val="auto"/>
                      <w:kern w:val="2"/>
                      <w:sz w:val="18"/>
                      <w:szCs w:val="18"/>
                      <w:lang w:val="en-US" w:eastAsia="zh-CN" w:bidi="ar-SA"/>
                    </w:rPr>
                  </w:pPr>
                  <w:r>
                    <w:rPr>
                      <w:rFonts w:hint="eastAsia" w:eastAsia="宋体"/>
                      <w:color w:val="auto"/>
                      <w:sz w:val="18"/>
                      <w:szCs w:val="18"/>
                      <w:lang w:val="en-US" w:eastAsia="zh-CN"/>
                    </w:rPr>
                    <w:t>0.00073</w:t>
                  </w:r>
                </w:p>
              </w:tc>
              <w:tc>
                <w:tcPr>
                  <w:tcW w:w="450" w:type="pct"/>
                  <w:vAlign w:val="center"/>
                </w:tcPr>
                <w:p w14:paraId="3FDAEEAA">
                  <w:pPr>
                    <w:pStyle w:val="656"/>
                    <w:snapToGrid w:val="0"/>
                    <w:rPr>
                      <w:rFonts w:eastAsia="宋体"/>
                      <w:color w:val="auto"/>
                      <w:sz w:val="18"/>
                      <w:szCs w:val="18"/>
                    </w:rPr>
                  </w:pPr>
                  <w:r>
                    <w:rPr>
                      <w:rFonts w:hint="eastAsia" w:eastAsia="宋体"/>
                      <w:color w:val="auto"/>
                      <w:sz w:val="18"/>
                      <w:szCs w:val="18"/>
                      <w:lang w:val="en-US" w:eastAsia="zh-CN"/>
                    </w:rPr>
                    <w:t>0.000438</w:t>
                  </w:r>
                </w:p>
              </w:tc>
              <w:tc>
                <w:tcPr>
                  <w:tcW w:w="367" w:type="pct"/>
                  <w:vMerge w:val="restart"/>
                  <w:vAlign w:val="center"/>
                </w:tcPr>
                <w:p w14:paraId="32380C3E">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600</w:t>
                  </w:r>
                </w:p>
              </w:tc>
            </w:tr>
            <w:tr w14:paraId="5A56A2D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342" w:type="pct"/>
                  <w:vMerge w:val="continue"/>
                  <w:vAlign w:val="center"/>
                </w:tcPr>
                <w:p w14:paraId="6E4DB00E">
                  <w:pPr>
                    <w:pStyle w:val="656"/>
                    <w:snapToGrid w:val="0"/>
                    <w:rPr>
                      <w:rFonts w:hint="eastAsia" w:eastAsia="宋体"/>
                      <w:color w:val="auto"/>
                      <w:sz w:val="18"/>
                      <w:szCs w:val="18"/>
                      <w:lang w:val="en-US" w:eastAsia="zh-CN"/>
                    </w:rPr>
                  </w:pPr>
                </w:p>
              </w:tc>
              <w:tc>
                <w:tcPr>
                  <w:tcW w:w="477" w:type="pct"/>
                  <w:vAlign w:val="center"/>
                </w:tcPr>
                <w:p w14:paraId="658BF50C">
                  <w:pPr>
                    <w:pStyle w:val="656"/>
                    <w:snapToGrid w:val="0"/>
                    <w:rPr>
                      <w:rFonts w:hint="eastAsia" w:eastAsia="宋体"/>
                      <w:color w:val="auto"/>
                      <w:sz w:val="18"/>
                      <w:szCs w:val="18"/>
                    </w:rPr>
                  </w:pPr>
                  <w:r>
                    <w:rPr>
                      <w:rFonts w:hint="eastAsia" w:eastAsia="宋体"/>
                      <w:color w:val="auto"/>
                      <w:sz w:val="18"/>
                      <w:szCs w:val="18"/>
                      <w:lang w:val="en-US" w:eastAsia="zh-CN"/>
                    </w:rPr>
                    <w:t>喷锌</w:t>
                  </w:r>
                </w:p>
              </w:tc>
              <w:tc>
                <w:tcPr>
                  <w:tcW w:w="537" w:type="pct"/>
                  <w:vAlign w:val="center"/>
                </w:tcPr>
                <w:p w14:paraId="6B0C15BC">
                  <w:pPr>
                    <w:pStyle w:val="656"/>
                    <w:snapToGrid w:val="0"/>
                    <w:rPr>
                      <w:rFonts w:hint="eastAsia" w:eastAsia="宋体"/>
                      <w:color w:val="auto"/>
                      <w:sz w:val="18"/>
                      <w:szCs w:val="18"/>
                    </w:rPr>
                  </w:pPr>
                  <w:r>
                    <w:rPr>
                      <w:rFonts w:hint="eastAsia" w:eastAsia="宋体"/>
                      <w:color w:val="auto"/>
                      <w:sz w:val="18"/>
                      <w:szCs w:val="18"/>
                      <w:lang w:val="en-US" w:eastAsia="zh-CN"/>
                    </w:rPr>
                    <w:t>颗粒物</w:t>
                  </w:r>
                </w:p>
              </w:tc>
              <w:tc>
                <w:tcPr>
                  <w:tcW w:w="512" w:type="pct"/>
                  <w:vAlign w:val="center"/>
                </w:tcPr>
                <w:p w14:paraId="2A458A37">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0.015</w:t>
                  </w:r>
                </w:p>
              </w:tc>
              <w:tc>
                <w:tcPr>
                  <w:tcW w:w="454" w:type="pct"/>
                  <w:vAlign w:val="center"/>
                </w:tcPr>
                <w:p w14:paraId="16A08C47">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0.009</w:t>
                  </w:r>
                </w:p>
              </w:tc>
              <w:tc>
                <w:tcPr>
                  <w:tcW w:w="697" w:type="pct"/>
                  <w:vAlign w:val="center"/>
                </w:tcPr>
                <w:p w14:paraId="078CCBEF">
                  <w:pPr>
                    <w:adjustRightInd w:val="0"/>
                    <w:snapToGrid w:val="0"/>
                    <w:jc w:val="center"/>
                    <w:rPr>
                      <w:rFonts w:hint="eastAsia"/>
                      <w:color w:val="auto"/>
                      <w:sz w:val="18"/>
                      <w:szCs w:val="18"/>
                    </w:rPr>
                  </w:pPr>
                  <w:r>
                    <w:rPr>
                      <w:rFonts w:hint="eastAsia"/>
                      <w:color w:val="auto"/>
                      <w:sz w:val="18"/>
                      <w:szCs w:val="18"/>
                      <w:lang w:val="en-US" w:eastAsia="zh-CN"/>
                    </w:rPr>
                    <w:t>--</w:t>
                  </w:r>
                </w:p>
              </w:tc>
              <w:tc>
                <w:tcPr>
                  <w:tcW w:w="697" w:type="pct"/>
                  <w:vAlign w:val="center"/>
                </w:tcPr>
                <w:p w14:paraId="2439DFE6">
                  <w:pPr>
                    <w:adjustRightInd w:val="0"/>
                    <w:snapToGrid w:val="0"/>
                    <w:jc w:val="center"/>
                    <w:rPr>
                      <w:rFonts w:hint="eastAsia"/>
                      <w:color w:val="auto"/>
                      <w:sz w:val="18"/>
                      <w:szCs w:val="18"/>
                    </w:rPr>
                  </w:pPr>
                  <w:r>
                    <w:rPr>
                      <w:rFonts w:hint="eastAsia"/>
                      <w:color w:val="auto"/>
                      <w:sz w:val="18"/>
                      <w:szCs w:val="18"/>
                      <w:lang w:val="en-US" w:eastAsia="zh-CN"/>
                    </w:rPr>
                    <w:t>--</w:t>
                  </w:r>
                </w:p>
              </w:tc>
              <w:tc>
                <w:tcPr>
                  <w:tcW w:w="462" w:type="pct"/>
                  <w:shd w:val="clear" w:color="auto" w:fill="auto"/>
                  <w:vAlign w:val="center"/>
                </w:tcPr>
                <w:p w14:paraId="0E6EF145">
                  <w:pPr>
                    <w:pStyle w:val="656"/>
                    <w:snapToGrid w:val="0"/>
                    <w:rPr>
                      <w:rFonts w:hint="eastAsia" w:ascii="Times New Roman" w:hAnsi="Times New Roman" w:eastAsia="宋体" w:cs="Times New Roman"/>
                      <w:snapToGrid w:val="0"/>
                      <w:color w:val="auto"/>
                      <w:kern w:val="2"/>
                      <w:sz w:val="18"/>
                      <w:szCs w:val="18"/>
                      <w:lang w:val="en-US" w:eastAsia="zh-CN" w:bidi="ar-SA"/>
                    </w:rPr>
                  </w:pPr>
                  <w:r>
                    <w:rPr>
                      <w:rFonts w:hint="eastAsia" w:eastAsia="宋体"/>
                      <w:color w:val="auto"/>
                      <w:sz w:val="18"/>
                      <w:szCs w:val="18"/>
                      <w:lang w:val="en-US" w:eastAsia="zh-CN"/>
                    </w:rPr>
                    <w:t>0.015</w:t>
                  </w:r>
                </w:p>
              </w:tc>
              <w:tc>
                <w:tcPr>
                  <w:tcW w:w="450" w:type="pct"/>
                  <w:vAlign w:val="center"/>
                </w:tcPr>
                <w:p w14:paraId="19314AAD">
                  <w:pPr>
                    <w:pStyle w:val="656"/>
                    <w:snapToGrid w:val="0"/>
                    <w:rPr>
                      <w:rFonts w:hint="eastAsia" w:eastAsia="宋体"/>
                      <w:color w:val="auto"/>
                      <w:sz w:val="18"/>
                      <w:szCs w:val="18"/>
                    </w:rPr>
                  </w:pPr>
                  <w:r>
                    <w:rPr>
                      <w:rFonts w:hint="eastAsia" w:eastAsia="宋体"/>
                      <w:color w:val="auto"/>
                      <w:sz w:val="18"/>
                      <w:szCs w:val="18"/>
                      <w:lang w:val="en-US" w:eastAsia="zh-CN"/>
                    </w:rPr>
                    <w:t>0.009</w:t>
                  </w:r>
                </w:p>
              </w:tc>
              <w:tc>
                <w:tcPr>
                  <w:tcW w:w="367" w:type="pct"/>
                  <w:vMerge w:val="continue"/>
                  <w:vAlign w:val="center"/>
                </w:tcPr>
                <w:p w14:paraId="1BF78B69">
                  <w:pPr>
                    <w:pStyle w:val="656"/>
                    <w:snapToGrid w:val="0"/>
                    <w:rPr>
                      <w:rFonts w:hint="default" w:eastAsia="宋体"/>
                      <w:color w:val="auto"/>
                      <w:sz w:val="18"/>
                      <w:szCs w:val="18"/>
                      <w:lang w:val="en-US" w:eastAsia="zh-CN"/>
                    </w:rPr>
                  </w:pPr>
                </w:p>
              </w:tc>
            </w:tr>
            <w:tr w14:paraId="10DDFD33">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342" w:type="pct"/>
                  <w:vMerge w:val="continue"/>
                  <w:vAlign w:val="center"/>
                </w:tcPr>
                <w:p w14:paraId="701739F2">
                  <w:pPr>
                    <w:pStyle w:val="656"/>
                    <w:snapToGrid w:val="0"/>
                    <w:rPr>
                      <w:rFonts w:hint="eastAsia" w:eastAsia="宋体"/>
                      <w:color w:val="auto"/>
                      <w:sz w:val="18"/>
                      <w:szCs w:val="18"/>
                      <w:lang w:val="en-US" w:eastAsia="zh-CN"/>
                    </w:rPr>
                  </w:pPr>
                </w:p>
              </w:tc>
              <w:tc>
                <w:tcPr>
                  <w:tcW w:w="477" w:type="pct"/>
                  <w:vMerge w:val="restart"/>
                  <w:vAlign w:val="center"/>
                </w:tcPr>
                <w:p w14:paraId="198A3749">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喷漆、喷漆、晾干</w:t>
                  </w:r>
                </w:p>
              </w:tc>
              <w:tc>
                <w:tcPr>
                  <w:tcW w:w="537" w:type="pct"/>
                  <w:vAlign w:val="center"/>
                </w:tcPr>
                <w:p w14:paraId="4E6ADE96">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颗粒物</w:t>
                  </w:r>
                </w:p>
              </w:tc>
              <w:tc>
                <w:tcPr>
                  <w:tcW w:w="512" w:type="pct"/>
                  <w:vAlign w:val="center"/>
                </w:tcPr>
                <w:p w14:paraId="442DD675">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0.248</w:t>
                  </w:r>
                </w:p>
              </w:tc>
              <w:tc>
                <w:tcPr>
                  <w:tcW w:w="454" w:type="pct"/>
                  <w:vAlign w:val="center"/>
                </w:tcPr>
                <w:p w14:paraId="6CCC0C9A">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0.0297</w:t>
                  </w:r>
                </w:p>
              </w:tc>
              <w:tc>
                <w:tcPr>
                  <w:tcW w:w="697" w:type="pct"/>
                  <w:shd w:val="clear" w:color="auto" w:fill="auto"/>
                  <w:vAlign w:val="center"/>
                </w:tcPr>
                <w:p w14:paraId="6D29427F">
                  <w:pPr>
                    <w:adjustRightInd w:val="0"/>
                    <w:snapToGrid w:val="0"/>
                    <w:jc w:val="center"/>
                    <w:rPr>
                      <w:rFonts w:hint="eastAsia" w:ascii="Times New Roman" w:hAnsi="Times New Roman" w:eastAsia="宋体" w:cs="Times New Roman"/>
                      <w:snapToGrid w:val="0"/>
                      <w:color w:val="auto"/>
                      <w:kern w:val="2"/>
                      <w:sz w:val="18"/>
                      <w:szCs w:val="18"/>
                      <w:lang w:val="en-US" w:eastAsia="zh-CN" w:bidi="ar-SA"/>
                    </w:rPr>
                  </w:pPr>
                  <w:r>
                    <w:rPr>
                      <w:rFonts w:hint="eastAsia"/>
                      <w:color w:val="auto"/>
                      <w:sz w:val="18"/>
                      <w:szCs w:val="18"/>
                      <w:lang w:val="en-US" w:eastAsia="zh-CN"/>
                    </w:rPr>
                    <w:t>--</w:t>
                  </w:r>
                </w:p>
              </w:tc>
              <w:tc>
                <w:tcPr>
                  <w:tcW w:w="697" w:type="pct"/>
                  <w:shd w:val="clear" w:color="auto" w:fill="auto"/>
                  <w:vAlign w:val="center"/>
                </w:tcPr>
                <w:p w14:paraId="2F337BD0">
                  <w:pPr>
                    <w:adjustRightInd w:val="0"/>
                    <w:snapToGrid w:val="0"/>
                    <w:jc w:val="center"/>
                    <w:rPr>
                      <w:rFonts w:hint="eastAsia" w:ascii="Times New Roman" w:hAnsi="Times New Roman" w:eastAsia="宋体" w:cs="Times New Roman"/>
                      <w:snapToGrid w:val="0"/>
                      <w:color w:val="auto"/>
                      <w:kern w:val="2"/>
                      <w:sz w:val="18"/>
                      <w:szCs w:val="18"/>
                      <w:lang w:val="en-US" w:eastAsia="zh-CN" w:bidi="ar-SA"/>
                    </w:rPr>
                  </w:pPr>
                  <w:r>
                    <w:rPr>
                      <w:rFonts w:hint="eastAsia"/>
                      <w:color w:val="auto"/>
                      <w:sz w:val="18"/>
                      <w:szCs w:val="18"/>
                      <w:lang w:val="en-US" w:eastAsia="zh-CN"/>
                    </w:rPr>
                    <w:t>--</w:t>
                  </w:r>
                </w:p>
              </w:tc>
              <w:tc>
                <w:tcPr>
                  <w:tcW w:w="462" w:type="pct"/>
                  <w:shd w:val="clear" w:color="auto" w:fill="auto"/>
                  <w:vAlign w:val="center"/>
                </w:tcPr>
                <w:p w14:paraId="6845B844">
                  <w:pPr>
                    <w:pStyle w:val="656"/>
                    <w:snapToGrid w:val="0"/>
                    <w:rPr>
                      <w:rFonts w:hint="default" w:ascii="Times New Roman" w:hAnsi="Times New Roman" w:eastAsia="宋体" w:cs="Times New Roman"/>
                      <w:snapToGrid w:val="0"/>
                      <w:color w:val="auto"/>
                      <w:kern w:val="2"/>
                      <w:sz w:val="18"/>
                      <w:szCs w:val="18"/>
                      <w:lang w:val="en-US" w:eastAsia="zh-CN" w:bidi="ar-SA"/>
                    </w:rPr>
                  </w:pPr>
                  <w:r>
                    <w:rPr>
                      <w:rFonts w:hint="eastAsia" w:eastAsia="宋体"/>
                      <w:color w:val="auto"/>
                      <w:sz w:val="18"/>
                      <w:szCs w:val="18"/>
                      <w:lang w:val="en-US" w:eastAsia="zh-CN"/>
                    </w:rPr>
                    <w:t>0.0248</w:t>
                  </w:r>
                </w:p>
              </w:tc>
              <w:tc>
                <w:tcPr>
                  <w:tcW w:w="450" w:type="pct"/>
                  <w:shd w:val="clear" w:color="auto" w:fill="auto"/>
                  <w:vAlign w:val="center"/>
                </w:tcPr>
                <w:p w14:paraId="3BA06EE4">
                  <w:pPr>
                    <w:pStyle w:val="656"/>
                    <w:snapToGrid w:val="0"/>
                    <w:rPr>
                      <w:rFonts w:hint="eastAsia" w:ascii="Times New Roman" w:hAnsi="Times New Roman" w:eastAsia="宋体" w:cs="Times New Roman"/>
                      <w:snapToGrid w:val="0"/>
                      <w:color w:val="auto"/>
                      <w:kern w:val="2"/>
                      <w:sz w:val="18"/>
                      <w:szCs w:val="18"/>
                      <w:lang w:val="en-US" w:eastAsia="zh-CN" w:bidi="ar-SA"/>
                    </w:rPr>
                  </w:pPr>
                  <w:r>
                    <w:rPr>
                      <w:rFonts w:hint="eastAsia" w:eastAsia="宋体"/>
                      <w:color w:val="auto"/>
                      <w:sz w:val="18"/>
                      <w:szCs w:val="18"/>
                      <w:lang w:val="en-US" w:eastAsia="zh-CN"/>
                    </w:rPr>
                    <w:t>0.0297</w:t>
                  </w:r>
                </w:p>
              </w:tc>
              <w:tc>
                <w:tcPr>
                  <w:tcW w:w="367" w:type="pct"/>
                  <w:vAlign w:val="center"/>
                </w:tcPr>
                <w:p w14:paraId="6B3834C1">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1200</w:t>
                  </w:r>
                </w:p>
              </w:tc>
            </w:tr>
            <w:tr w14:paraId="7EBD295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342" w:type="pct"/>
                  <w:vMerge w:val="continue"/>
                  <w:vAlign w:val="center"/>
                </w:tcPr>
                <w:p w14:paraId="4E1E9CE7">
                  <w:pPr>
                    <w:pStyle w:val="656"/>
                    <w:snapToGrid w:val="0"/>
                    <w:rPr>
                      <w:rFonts w:hint="eastAsia" w:eastAsia="宋体"/>
                      <w:color w:val="auto"/>
                      <w:sz w:val="18"/>
                      <w:szCs w:val="18"/>
                      <w:lang w:val="en-US" w:eastAsia="zh-CN"/>
                    </w:rPr>
                  </w:pPr>
                </w:p>
              </w:tc>
              <w:tc>
                <w:tcPr>
                  <w:tcW w:w="477" w:type="pct"/>
                  <w:vMerge w:val="continue"/>
                  <w:vAlign w:val="center"/>
                </w:tcPr>
                <w:p w14:paraId="2C08D740">
                  <w:pPr>
                    <w:pStyle w:val="656"/>
                    <w:snapToGrid w:val="0"/>
                    <w:rPr>
                      <w:rFonts w:hint="default" w:eastAsia="宋体"/>
                      <w:color w:val="auto"/>
                      <w:sz w:val="18"/>
                      <w:szCs w:val="18"/>
                      <w:lang w:val="en-US" w:eastAsia="zh-CN"/>
                    </w:rPr>
                  </w:pPr>
                </w:p>
              </w:tc>
              <w:tc>
                <w:tcPr>
                  <w:tcW w:w="537" w:type="pct"/>
                  <w:vAlign w:val="center"/>
                </w:tcPr>
                <w:p w14:paraId="296522EF">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非甲烷总烃</w:t>
                  </w:r>
                </w:p>
              </w:tc>
              <w:tc>
                <w:tcPr>
                  <w:tcW w:w="512" w:type="pct"/>
                  <w:vAlign w:val="center"/>
                </w:tcPr>
                <w:p w14:paraId="2EE9FA04">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0.0077</w:t>
                  </w:r>
                </w:p>
              </w:tc>
              <w:tc>
                <w:tcPr>
                  <w:tcW w:w="454" w:type="pct"/>
                  <w:vAlign w:val="center"/>
                </w:tcPr>
                <w:p w14:paraId="399521EF">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0.023</w:t>
                  </w:r>
                </w:p>
              </w:tc>
              <w:tc>
                <w:tcPr>
                  <w:tcW w:w="697" w:type="pct"/>
                  <w:shd w:val="clear" w:color="auto" w:fill="auto"/>
                  <w:vAlign w:val="center"/>
                </w:tcPr>
                <w:p w14:paraId="4235E446">
                  <w:pPr>
                    <w:adjustRightInd w:val="0"/>
                    <w:snapToGrid w:val="0"/>
                    <w:jc w:val="center"/>
                    <w:rPr>
                      <w:rFonts w:hint="eastAsia" w:ascii="Times New Roman" w:hAnsi="Times New Roman" w:eastAsia="宋体" w:cs="Times New Roman"/>
                      <w:snapToGrid w:val="0"/>
                      <w:color w:val="auto"/>
                      <w:kern w:val="2"/>
                      <w:sz w:val="18"/>
                      <w:szCs w:val="18"/>
                      <w:lang w:val="en-US" w:eastAsia="zh-CN" w:bidi="ar-SA"/>
                    </w:rPr>
                  </w:pPr>
                  <w:r>
                    <w:rPr>
                      <w:rFonts w:hint="eastAsia"/>
                      <w:color w:val="auto"/>
                      <w:sz w:val="18"/>
                      <w:szCs w:val="18"/>
                      <w:lang w:val="en-US" w:eastAsia="zh-CN"/>
                    </w:rPr>
                    <w:t>--</w:t>
                  </w:r>
                </w:p>
              </w:tc>
              <w:tc>
                <w:tcPr>
                  <w:tcW w:w="697" w:type="pct"/>
                  <w:shd w:val="clear" w:color="auto" w:fill="auto"/>
                  <w:vAlign w:val="center"/>
                </w:tcPr>
                <w:p w14:paraId="481CC77D">
                  <w:pPr>
                    <w:adjustRightInd w:val="0"/>
                    <w:snapToGrid w:val="0"/>
                    <w:jc w:val="center"/>
                    <w:rPr>
                      <w:rFonts w:hint="default" w:ascii="Times New Roman" w:hAnsi="Times New Roman" w:eastAsia="宋体" w:cs="Times New Roman"/>
                      <w:snapToGrid w:val="0"/>
                      <w:color w:val="auto"/>
                      <w:kern w:val="2"/>
                      <w:sz w:val="18"/>
                      <w:szCs w:val="18"/>
                      <w:lang w:val="en-US" w:eastAsia="zh-CN" w:bidi="ar-SA"/>
                    </w:rPr>
                  </w:pPr>
                  <w:r>
                    <w:rPr>
                      <w:rFonts w:hint="eastAsia"/>
                      <w:color w:val="auto"/>
                      <w:sz w:val="18"/>
                      <w:szCs w:val="18"/>
                      <w:lang w:val="en-US" w:eastAsia="zh-CN"/>
                    </w:rPr>
                    <w:t>--</w:t>
                  </w:r>
                </w:p>
              </w:tc>
              <w:tc>
                <w:tcPr>
                  <w:tcW w:w="462" w:type="pct"/>
                  <w:shd w:val="clear" w:color="auto" w:fill="auto"/>
                  <w:vAlign w:val="center"/>
                </w:tcPr>
                <w:p w14:paraId="137B6E47">
                  <w:pPr>
                    <w:pStyle w:val="656"/>
                    <w:snapToGrid w:val="0"/>
                    <w:rPr>
                      <w:rFonts w:hint="default" w:ascii="Times New Roman" w:hAnsi="Times New Roman" w:eastAsia="宋体" w:cs="Times New Roman"/>
                      <w:snapToGrid w:val="0"/>
                      <w:color w:val="auto"/>
                      <w:kern w:val="2"/>
                      <w:sz w:val="18"/>
                      <w:szCs w:val="18"/>
                      <w:lang w:val="en-US" w:eastAsia="zh-CN" w:bidi="ar-SA"/>
                    </w:rPr>
                  </w:pPr>
                  <w:r>
                    <w:rPr>
                      <w:rFonts w:hint="eastAsia" w:eastAsia="宋体"/>
                      <w:color w:val="auto"/>
                      <w:sz w:val="18"/>
                      <w:szCs w:val="18"/>
                      <w:lang w:val="en-US" w:eastAsia="zh-CN"/>
                    </w:rPr>
                    <w:t>0.0077</w:t>
                  </w:r>
                </w:p>
              </w:tc>
              <w:tc>
                <w:tcPr>
                  <w:tcW w:w="450" w:type="pct"/>
                  <w:shd w:val="clear" w:color="auto" w:fill="auto"/>
                  <w:vAlign w:val="center"/>
                </w:tcPr>
                <w:p w14:paraId="00F20065">
                  <w:pPr>
                    <w:pStyle w:val="656"/>
                    <w:snapToGrid w:val="0"/>
                    <w:rPr>
                      <w:rFonts w:hint="eastAsia" w:ascii="Times New Roman" w:hAnsi="Times New Roman" w:eastAsia="宋体" w:cs="Times New Roman"/>
                      <w:snapToGrid w:val="0"/>
                      <w:color w:val="auto"/>
                      <w:kern w:val="2"/>
                      <w:sz w:val="18"/>
                      <w:szCs w:val="18"/>
                      <w:lang w:val="en-US" w:eastAsia="zh-CN" w:bidi="ar-SA"/>
                    </w:rPr>
                  </w:pPr>
                  <w:r>
                    <w:rPr>
                      <w:rFonts w:hint="eastAsia" w:eastAsia="宋体"/>
                      <w:color w:val="auto"/>
                      <w:sz w:val="18"/>
                      <w:szCs w:val="18"/>
                      <w:lang w:val="en-US" w:eastAsia="zh-CN"/>
                    </w:rPr>
                    <w:t>0.023</w:t>
                  </w:r>
                </w:p>
              </w:tc>
              <w:tc>
                <w:tcPr>
                  <w:tcW w:w="367" w:type="pct"/>
                  <w:vAlign w:val="center"/>
                </w:tcPr>
                <w:p w14:paraId="3A917D50">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3000</w:t>
                  </w:r>
                </w:p>
              </w:tc>
            </w:tr>
            <w:tr w14:paraId="4D5E0D7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342" w:type="pct"/>
                  <w:vMerge w:val="continue"/>
                  <w:vAlign w:val="center"/>
                </w:tcPr>
                <w:p w14:paraId="12E28A9C">
                  <w:pPr>
                    <w:pStyle w:val="656"/>
                    <w:snapToGrid w:val="0"/>
                    <w:rPr>
                      <w:rFonts w:hint="eastAsia" w:eastAsia="宋体"/>
                      <w:color w:val="auto"/>
                      <w:sz w:val="18"/>
                      <w:szCs w:val="18"/>
                      <w:lang w:val="en-US" w:eastAsia="zh-CN"/>
                    </w:rPr>
                  </w:pPr>
                </w:p>
              </w:tc>
              <w:tc>
                <w:tcPr>
                  <w:tcW w:w="477" w:type="pct"/>
                  <w:vMerge w:val="continue"/>
                  <w:vAlign w:val="center"/>
                </w:tcPr>
                <w:p w14:paraId="5347667C">
                  <w:pPr>
                    <w:pStyle w:val="656"/>
                    <w:snapToGrid w:val="0"/>
                    <w:rPr>
                      <w:rFonts w:hint="default" w:eastAsia="宋体"/>
                      <w:color w:val="auto"/>
                      <w:sz w:val="18"/>
                      <w:szCs w:val="18"/>
                      <w:lang w:val="en-US" w:eastAsia="zh-CN"/>
                    </w:rPr>
                  </w:pPr>
                </w:p>
              </w:tc>
              <w:tc>
                <w:tcPr>
                  <w:tcW w:w="537" w:type="pct"/>
                  <w:shd w:val="clear" w:color="auto" w:fill="auto"/>
                  <w:vAlign w:val="center"/>
                </w:tcPr>
                <w:p w14:paraId="67DA6A74">
                  <w:pPr>
                    <w:pStyle w:val="656"/>
                    <w:snapToGrid w:val="0"/>
                    <w:rPr>
                      <w:rFonts w:hint="eastAsia" w:ascii="Times New Roman" w:hAnsi="Times New Roman" w:eastAsia="宋体" w:cs="Times New Roman"/>
                      <w:snapToGrid w:val="0"/>
                      <w:color w:val="auto"/>
                      <w:kern w:val="2"/>
                      <w:sz w:val="18"/>
                      <w:szCs w:val="18"/>
                      <w:lang w:val="en-US" w:eastAsia="zh-CN" w:bidi="ar-SA"/>
                    </w:rPr>
                  </w:pPr>
                  <w:r>
                    <w:rPr>
                      <w:rFonts w:hint="eastAsia" w:eastAsia="宋体"/>
                      <w:color w:val="auto"/>
                      <w:sz w:val="18"/>
                      <w:szCs w:val="18"/>
                      <w:lang w:val="en-US" w:eastAsia="zh-CN"/>
                    </w:rPr>
                    <w:t>苯系物</w:t>
                  </w:r>
                </w:p>
              </w:tc>
              <w:tc>
                <w:tcPr>
                  <w:tcW w:w="512" w:type="pct"/>
                  <w:shd w:val="clear" w:color="auto" w:fill="auto"/>
                  <w:vAlign w:val="center"/>
                </w:tcPr>
                <w:p w14:paraId="4AD94D1C">
                  <w:pPr>
                    <w:pStyle w:val="656"/>
                    <w:snapToGrid w:val="0"/>
                    <w:rPr>
                      <w:rFonts w:hint="default" w:ascii="Times New Roman" w:hAnsi="Times New Roman" w:eastAsia="宋体" w:cs="Times New Roman"/>
                      <w:snapToGrid w:val="0"/>
                      <w:color w:val="auto"/>
                      <w:kern w:val="2"/>
                      <w:sz w:val="18"/>
                      <w:szCs w:val="18"/>
                      <w:lang w:val="en-US" w:eastAsia="zh-CN" w:bidi="ar-SA"/>
                    </w:rPr>
                  </w:pPr>
                  <w:r>
                    <w:rPr>
                      <w:rFonts w:hint="eastAsia" w:eastAsia="宋体" w:cs="Times New Roman"/>
                      <w:snapToGrid w:val="0"/>
                      <w:color w:val="auto"/>
                      <w:kern w:val="2"/>
                      <w:sz w:val="18"/>
                      <w:szCs w:val="18"/>
                      <w:lang w:val="en-US" w:eastAsia="zh-CN" w:bidi="ar-SA"/>
                    </w:rPr>
                    <w:t>0.0041</w:t>
                  </w:r>
                </w:p>
              </w:tc>
              <w:tc>
                <w:tcPr>
                  <w:tcW w:w="454" w:type="pct"/>
                  <w:shd w:val="clear" w:color="auto" w:fill="auto"/>
                  <w:vAlign w:val="center"/>
                </w:tcPr>
                <w:p w14:paraId="7B62B90E">
                  <w:pPr>
                    <w:pStyle w:val="656"/>
                    <w:snapToGrid w:val="0"/>
                    <w:rPr>
                      <w:rFonts w:hint="default" w:ascii="Times New Roman" w:hAnsi="Times New Roman" w:eastAsia="宋体" w:cs="Times New Roman"/>
                      <w:snapToGrid w:val="0"/>
                      <w:color w:val="auto"/>
                      <w:kern w:val="2"/>
                      <w:sz w:val="18"/>
                      <w:szCs w:val="18"/>
                      <w:lang w:val="en-US" w:eastAsia="zh-CN" w:bidi="ar-SA"/>
                    </w:rPr>
                  </w:pPr>
                  <w:r>
                    <w:rPr>
                      <w:rFonts w:hint="eastAsia" w:eastAsia="宋体" w:cs="Times New Roman"/>
                      <w:snapToGrid w:val="0"/>
                      <w:color w:val="auto"/>
                      <w:kern w:val="2"/>
                      <w:sz w:val="18"/>
                      <w:szCs w:val="18"/>
                      <w:lang w:val="en-US" w:eastAsia="zh-CN" w:bidi="ar-SA"/>
                    </w:rPr>
                    <w:t>0.0122</w:t>
                  </w:r>
                </w:p>
              </w:tc>
              <w:tc>
                <w:tcPr>
                  <w:tcW w:w="697" w:type="pct"/>
                  <w:shd w:val="clear" w:color="auto" w:fill="auto"/>
                  <w:vAlign w:val="center"/>
                </w:tcPr>
                <w:p w14:paraId="61E0E6D7">
                  <w:pPr>
                    <w:adjustRightInd w:val="0"/>
                    <w:snapToGrid w:val="0"/>
                    <w:jc w:val="center"/>
                    <w:rPr>
                      <w:rFonts w:hint="eastAsia" w:ascii="Times New Roman" w:hAnsi="Times New Roman" w:eastAsia="宋体" w:cs="Times New Roman"/>
                      <w:snapToGrid w:val="0"/>
                      <w:color w:val="auto"/>
                      <w:kern w:val="2"/>
                      <w:sz w:val="18"/>
                      <w:szCs w:val="18"/>
                      <w:lang w:val="en-US" w:eastAsia="zh-CN" w:bidi="ar-SA"/>
                    </w:rPr>
                  </w:pPr>
                  <w:r>
                    <w:rPr>
                      <w:rFonts w:hint="eastAsia"/>
                      <w:color w:val="auto"/>
                      <w:sz w:val="18"/>
                      <w:szCs w:val="18"/>
                      <w:lang w:val="en-US" w:eastAsia="zh-CN"/>
                    </w:rPr>
                    <w:t>--</w:t>
                  </w:r>
                </w:p>
              </w:tc>
              <w:tc>
                <w:tcPr>
                  <w:tcW w:w="697" w:type="pct"/>
                  <w:shd w:val="clear" w:color="auto" w:fill="auto"/>
                  <w:vAlign w:val="center"/>
                </w:tcPr>
                <w:p w14:paraId="4ED4D68F">
                  <w:pPr>
                    <w:adjustRightInd w:val="0"/>
                    <w:snapToGrid w:val="0"/>
                    <w:jc w:val="center"/>
                    <w:rPr>
                      <w:rFonts w:hint="eastAsia" w:ascii="Times New Roman" w:hAnsi="Times New Roman" w:eastAsia="宋体" w:cs="Times New Roman"/>
                      <w:snapToGrid w:val="0"/>
                      <w:color w:val="auto"/>
                      <w:kern w:val="2"/>
                      <w:sz w:val="18"/>
                      <w:szCs w:val="18"/>
                      <w:lang w:val="en-US" w:eastAsia="zh-CN" w:bidi="ar-SA"/>
                    </w:rPr>
                  </w:pPr>
                  <w:r>
                    <w:rPr>
                      <w:rFonts w:hint="eastAsia"/>
                      <w:color w:val="auto"/>
                      <w:sz w:val="18"/>
                      <w:szCs w:val="18"/>
                      <w:lang w:val="en-US" w:eastAsia="zh-CN"/>
                    </w:rPr>
                    <w:t>--</w:t>
                  </w:r>
                </w:p>
              </w:tc>
              <w:tc>
                <w:tcPr>
                  <w:tcW w:w="462" w:type="pct"/>
                  <w:shd w:val="clear" w:color="auto" w:fill="auto"/>
                  <w:vAlign w:val="center"/>
                </w:tcPr>
                <w:p w14:paraId="21AAD41C">
                  <w:pPr>
                    <w:pStyle w:val="656"/>
                    <w:snapToGrid w:val="0"/>
                    <w:rPr>
                      <w:rFonts w:hint="eastAsia" w:ascii="Times New Roman" w:hAnsi="Times New Roman" w:eastAsia="宋体" w:cs="Times New Roman"/>
                      <w:snapToGrid w:val="0"/>
                      <w:color w:val="auto"/>
                      <w:kern w:val="2"/>
                      <w:sz w:val="18"/>
                      <w:szCs w:val="18"/>
                      <w:lang w:val="en-US" w:eastAsia="zh-CN" w:bidi="ar-SA"/>
                    </w:rPr>
                  </w:pPr>
                  <w:r>
                    <w:rPr>
                      <w:rFonts w:hint="eastAsia" w:eastAsia="宋体" w:cs="Times New Roman"/>
                      <w:snapToGrid w:val="0"/>
                      <w:color w:val="auto"/>
                      <w:kern w:val="2"/>
                      <w:sz w:val="18"/>
                      <w:szCs w:val="18"/>
                      <w:lang w:val="en-US" w:eastAsia="zh-CN" w:bidi="ar-SA"/>
                    </w:rPr>
                    <w:t>0.0041</w:t>
                  </w:r>
                </w:p>
              </w:tc>
              <w:tc>
                <w:tcPr>
                  <w:tcW w:w="450" w:type="pct"/>
                  <w:shd w:val="clear" w:color="auto" w:fill="auto"/>
                  <w:vAlign w:val="center"/>
                </w:tcPr>
                <w:p w14:paraId="00EF7349">
                  <w:pPr>
                    <w:pStyle w:val="656"/>
                    <w:snapToGrid w:val="0"/>
                    <w:rPr>
                      <w:rFonts w:hint="eastAsia" w:ascii="Times New Roman" w:hAnsi="Times New Roman" w:eastAsia="宋体" w:cs="Times New Roman"/>
                      <w:snapToGrid w:val="0"/>
                      <w:color w:val="auto"/>
                      <w:kern w:val="2"/>
                      <w:sz w:val="18"/>
                      <w:szCs w:val="18"/>
                      <w:lang w:val="en-US" w:eastAsia="zh-CN" w:bidi="ar-SA"/>
                    </w:rPr>
                  </w:pPr>
                  <w:r>
                    <w:rPr>
                      <w:rFonts w:hint="eastAsia" w:eastAsia="宋体" w:cs="Times New Roman"/>
                      <w:snapToGrid w:val="0"/>
                      <w:color w:val="auto"/>
                      <w:kern w:val="2"/>
                      <w:sz w:val="18"/>
                      <w:szCs w:val="18"/>
                      <w:lang w:val="en-US" w:eastAsia="zh-CN" w:bidi="ar-SA"/>
                    </w:rPr>
                    <w:t>0.0122</w:t>
                  </w:r>
                </w:p>
              </w:tc>
              <w:tc>
                <w:tcPr>
                  <w:tcW w:w="367" w:type="pct"/>
                  <w:vAlign w:val="center"/>
                </w:tcPr>
                <w:p w14:paraId="2FBBD3C0">
                  <w:pPr>
                    <w:pStyle w:val="656"/>
                    <w:snapToGrid w:val="0"/>
                    <w:rPr>
                      <w:rFonts w:hint="eastAsia" w:eastAsia="宋体"/>
                      <w:color w:val="auto"/>
                      <w:sz w:val="18"/>
                      <w:szCs w:val="18"/>
                      <w:lang w:val="en-US" w:eastAsia="zh-CN"/>
                    </w:rPr>
                  </w:pPr>
                  <w:r>
                    <w:rPr>
                      <w:rFonts w:hint="eastAsia" w:eastAsia="宋体"/>
                      <w:color w:val="auto"/>
                      <w:sz w:val="18"/>
                      <w:szCs w:val="18"/>
                      <w:lang w:val="en-US" w:eastAsia="zh-CN"/>
                    </w:rPr>
                    <w:t>3000</w:t>
                  </w:r>
                </w:p>
              </w:tc>
            </w:tr>
            <w:tr w14:paraId="27359F5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342" w:type="pct"/>
                  <w:vMerge w:val="continue"/>
                  <w:vAlign w:val="center"/>
                </w:tcPr>
                <w:p w14:paraId="143BE5FF">
                  <w:pPr>
                    <w:pStyle w:val="656"/>
                    <w:snapToGrid w:val="0"/>
                    <w:rPr>
                      <w:rFonts w:hint="eastAsia" w:eastAsia="宋体"/>
                      <w:color w:val="auto"/>
                      <w:sz w:val="18"/>
                      <w:szCs w:val="18"/>
                      <w:lang w:val="en-US" w:eastAsia="zh-CN"/>
                    </w:rPr>
                  </w:pPr>
                </w:p>
              </w:tc>
              <w:tc>
                <w:tcPr>
                  <w:tcW w:w="477" w:type="pct"/>
                  <w:vMerge w:val="continue"/>
                  <w:vAlign w:val="center"/>
                </w:tcPr>
                <w:p w14:paraId="222543BE">
                  <w:pPr>
                    <w:pStyle w:val="656"/>
                    <w:snapToGrid w:val="0"/>
                    <w:rPr>
                      <w:rFonts w:hint="default" w:eastAsia="宋体"/>
                      <w:color w:val="auto"/>
                      <w:sz w:val="18"/>
                      <w:szCs w:val="18"/>
                      <w:lang w:val="en-US" w:eastAsia="zh-CN"/>
                    </w:rPr>
                  </w:pPr>
                </w:p>
              </w:tc>
              <w:tc>
                <w:tcPr>
                  <w:tcW w:w="537" w:type="pct"/>
                  <w:shd w:val="clear" w:color="auto" w:fill="auto"/>
                  <w:vAlign w:val="center"/>
                </w:tcPr>
                <w:p w14:paraId="1C440558">
                  <w:pPr>
                    <w:pStyle w:val="656"/>
                    <w:snapToGrid w:val="0"/>
                    <w:rPr>
                      <w:rFonts w:hint="eastAsia" w:eastAsia="宋体"/>
                      <w:color w:val="auto"/>
                      <w:sz w:val="18"/>
                      <w:szCs w:val="18"/>
                      <w:lang w:val="en-US" w:eastAsia="zh-CN"/>
                    </w:rPr>
                  </w:pPr>
                  <w:r>
                    <w:rPr>
                      <w:rFonts w:hint="eastAsia" w:eastAsia="宋体"/>
                      <w:color w:val="auto"/>
                      <w:sz w:val="18"/>
                      <w:szCs w:val="18"/>
                      <w:lang w:val="en-US" w:eastAsia="zh-CN"/>
                    </w:rPr>
                    <w:t>二甲苯</w:t>
                  </w:r>
                </w:p>
              </w:tc>
              <w:tc>
                <w:tcPr>
                  <w:tcW w:w="512" w:type="pct"/>
                  <w:shd w:val="clear" w:color="auto" w:fill="auto"/>
                  <w:vAlign w:val="center"/>
                </w:tcPr>
                <w:p w14:paraId="2666010D">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0.0027</w:t>
                  </w:r>
                </w:p>
              </w:tc>
              <w:tc>
                <w:tcPr>
                  <w:tcW w:w="454" w:type="pct"/>
                  <w:shd w:val="clear" w:color="auto" w:fill="auto"/>
                  <w:vAlign w:val="center"/>
                </w:tcPr>
                <w:p w14:paraId="59B1FE04">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0.0008</w:t>
                  </w:r>
                </w:p>
              </w:tc>
              <w:tc>
                <w:tcPr>
                  <w:tcW w:w="697" w:type="pct"/>
                  <w:shd w:val="clear" w:color="auto" w:fill="auto"/>
                  <w:vAlign w:val="center"/>
                </w:tcPr>
                <w:p w14:paraId="34C3C90D">
                  <w:pPr>
                    <w:adjustRightInd w:val="0"/>
                    <w:snapToGrid w:val="0"/>
                    <w:jc w:val="center"/>
                    <w:rPr>
                      <w:rFonts w:hint="eastAsia"/>
                      <w:color w:val="auto"/>
                      <w:sz w:val="18"/>
                      <w:szCs w:val="18"/>
                      <w:lang w:val="en-US" w:eastAsia="zh-CN"/>
                    </w:rPr>
                  </w:pPr>
                  <w:r>
                    <w:rPr>
                      <w:rFonts w:hint="eastAsia"/>
                      <w:color w:val="auto"/>
                      <w:sz w:val="18"/>
                      <w:szCs w:val="18"/>
                      <w:lang w:val="en-US" w:eastAsia="zh-CN"/>
                    </w:rPr>
                    <w:t>--</w:t>
                  </w:r>
                </w:p>
              </w:tc>
              <w:tc>
                <w:tcPr>
                  <w:tcW w:w="697" w:type="pct"/>
                  <w:shd w:val="clear" w:color="auto" w:fill="auto"/>
                  <w:vAlign w:val="center"/>
                </w:tcPr>
                <w:p w14:paraId="60143DF0">
                  <w:pPr>
                    <w:adjustRightInd w:val="0"/>
                    <w:snapToGrid w:val="0"/>
                    <w:jc w:val="center"/>
                    <w:rPr>
                      <w:rFonts w:hint="eastAsia"/>
                      <w:color w:val="auto"/>
                      <w:sz w:val="18"/>
                      <w:szCs w:val="18"/>
                      <w:lang w:val="en-US" w:eastAsia="zh-CN"/>
                    </w:rPr>
                  </w:pPr>
                  <w:r>
                    <w:rPr>
                      <w:rFonts w:hint="eastAsia"/>
                      <w:color w:val="auto"/>
                      <w:sz w:val="18"/>
                      <w:szCs w:val="18"/>
                      <w:lang w:val="en-US" w:eastAsia="zh-CN"/>
                    </w:rPr>
                    <w:t>--</w:t>
                  </w:r>
                </w:p>
              </w:tc>
              <w:tc>
                <w:tcPr>
                  <w:tcW w:w="462" w:type="pct"/>
                  <w:shd w:val="clear" w:color="auto" w:fill="auto"/>
                  <w:vAlign w:val="center"/>
                </w:tcPr>
                <w:p w14:paraId="29DD22A1">
                  <w:pPr>
                    <w:pStyle w:val="656"/>
                    <w:snapToGrid w:val="0"/>
                    <w:rPr>
                      <w:rFonts w:hint="eastAsia" w:eastAsia="宋体"/>
                      <w:color w:val="auto"/>
                      <w:sz w:val="18"/>
                      <w:szCs w:val="18"/>
                      <w:lang w:val="en-US" w:eastAsia="zh-CN"/>
                    </w:rPr>
                  </w:pPr>
                  <w:r>
                    <w:rPr>
                      <w:rFonts w:hint="eastAsia" w:eastAsia="宋体"/>
                      <w:color w:val="auto"/>
                      <w:sz w:val="18"/>
                      <w:szCs w:val="18"/>
                      <w:lang w:val="en-US" w:eastAsia="zh-CN"/>
                    </w:rPr>
                    <w:t>0.0027</w:t>
                  </w:r>
                </w:p>
              </w:tc>
              <w:tc>
                <w:tcPr>
                  <w:tcW w:w="450" w:type="pct"/>
                  <w:shd w:val="clear" w:color="auto" w:fill="auto"/>
                  <w:vAlign w:val="center"/>
                </w:tcPr>
                <w:p w14:paraId="07D9FFBA">
                  <w:pPr>
                    <w:pStyle w:val="656"/>
                    <w:snapToGrid w:val="0"/>
                    <w:rPr>
                      <w:rFonts w:hint="eastAsia" w:eastAsia="宋体"/>
                      <w:color w:val="auto"/>
                      <w:sz w:val="18"/>
                      <w:szCs w:val="18"/>
                      <w:lang w:val="en-US" w:eastAsia="zh-CN"/>
                    </w:rPr>
                  </w:pPr>
                  <w:r>
                    <w:rPr>
                      <w:rFonts w:hint="eastAsia" w:eastAsia="宋体"/>
                      <w:color w:val="auto"/>
                      <w:sz w:val="18"/>
                      <w:szCs w:val="18"/>
                      <w:lang w:val="en-US" w:eastAsia="zh-CN"/>
                    </w:rPr>
                    <w:t>0.0008</w:t>
                  </w:r>
                </w:p>
              </w:tc>
              <w:tc>
                <w:tcPr>
                  <w:tcW w:w="367" w:type="pct"/>
                  <w:vAlign w:val="center"/>
                </w:tcPr>
                <w:p w14:paraId="3AF18520">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eastAsia="宋体"/>
                      <w:color w:val="auto"/>
                      <w:sz w:val="18"/>
                      <w:szCs w:val="18"/>
                      <w:lang w:val="en-US" w:eastAsia="zh-CN"/>
                    </w:rPr>
                  </w:pPr>
                  <w:r>
                    <w:rPr>
                      <w:rFonts w:hint="eastAsia" w:eastAsia="宋体"/>
                      <w:color w:val="auto"/>
                      <w:sz w:val="18"/>
                      <w:szCs w:val="18"/>
                      <w:lang w:val="en-US" w:eastAsia="zh-CN"/>
                    </w:rPr>
                    <w:t>3000</w:t>
                  </w:r>
                </w:p>
              </w:tc>
            </w:tr>
            <w:tr w14:paraId="1CB7ED7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342" w:type="pct"/>
                  <w:vMerge w:val="continue"/>
                  <w:vAlign w:val="center"/>
                </w:tcPr>
                <w:p w14:paraId="09F82B32">
                  <w:pPr>
                    <w:pStyle w:val="656"/>
                    <w:snapToGrid w:val="0"/>
                    <w:rPr>
                      <w:rFonts w:hint="eastAsia" w:eastAsia="宋体"/>
                      <w:color w:val="auto"/>
                      <w:sz w:val="18"/>
                      <w:szCs w:val="18"/>
                      <w:lang w:val="en-US" w:eastAsia="zh-CN"/>
                    </w:rPr>
                  </w:pPr>
                </w:p>
              </w:tc>
              <w:tc>
                <w:tcPr>
                  <w:tcW w:w="477" w:type="pct"/>
                  <w:vMerge w:val="continue"/>
                  <w:vAlign w:val="center"/>
                </w:tcPr>
                <w:p w14:paraId="09F8F780">
                  <w:pPr>
                    <w:pStyle w:val="656"/>
                    <w:snapToGrid w:val="0"/>
                    <w:rPr>
                      <w:rFonts w:hint="default" w:eastAsia="宋体"/>
                      <w:color w:val="auto"/>
                      <w:sz w:val="18"/>
                      <w:szCs w:val="18"/>
                      <w:lang w:val="en-US" w:eastAsia="zh-CN"/>
                    </w:rPr>
                  </w:pPr>
                </w:p>
              </w:tc>
              <w:tc>
                <w:tcPr>
                  <w:tcW w:w="537" w:type="pct"/>
                  <w:shd w:val="clear" w:color="auto" w:fill="auto"/>
                  <w:vAlign w:val="center"/>
                </w:tcPr>
                <w:p w14:paraId="49D14C86">
                  <w:pPr>
                    <w:pStyle w:val="656"/>
                    <w:snapToGrid w:val="0"/>
                    <w:rPr>
                      <w:rFonts w:hint="eastAsia" w:eastAsia="宋体"/>
                      <w:color w:val="auto"/>
                      <w:sz w:val="18"/>
                      <w:szCs w:val="18"/>
                      <w:lang w:val="en-US" w:eastAsia="zh-CN"/>
                    </w:rPr>
                  </w:pPr>
                  <w:r>
                    <w:rPr>
                      <w:rFonts w:hint="eastAsia" w:eastAsia="宋体"/>
                      <w:color w:val="auto"/>
                      <w:sz w:val="18"/>
                      <w:szCs w:val="18"/>
                      <w:lang w:val="en-US" w:eastAsia="zh-CN"/>
                    </w:rPr>
                    <w:t>乙苯</w:t>
                  </w:r>
                </w:p>
              </w:tc>
              <w:tc>
                <w:tcPr>
                  <w:tcW w:w="512" w:type="pct"/>
                  <w:shd w:val="clear" w:color="auto" w:fill="auto"/>
                  <w:vAlign w:val="center"/>
                </w:tcPr>
                <w:p w14:paraId="4F3F7D17">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0.00063</w:t>
                  </w:r>
                </w:p>
              </w:tc>
              <w:tc>
                <w:tcPr>
                  <w:tcW w:w="454" w:type="pct"/>
                  <w:shd w:val="clear" w:color="auto" w:fill="auto"/>
                  <w:vAlign w:val="center"/>
                </w:tcPr>
                <w:p w14:paraId="76FA23AF">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0.0019</w:t>
                  </w:r>
                </w:p>
              </w:tc>
              <w:tc>
                <w:tcPr>
                  <w:tcW w:w="697" w:type="pct"/>
                  <w:shd w:val="clear" w:color="auto" w:fill="auto"/>
                  <w:vAlign w:val="center"/>
                </w:tcPr>
                <w:p w14:paraId="6E89B7A8">
                  <w:pPr>
                    <w:adjustRightInd w:val="0"/>
                    <w:snapToGrid w:val="0"/>
                    <w:jc w:val="center"/>
                    <w:rPr>
                      <w:rFonts w:hint="eastAsia"/>
                      <w:color w:val="auto"/>
                      <w:sz w:val="18"/>
                      <w:szCs w:val="18"/>
                      <w:lang w:val="en-US" w:eastAsia="zh-CN"/>
                    </w:rPr>
                  </w:pPr>
                  <w:r>
                    <w:rPr>
                      <w:rFonts w:hint="eastAsia"/>
                      <w:color w:val="auto"/>
                      <w:sz w:val="18"/>
                      <w:szCs w:val="18"/>
                      <w:lang w:val="en-US" w:eastAsia="zh-CN"/>
                    </w:rPr>
                    <w:t>--</w:t>
                  </w:r>
                </w:p>
              </w:tc>
              <w:tc>
                <w:tcPr>
                  <w:tcW w:w="697" w:type="pct"/>
                  <w:shd w:val="clear" w:color="auto" w:fill="auto"/>
                  <w:vAlign w:val="center"/>
                </w:tcPr>
                <w:p w14:paraId="269FB89C">
                  <w:pPr>
                    <w:adjustRightInd w:val="0"/>
                    <w:snapToGrid w:val="0"/>
                    <w:jc w:val="center"/>
                    <w:rPr>
                      <w:rFonts w:hint="eastAsia"/>
                      <w:color w:val="auto"/>
                      <w:sz w:val="18"/>
                      <w:szCs w:val="18"/>
                      <w:lang w:val="en-US" w:eastAsia="zh-CN"/>
                    </w:rPr>
                  </w:pPr>
                  <w:r>
                    <w:rPr>
                      <w:rFonts w:hint="eastAsia"/>
                      <w:color w:val="auto"/>
                      <w:sz w:val="18"/>
                      <w:szCs w:val="18"/>
                      <w:lang w:val="en-US" w:eastAsia="zh-CN"/>
                    </w:rPr>
                    <w:t>--</w:t>
                  </w:r>
                </w:p>
              </w:tc>
              <w:tc>
                <w:tcPr>
                  <w:tcW w:w="462" w:type="pct"/>
                  <w:shd w:val="clear" w:color="auto" w:fill="auto"/>
                  <w:vAlign w:val="center"/>
                </w:tcPr>
                <w:p w14:paraId="15709EEB">
                  <w:pPr>
                    <w:pStyle w:val="656"/>
                    <w:snapToGrid w:val="0"/>
                    <w:rPr>
                      <w:rFonts w:hint="eastAsia" w:eastAsia="宋体"/>
                      <w:color w:val="auto"/>
                      <w:sz w:val="18"/>
                      <w:szCs w:val="18"/>
                      <w:lang w:val="en-US" w:eastAsia="zh-CN"/>
                    </w:rPr>
                  </w:pPr>
                  <w:r>
                    <w:rPr>
                      <w:rFonts w:hint="eastAsia" w:eastAsia="宋体"/>
                      <w:color w:val="auto"/>
                      <w:sz w:val="18"/>
                      <w:szCs w:val="18"/>
                      <w:lang w:val="en-US" w:eastAsia="zh-CN"/>
                    </w:rPr>
                    <w:t>0.00063</w:t>
                  </w:r>
                </w:p>
              </w:tc>
              <w:tc>
                <w:tcPr>
                  <w:tcW w:w="450" w:type="pct"/>
                  <w:shd w:val="clear" w:color="auto" w:fill="auto"/>
                  <w:vAlign w:val="center"/>
                </w:tcPr>
                <w:p w14:paraId="3EA35998">
                  <w:pPr>
                    <w:pStyle w:val="656"/>
                    <w:snapToGrid w:val="0"/>
                    <w:rPr>
                      <w:rFonts w:hint="eastAsia" w:eastAsia="宋体"/>
                      <w:color w:val="auto"/>
                      <w:sz w:val="18"/>
                      <w:szCs w:val="18"/>
                      <w:lang w:val="en-US" w:eastAsia="zh-CN"/>
                    </w:rPr>
                  </w:pPr>
                  <w:r>
                    <w:rPr>
                      <w:rFonts w:hint="eastAsia" w:eastAsia="宋体"/>
                      <w:color w:val="auto"/>
                      <w:sz w:val="18"/>
                      <w:szCs w:val="18"/>
                      <w:lang w:val="en-US" w:eastAsia="zh-CN"/>
                    </w:rPr>
                    <w:t>0.0019</w:t>
                  </w:r>
                </w:p>
              </w:tc>
              <w:tc>
                <w:tcPr>
                  <w:tcW w:w="367" w:type="pct"/>
                  <w:vAlign w:val="center"/>
                </w:tcPr>
                <w:p w14:paraId="40A6C9A2">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eastAsia="宋体"/>
                      <w:color w:val="auto"/>
                      <w:sz w:val="18"/>
                      <w:szCs w:val="18"/>
                      <w:lang w:val="en-US" w:eastAsia="zh-CN"/>
                    </w:rPr>
                  </w:pPr>
                  <w:r>
                    <w:rPr>
                      <w:rFonts w:hint="eastAsia" w:eastAsia="宋体"/>
                      <w:color w:val="auto"/>
                      <w:sz w:val="18"/>
                      <w:szCs w:val="18"/>
                      <w:lang w:val="en-US" w:eastAsia="zh-CN"/>
                    </w:rPr>
                    <w:t>3000</w:t>
                  </w:r>
                </w:p>
              </w:tc>
            </w:tr>
            <w:tr w14:paraId="015DD8D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342" w:type="pct"/>
                  <w:vMerge w:val="continue"/>
                  <w:vAlign w:val="center"/>
                </w:tcPr>
                <w:p w14:paraId="18CB0732">
                  <w:pPr>
                    <w:pStyle w:val="656"/>
                    <w:snapToGrid w:val="0"/>
                    <w:rPr>
                      <w:rFonts w:hint="eastAsia" w:eastAsia="宋体"/>
                      <w:color w:val="auto"/>
                      <w:sz w:val="18"/>
                      <w:szCs w:val="18"/>
                      <w:lang w:val="en-US" w:eastAsia="zh-CN"/>
                    </w:rPr>
                  </w:pPr>
                </w:p>
              </w:tc>
              <w:tc>
                <w:tcPr>
                  <w:tcW w:w="477" w:type="pct"/>
                  <w:vMerge w:val="continue"/>
                  <w:vAlign w:val="center"/>
                </w:tcPr>
                <w:p w14:paraId="27C0A537">
                  <w:pPr>
                    <w:pStyle w:val="656"/>
                    <w:snapToGrid w:val="0"/>
                    <w:rPr>
                      <w:rFonts w:hint="default" w:eastAsia="宋体"/>
                      <w:color w:val="auto"/>
                      <w:sz w:val="18"/>
                      <w:szCs w:val="18"/>
                      <w:lang w:val="en-US" w:eastAsia="zh-CN"/>
                    </w:rPr>
                  </w:pPr>
                </w:p>
              </w:tc>
              <w:tc>
                <w:tcPr>
                  <w:tcW w:w="537" w:type="pct"/>
                  <w:shd w:val="clear" w:color="auto" w:fill="auto"/>
                  <w:vAlign w:val="center"/>
                </w:tcPr>
                <w:p w14:paraId="73885DFB">
                  <w:pPr>
                    <w:pStyle w:val="656"/>
                    <w:snapToGrid w:val="0"/>
                    <w:rPr>
                      <w:rFonts w:hint="eastAsia" w:eastAsia="宋体"/>
                      <w:color w:val="auto"/>
                      <w:sz w:val="18"/>
                      <w:szCs w:val="18"/>
                      <w:lang w:val="en-US" w:eastAsia="zh-CN"/>
                    </w:rPr>
                  </w:pPr>
                  <w:r>
                    <w:rPr>
                      <w:rFonts w:hint="eastAsia" w:eastAsia="宋体"/>
                      <w:color w:val="auto"/>
                      <w:sz w:val="18"/>
                      <w:szCs w:val="18"/>
                      <w:lang w:val="en-US" w:eastAsia="zh-CN"/>
                    </w:rPr>
                    <w:t>三甲苯</w:t>
                  </w:r>
                </w:p>
              </w:tc>
              <w:tc>
                <w:tcPr>
                  <w:tcW w:w="512" w:type="pct"/>
                  <w:shd w:val="clear" w:color="auto" w:fill="auto"/>
                  <w:vAlign w:val="center"/>
                </w:tcPr>
                <w:p w14:paraId="4DB28039">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0.00067</w:t>
                  </w:r>
                </w:p>
              </w:tc>
              <w:tc>
                <w:tcPr>
                  <w:tcW w:w="454" w:type="pct"/>
                  <w:shd w:val="clear" w:color="auto" w:fill="auto"/>
                  <w:vAlign w:val="center"/>
                </w:tcPr>
                <w:p w14:paraId="2DF0C2E3">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0.002</w:t>
                  </w:r>
                </w:p>
              </w:tc>
              <w:tc>
                <w:tcPr>
                  <w:tcW w:w="697" w:type="pct"/>
                  <w:shd w:val="clear" w:color="auto" w:fill="auto"/>
                  <w:vAlign w:val="center"/>
                </w:tcPr>
                <w:p w14:paraId="7BA13C2C">
                  <w:pPr>
                    <w:adjustRightInd w:val="0"/>
                    <w:snapToGrid w:val="0"/>
                    <w:jc w:val="center"/>
                    <w:rPr>
                      <w:rFonts w:hint="eastAsia"/>
                      <w:color w:val="auto"/>
                      <w:sz w:val="18"/>
                      <w:szCs w:val="18"/>
                      <w:lang w:val="en-US" w:eastAsia="zh-CN"/>
                    </w:rPr>
                  </w:pPr>
                  <w:r>
                    <w:rPr>
                      <w:rFonts w:hint="eastAsia"/>
                      <w:color w:val="auto"/>
                      <w:sz w:val="18"/>
                      <w:szCs w:val="18"/>
                      <w:lang w:val="en-US" w:eastAsia="zh-CN"/>
                    </w:rPr>
                    <w:t>--</w:t>
                  </w:r>
                </w:p>
              </w:tc>
              <w:tc>
                <w:tcPr>
                  <w:tcW w:w="697" w:type="pct"/>
                  <w:shd w:val="clear" w:color="auto" w:fill="auto"/>
                  <w:vAlign w:val="center"/>
                </w:tcPr>
                <w:p w14:paraId="0CBE81B8">
                  <w:pPr>
                    <w:adjustRightInd w:val="0"/>
                    <w:snapToGrid w:val="0"/>
                    <w:jc w:val="center"/>
                    <w:rPr>
                      <w:rFonts w:hint="eastAsia"/>
                      <w:color w:val="auto"/>
                      <w:sz w:val="18"/>
                      <w:szCs w:val="18"/>
                      <w:lang w:val="en-US" w:eastAsia="zh-CN"/>
                    </w:rPr>
                  </w:pPr>
                  <w:r>
                    <w:rPr>
                      <w:rFonts w:hint="eastAsia"/>
                      <w:color w:val="auto"/>
                      <w:sz w:val="18"/>
                      <w:szCs w:val="18"/>
                      <w:lang w:val="en-US" w:eastAsia="zh-CN"/>
                    </w:rPr>
                    <w:t>--</w:t>
                  </w:r>
                </w:p>
              </w:tc>
              <w:tc>
                <w:tcPr>
                  <w:tcW w:w="462" w:type="pct"/>
                  <w:shd w:val="clear" w:color="auto" w:fill="auto"/>
                  <w:vAlign w:val="center"/>
                </w:tcPr>
                <w:p w14:paraId="4F0A5B8B">
                  <w:pPr>
                    <w:pStyle w:val="656"/>
                    <w:snapToGrid w:val="0"/>
                    <w:rPr>
                      <w:rFonts w:hint="eastAsia" w:eastAsia="宋体"/>
                      <w:color w:val="auto"/>
                      <w:sz w:val="18"/>
                      <w:szCs w:val="18"/>
                      <w:lang w:val="en-US" w:eastAsia="zh-CN"/>
                    </w:rPr>
                  </w:pPr>
                  <w:r>
                    <w:rPr>
                      <w:rFonts w:hint="eastAsia" w:eastAsia="宋体"/>
                      <w:color w:val="auto"/>
                      <w:sz w:val="18"/>
                      <w:szCs w:val="18"/>
                      <w:lang w:val="en-US" w:eastAsia="zh-CN"/>
                    </w:rPr>
                    <w:t>0.00067</w:t>
                  </w:r>
                </w:p>
              </w:tc>
              <w:tc>
                <w:tcPr>
                  <w:tcW w:w="450" w:type="pct"/>
                  <w:shd w:val="clear" w:color="auto" w:fill="auto"/>
                  <w:vAlign w:val="center"/>
                </w:tcPr>
                <w:p w14:paraId="338DED79">
                  <w:pPr>
                    <w:pStyle w:val="656"/>
                    <w:snapToGrid w:val="0"/>
                    <w:rPr>
                      <w:rFonts w:hint="eastAsia" w:eastAsia="宋体"/>
                      <w:color w:val="auto"/>
                      <w:sz w:val="18"/>
                      <w:szCs w:val="18"/>
                      <w:lang w:val="en-US" w:eastAsia="zh-CN"/>
                    </w:rPr>
                  </w:pPr>
                  <w:r>
                    <w:rPr>
                      <w:rFonts w:hint="eastAsia" w:eastAsia="宋体"/>
                      <w:color w:val="auto"/>
                      <w:sz w:val="18"/>
                      <w:szCs w:val="18"/>
                      <w:lang w:val="en-US" w:eastAsia="zh-CN"/>
                    </w:rPr>
                    <w:t>0.002</w:t>
                  </w:r>
                </w:p>
              </w:tc>
              <w:tc>
                <w:tcPr>
                  <w:tcW w:w="367" w:type="pct"/>
                  <w:vAlign w:val="center"/>
                </w:tcPr>
                <w:p w14:paraId="727E7273">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eastAsia="宋体"/>
                      <w:color w:val="auto"/>
                      <w:sz w:val="18"/>
                      <w:szCs w:val="18"/>
                      <w:lang w:val="en-US" w:eastAsia="zh-CN"/>
                    </w:rPr>
                  </w:pPr>
                  <w:r>
                    <w:rPr>
                      <w:rFonts w:hint="eastAsia" w:eastAsia="宋体"/>
                      <w:color w:val="auto"/>
                      <w:sz w:val="18"/>
                      <w:szCs w:val="18"/>
                      <w:lang w:val="en-US" w:eastAsia="zh-CN"/>
                    </w:rPr>
                    <w:t>3000</w:t>
                  </w:r>
                </w:p>
              </w:tc>
            </w:tr>
            <w:tr w14:paraId="379E5D1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342" w:type="pct"/>
                  <w:vMerge w:val="continue"/>
                  <w:vAlign w:val="center"/>
                </w:tcPr>
                <w:p w14:paraId="679AD9FA">
                  <w:pPr>
                    <w:pStyle w:val="656"/>
                    <w:snapToGrid w:val="0"/>
                    <w:rPr>
                      <w:rFonts w:hint="eastAsia" w:eastAsia="宋体"/>
                      <w:color w:val="auto"/>
                      <w:sz w:val="18"/>
                      <w:szCs w:val="18"/>
                      <w:lang w:val="en-US" w:eastAsia="zh-CN"/>
                    </w:rPr>
                  </w:pPr>
                </w:p>
              </w:tc>
              <w:tc>
                <w:tcPr>
                  <w:tcW w:w="477" w:type="pct"/>
                  <w:vAlign w:val="center"/>
                </w:tcPr>
                <w:p w14:paraId="1A0421A5">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喷枪清洗</w:t>
                  </w:r>
                </w:p>
              </w:tc>
              <w:tc>
                <w:tcPr>
                  <w:tcW w:w="537" w:type="pct"/>
                  <w:shd w:val="clear" w:color="auto" w:fill="auto"/>
                  <w:vAlign w:val="center"/>
                </w:tcPr>
                <w:p w14:paraId="155D2537">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非甲烷总烃</w:t>
                  </w:r>
                </w:p>
              </w:tc>
              <w:tc>
                <w:tcPr>
                  <w:tcW w:w="512" w:type="pct"/>
                  <w:shd w:val="clear" w:color="auto" w:fill="auto"/>
                  <w:vAlign w:val="center"/>
                </w:tcPr>
                <w:p w14:paraId="28B83BC9">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0.000067</w:t>
                  </w:r>
                </w:p>
              </w:tc>
              <w:tc>
                <w:tcPr>
                  <w:tcW w:w="454" w:type="pct"/>
                  <w:shd w:val="clear" w:color="auto" w:fill="auto"/>
                  <w:vAlign w:val="center"/>
                </w:tcPr>
                <w:p w14:paraId="33DE7C5D">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0.0002</w:t>
                  </w:r>
                </w:p>
              </w:tc>
              <w:tc>
                <w:tcPr>
                  <w:tcW w:w="697" w:type="pct"/>
                  <w:shd w:val="clear" w:color="auto" w:fill="auto"/>
                  <w:vAlign w:val="center"/>
                </w:tcPr>
                <w:p w14:paraId="016D2F08">
                  <w:pPr>
                    <w:adjustRightInd w:val="0"/>
                    <w:snapToGrid w:val="0"/>
                    <w:jc w:val="center"/>
                    <w:rPr>
                      <w:rFonts w:hint="eastAsia" w:ascii="Times New Roman" w:hAnsi="Times New Roman" w:eastAsia="宋体" w:cs="Times New Roman"/>
                      <w:snapToGrid w:val="0"/>
                      <w:color w:val="auto"/>
                      <w:kern w:val="2"/>
                      <w:sz w:val="18"/>
                      <w:szCs w:val="18"/>
                      <w:lang w:val="en-US" w:eastAsia="zh-CN" w:bidi="ar-SA"/>
                    </w:rPr>
                  </w:pPr>
                  <w:r>
                    <w:rPr>
                      <w:rFonts w:hint="eastAsia"/>
                      <w:color w:val="auto"/>
                      <w:sz w:val="18"/>
                      <w:szCs w:val="18"/>
                      <w:lang w:val="en-US" w:eastAsia="zh-CN"/>
                    </w:rPr>
                    <w:t>--</w:t>
                  </w:r>
                </w:p>
              </w:tc>
              <w:tc>
                <w:tcPr>
                  <w:tcW w:w="697" w:type="pct"/>
                  <w:shd w:val="clear" w:color="auto" w:fill="auto"/>
                  <w:vAlign w:val="center"/>
                </w:tcPr>
                <w:p w14:paraId="7C306EDB">
                  <w:pPr>
                    <w:adjustRightInd w:val="0"/>
                    <w:snapToGrid w:val="0"/>
                    <w:jc w:val="center"/>
                    <w:rPr>
                      <w:rFonts w:hint="eastAsia" w:ascii="Times New Roman" w:hAnsi="Times New Roman" w:eastAsia="宋体" w:cs="Times New Roman"/>
                      <w:snapToGrid w:val="0"/>
                      <w:color w:val="auto"/>
                      <w:kern w:val="2"/>
                      <w:sz w:val="18"/>
                      <w:szCs w:val="18"/>
                      <w:lang w:val="en-US" w:eastAsia="zh-CN" w:bidi="ar-SA"/>
                    </w:rPr>
                  </w:pPr>
                  <w:r>
                    <w:rPr>
                      <w:rFonts w:hint="eastAsia"/>
                      <w:color w:val="auto"/>
                      <w:sz w:val="18"/>
                      <w:szCs w:val="18"/>
                      <w:lang w:val="en-US" w:eastAsia="zh-CN"/>
                    </w:rPr>
                    <w:t>--</w:t>
                  </w:r>
                </w:p>
              </w:tc>
              <w:tc>
                <w:tcPr>
                  <w:tcW w:w="462" w:type="pct"/>
                  <w:shd w:val="clear" w:color="auto" w:fill="auto"/>
                  <w:vAlign w:val="center"/>
                </w:tcPr>
                <w:p w14:paraId="08E281D7">
                  <w:pPr>
                    <w:pStyle w:val="656"/>
                    <w:snapToGrid w:val="0"/>
                    <w:rPr>
                      <w:rFonts w:hint="eastAsia" w:ascii="Times New Roman" w:hAnsi="Times New Roman" w:eastAsia="宋体" w:cs="Times New Roman"/>
                      <w:snapToGrid w:val="0"/>
                      <w:color w:val="auto"/>
                      <w:kern w:val="2"/>
                      <w:sz w:val="18"/>
                      <w:szCs w:val="18"/>
                      <w:lang w:val="en-US" w:eastAsia="zh-CN" w:bidi="ar-SA"/>
                    </w:rPr>
                  </w:pPr>
                  <w:r>
                    <w:rPr>
                      <w:rFonts w:hint="eastAsia" w:eastAsia="宋体"/>
                      <w:color w:val="auto"/>
                      <w:sz w:val="18"/>
                      <w:szCs w:val="18"/>
                      <w:lang w:val="en-US" w:eastAsia="zh-CN"/>
                    </w:rPr>
                    <w:t>0.000067</w:t>
                  </w:r>
                </w:p>
              </w:tc>
              <w:tc>
                <w:tcPr>
                  <w:tcW w:w="450" w:type="pct"/>
                  <w:shd w:val="clear" w:color="auto" w:fill="auto"/>
                  <w:vAlign w:val="center"/>
                </w:tcPr>
                <w:p w14:paraId="105A156A">
                  <w:pPr>
                    <w:pStyle w:val="656"/>
                    <w:snapToGrid w:val="0"/>
                    <w:rPr>
                      <w:rFonts w:hint="eastAsia" w:ascii="Times New Roman" w:hAnsi="Times New Roman" w:eastAsia="宋体" w:cs="Times New Roman"/>
                      <w:snapToGrid w:val="0"/>
                      <w:color w:val="auto"/>
                      <w:kern w:val="2"/>
                      <w:sz w:val="18"/>
                      <w:szCs w:val="18"/>
                      <w:lang w:val="en-US" w:eastAsia="zh-CN" w:bidi="ar-SA"/>
                    </w:rPr>
                  </w:pPr>
                  <w:r>
                    <w:rPr>
                      <w:rFonts w:hint="eastAsia" w:eastAsia="宋体"/>
                      <w:color w:val="auto"/>
                      <w:sz w:val="18"/>
                      <w:szCs w:val="18"/>
                      <w:lang w:val="en-US" w:eastAsia="zh-CN"/>
                    </w:rPr>
                    <w:t>0.0002</w:t>
                  </w:r>
                </w:p>
              </w:tc>
              <w:tc>
                <w:tcPr>
                  <w:tcW w:w="367" w:type="pct"/>
                  <w:vAlign w:val="center"/>
                </w:tcPr>
                <w:p w14:paraId="4768031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eastAsia="宋体"/>
                      <w:color w:val="auto"/>
                      <w:sz w:val="18"/>
                      <w:szCs w:val="18"/>
                      <w:lang w:val="en-US" w:eastAsia="zh-CN"/>
                    </w:rPr>
                  </w:pPr>
                  <w:r>
                    <w:rPr>
                      <w:rFonts w:hint="eastAsia"/>
                      <w:color w:val="auto"/>
                      <w:sz w:val="18"/>
                      <w:szCs w:val="18"/>
                      <w:lang w:val="en-US" w:eastAsia="zh-CN"/>
                    </w:rPr>
                    <w:t>3000</w:t>
                  </w:r>
                </w:p>
              </w:tc>
            </w:tr>
            <w:tr w14:paraId="5F939D5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5000" w:type="pct"/>
                  <w:gridSpan w:val="10"/>
                  <w:vAlign w:val="center"/>
                </w:tcPr>
                <w:p w14:paraId="678305CD">
                  <w:pPr>
                    <w:keepNext w:val="0"/>
                    <w:keepLines w:val="0"/>
                    <w:pageBreakBefore w:val="0"/>
                    <w:widowControl w:val="0"/>
                    <w:kinsoku/>
                    <w:wordWrap/>
                    <w:overflowPunct/>
                    <w:topLinePunct w:val="0"/>
                    <w:autoSpaceDE/>
                    <w:autoSpaceDN/>
                    <w:bidi w:val="0"/>
                    <w:adjustRightInd w:val="0"/>
                    <w:snapToGrid w:val="0"/>
                    <w:jc w:val="left"/>
                    <w:textAlignment w:val="auto"/>
                    <w:rPr>
                      <w:rFonts w:hint="eastAsia" w:eastAsia="宋体"/>
                      <w:color w:val="auto"/>
                      <w:sz w:val="18"/>
                      <w:szCs w:val="18"/>
                      <w:lang w:val="en-US" w:eastAsia="zh-CN"/>
                    </w:rPr>
                  </w:pPr>
                  <w:r>
                    <w:rPr>
                      <w:rFonts w:hint="eastAsia" w:eastAsia="宋体" w:cs="Times New Roman"/>
                      <w:color w:val="auto"/>
                      <w:sz w:val="18"/>
                      <w:szCs w:val="18"/>
                      <w:lang w:val="en-US" w:eastAsia="zh-CN"/>
                    </w:rPr>
                    <w:t>注：非甲烷总烃中包含苯系物（其中包括二甲苯、乙苯、三甲苯）。</w:t>
                  </w:r>
                </w:p>
              </w:tc>
            </w:tr>
          </w:tbl>
          <w:p w14:paraId="2B1509A8">
            <w:pPr>
              <w:keepNext w:val="0"/>
              <w:keepLines w:val="0"/>
              <w:pageBreakBefore w:val="0"/>
              <w:widowControl w:val="0"/>
              <w:kinsoku/>
              <w:wordWrap/>
              <w:overflowPunct/>
              <w:topLinePunct w:val="0"/>
              <w:autoSpaceDE/>
              <w:autoSpaceDN/>
              <w:bidi w:val="0"/>
              <w:adjustRightInd w:val="0"/>
              <w:snapToGrid w:val="0"/>
              <w:spacing w:line="360" w:lineRule="auto"/>
              <w:textAlignment w:val="auto"/>
              <w:rPr>
                <w:b/>
                <w:color w:val="auto"/>
                <w:kern w:val="0"/>
                <w:sz w:val="21"/>
                <w:szCs w:val="21"/>
              </w:rPr>
            </w:pPr>
          </w:p>
        </w:tc>
      </w:tr>
    </w:tbl>
    <w:p w14:paraId="48924E2A">
      <w:pPr>
        <w:pStyle w:val="55"/>
        <w:rPr>
          <w:color w:val="auto"/>
        </w:rPr>
        <w:sectPr>
          <w:pgSz w:w="16840" w:h="11907" w:orient="landscape"/>
          <w:pgMar w:top="1361" w:right="1418" w:bottom="1361" w:left="1418" w:header="851" w:footer="851" w:gutter="0"/>
          <w:pgBorders>
            <w:top w:val="none" w:sz="0" w:space="0"/>
            <w:left w:val="none" w:sz="0" w:space="0"/>
            <w:bottom w:val="none" w:sz="0" w:space="0"/>
            <w:right w:val="none" w:sz="0" w:space="0"/>
          </w:pgBorders>
          <w:cols w:space="720" w:num="1"/>
          <w:docGrid w:linePitch="312" w:charSpace="0"/>
        </w:sectPr>
      </w:pPr>
    </w:p>
    <w:tbl>
      <w:tblPr>
        <w:tblStyle w:val="59"/>
        <w:tblW w:w="5173"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67"/>
        <w:gridCol w:w="9077"/>
      </w:tblGrid>
      <w:tr w14:paraId="57C0BBC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931" w:hRule="atLeast"/>
          <w:jc w:val="center"/>
        </w:trPr>
        <w:tc>
          <w:tcPr>
            <w:tcW w:w="294" w:type="pct"/>
            <w:tcMar>
              <w:left w:w="28" w:type="dxa"/>
              <w:right w:w="28" w:type="dxa"/>
            </w:tcMar>
            <w:vAlign w:val="center"/>
          </w:tcPr>
          <w:p w14:paraId="51D262AB">
            <w:pPr>
              <w:adjustRightInd w:val="0"/>
              <w:snapToGrid w:val="0"/>
              <w:jc w:val="center"/>
              <w:rPr>
                <w:b/>
                <w:color w:val="auto"/>
                <w:kern w:val="0"/>
              </w:rPr>
            </w:pPr>
            <w:r>
              <w:rPr>
                <w:b/>
                <w:bCs/>
                <w:color w:val="auto"/>
                <w:kern w:val="0"/>
              </w:rPr>
              <w:t>运营期环境影响和保护措施</w:t>
            </w:r>
          </w:p>
        </w:tc>
        <w:tc>
          <w:tcPr>
            <w:tcW w:w="4705" w:type="pct"/>
            <w:vAlign w:val="center"/>
          </w:tcPr>
          <w:p w14:paraId="23BCFAC3">
            <w:pPr>
              <w:adjustRightInd w:val="0"/>
              <w:snapToGrid w:val="0"/>
              <w:spacing w:line="360" w:lineRule="auto"/>
              <w:rPr>
                <w:b/>
                <w:color w:val="auto"/>
                <w:kern w:val="0"/>
              </w:rPr>
            </w:pPr>
            <w:r>
              <w:rPr>
                <w:rFonts w:hint="eastAsia"/>
                <w:b/>
                <w:color w:val="auto"/>
                <w:kern w:val="0"/>
              </w:rPr>
              <w:t>源强核算</w:t>
            </w:r>
          </w:p>
          <w:p w14:paraId="76BFC36E">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textAlignment w:val="auto"/>
              <w:rPr>
                <w:rFonts w:hint="default" w:eastAsia="宋体"/>
                <w:b/>
                <w:bCs/>
                <w:color w:val="auto"/>
                <w:kern w:val="0"/>
                <w:lang w:val="en-US" w:eastAsia="zh-CN"/>
              </w:rPr>
            </w:pPr>
            <w:r>
              <w:rPr>
                <w:rFonts w:hint="eastAsia"/>
                <w:b/>
                <w:bCs/>
                <w:color w:val="auto"/>
                <w:kern w:val="0"/>
                <w:lang w:val="en-US" w:eastAsia="zh-CN"/>
              </w:rPr>
              <w:t>喷砂粉尘</w:t>
            </w:r>
          </w:p>
          <w:p w14:paraId="2B66CEF9">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color w:val="auto"/>
                <w:kern w:val="0"/>
                <w:lang w:val="en-US" w:eastAsia="zh-CN"/>
              </w:rPr>
            </w:pPr>
            <w:r>
              <w:rPr>
                <w:rFonts w:hint="eastAsia" w:cs="Times New Roman"/>
                <w:color w:val="auto"/>
                <w:kern w:val="0"/>
                <w:lang w:val="en-US" w:eastAsia="zh-CN"/>
              </w:rPr>
              <w:t>参考</w:t>
            </w:r>
            <w:r>
              <w:rPr>
                <w:rFonts w:hint="eastAsia"/>
                <w:color w:val="auto"/>
                <w:kern w:val="0"/>
                <w:lang w:val="en-US" w:eastAsia="zh-CN"/>
              </w:rPr>
              <w:t>《排放源统计调查产排污核算方法和系数手册》中“机械行业系数手册”中“06 预处理”中“喷砂”颗粒物产生量为2.19kg/t-原料，本项目钢砂用量为10t/a，则颗粒物产生量为0.0219t/a。</w:t>
            </w:r>
          </w:p>
          <w:p w14:paraId="61DDCD60">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cs="Times New Roman"/>
                <w:color w:val="auto"/>
                <w:kern w:val="0"/>
                <w:lang w:val="en-US" w:eastAsia="zh-CN"/>
              </w:rPr>
            </w:pPr>
            <w:r>
              <w:rPr>
                <w:rFonts w:hint="eastAsia" w:cs="Times New Roman"/>
                <w:color w:val="auto"/>
                <w:kern w:val="0"/>
                <w:lang w:val="en-US" w:eastAsia="zh-CN"/>
              </w:rPr>
              <w:t>喷砂废气经喷砂房密闭收集，密闭收集效率以98%计，喷砂工序每日工作时间为2h，则喷砂工序年工作时间为600h，则有组织废气产生量约为0.0215t/a，有组织产生速率为0.036kg/h。</w:t>
            </w:r>
          </w:p>
          <w:p w14:paraId="7C855A77">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cs="Times New Roman"/>
                <w:color w:val="auto"/>
                <w:kern w:val="0"/>
                <w:lang w:val="en-US" w:eastAsia="zh-CN"/>
              </w:rPr>
            </w:pPr>
            <w:r>
              <w:rPr>
                <w:rFonts w:hint="eastAsia" w:cs="Times New Roman"/>
                <w:color w:val="auto"/>
                <w:kern w:val="0"/>
                <w:lang w:val="en-US" w:eastAsia="zh-CN"/>
              </w:rPr>
              <w:t>喷砂粉尘</w:t>
            </w:r>
            <w:r>
              <w:rPr>
                <w:rFonts w:hint="eastAsia" w:ascii="Times New Roman" w:hAnsi="Times New Roman" w:eastAsia="宋体" w:cs="Times New Roman"/>
                <w:i w:val="0"/>
                <w:iCs w:val="0"/>
                <w:color w:val="auto"/>
                <w:kern w:val="0"/>
                <w:sz w:val="21"/>
                <w:szCs w:val="21"/>
                <w:highlight w:val="none"/>
                <w:u w:val="none"/>
                <w:lang w:val="en-US" w:eastAsia="zh-CN" w:bidi="ar"/>
              </w:rPr>
              <w:t>收集后通过</w:t>
            </w:r>
            <w:r>
              <w:rPr>
                <w:rFonts w:hint="eastAsia" w:cs="Times New Roman"/>
                <w:i w:val="0"/>
                <w:iCs w:val="0"/>
                <w:color w:val="auto"/>
                <w:kern w:val="0"/>
                <w:sz w:val="21"/>
                <w:szCs w:val="21"/>
                <w:highlight w:val="none"/>
                <w:u w:val="none"/>
                <w:lang w:val="en-US" w:eastAsia="zh-CN" w:bidi="ar"/>
              </w:rPr>
              <w:t>袋式除尘装置</w:t>
            </w:r>
            <w:r>
              <w:rPr>
                <w:rFonts w:hint="eastAsia" w:ascii="Times New Roman" w:hAnsi="Times New Roman" w:eastAsia="宋体" w:cs="Times New Roman"/>
                <w:i w:val="0"/>
                <w:iCs w:val="0"/>
                <w:color w:val="auto"/>
                <w:kern w:val="0"/>
                <w:sz w:val="21"/>
                <w:szCs w:val="21"/>
                <w:highlight w:val="none"/>
                <w:u w:val="none"/>
                <w:lang w:val="en-US" w:eastAsia="zh-CN" w:bidi="ar"/>
              </w:rPr>
              <w:t>处理后由1根</w:t>
            </w:r>
            <w:r>
              <w:rPr>
                <w:rFonts w:hint="eastAsia" w:cs="Times New Roman"/>
                <w:i w:val="0"/>
                <w:iCs w:val="0"/>
                <w:color w:val="auto"/>
                <w:kern w:val="0"/>
                <w:sz w:val="21"/>
                <w:szCs w:val="21"/>
                <w:highlight w:val="none"/>
                <w:u w:val="none"/>
                <w:lang w:val="en-US" w:eastAsia="zh-CN" w:bidi="ar"/>
              </w:rPr>
              <w:t>15</w:t>
            </w:r>
            <w:r>
              <w:rPr>
                <w:rFonts w:hint="eastAsia" w:ascii="Times New Roman" w:hAnsi="Times New Roman" w:eastAsia="宋体" w:cs="Times New Roman"/>
                <w:i w:val="0"/>
                <w:iCs w:val="0"/>
                <w:color w:val="auto"/>
                <w:kern w:val="0"/>
                <w:sz w:val="21"/>
                <w:szCs w:val="21"/>
                <w:highlight w:val="none"/>
                <w:u w:val="none"/>
                <w:lang w:val="en-US" w:eastAsia="zh-CN" w:bidi="ar"/>
              </w:rPr>
              <w:t>米</w:t>
            </w:r>
            <w:r>
              <w:rPr>
                <w:rFonts w:hint="eastAsia" w:cs="Times New Roman"/>
                <w:i w:val="0"/>
                <w:iCs w:val="0"/>
                <w:color w:val="auto"/>
                <w:kern w:val="0"/>
                <w:sz w:val="21"/>
                <w:szCs w:val="21"/>
                <w:highlight w:val="none"/>
                <w:u w:val="none"/>
                <w:lang w:val="en-US" w:eastAsia="zh-CN" w:bidi="ar"/>
              </w:rPr>
              <w:t>高</w:t>
            </w:r>
            <w:r>
              <w:rPr>
                <w:rFonts w:hint="eastAsia" w:ascii="Times New Roman" w:hAnsi="Times New Roman" w:eastAsia="宋体" w:cs="Times New Roman"/>
                <w:i w:val="0"/>
                <w:iCs w:val="0"/>
                <w:color w:val="auto"/>
                <w:kern w:val="0"/>
                <w:sz w:val="21"/>
                <w:szCs w:val="21"/>
                <w:highlight w:val="none"/>
                <w:u w:val="none"/>
                <w:lang w:val="en-US" w:eastAsia="zh-CN" w:bidi="ar"/>
              </w:rPr>
              <w:t>排气筒</w:t>
            </w:r>
            <w:r>
              <w:rPr>
                <w:rFonts w:hint="eastAsia" w:cs="Times New Roman"/>
                <w:i w:val="0"/>
                <w:iCs w:val="0"/>
                <w:color w:val="auto"/>
                <w:kern w:val="0"/>
                <w:sz w:val="21"/>
                <w:szCs w:val="21"/>
                <w:highlight w:val="none"/>
                <w:u w:val="none"/>
                <w:lang w:val="en-US" w:eastAsia="zh-CN" w:bidi="ar"/>
              </w:rPr>
              <w:t>DA001</w:t>
            </w:r>
            <w:r>
              <w:rPr>
                <w:rFonts w:hint="eastAsia" w:ascii="Times New Roman" w:hAnsi="Times New Roman" w:eastAsia="宋体" w:cs="Times New Roman"/>
                <w:i w:val="0"/>
                <w:iCs w:val="0"/>
                <w:color w:val="auto"/>
                <w:kern w:val="0"/>
                <w:sz w:val="21"/>
                <w:szCs w:val="21"/>
                <w:highlight w:val="none"/>
                <w:u w:val="none"/>
                <w:lang w:val="en-US" w:eastAsia="zh-CN" w:bidi="ar"/>
              </w:rPr>
              <w:t>排放，</w:t>
            </w:r>
            <w:r>
              <w:rPr>
                <w:rFonts w:hint="eastAsia" w:cs="Times New Roman"/>
                <w:i w:val="0"/>
                <w:iCs w:val="0"/>
                <w:color w:val="auto"/>
                <w:kern w:val="0"/>
                <w:sz w:val="21"/>
                <w:szCs w:val="21"/>
                <w:highlight w:val="none"/>
                <w:u w:val="none"/>
                <w:lang w:val="en-US" w:eastAsia="zh-CN" w:bidi="ar"/>
              </w:rPr>
              <w:t>废气处理</w:t>
            </w:r>
            <w:r>
              <w:rPr>
                <w:rFonts w:hint="eastAsia" w:ascii="Times New Roman" w:hAnsi="Times New Roman" w:eastAsia="宋体" w:cs="Times New Roman"/>
                <w:i w:val="0"/>
                <w:iCs w:val="0"/>
                <w:color w:val="auto"/>
                <w:kern w:val="0"/>
                <w:sz w:val="21"/>
                <w:szCs w:val="21"/>
                <w:highlight w:val="none"/>
                <w:u w:val="none"/>
                <w:lang w:val="en-US" w:eastAsia="zh-CN" w:bidi="ar"/>
              </w:rPr>
              <w:t>效率</w:t>
            </w:r>
            <w:r>
              <w:rPr>
                <w:rFonts w:hint="eastAsia" w:cs="Times New Roman"/>
                <w:i w:val="0"/>
                <w:iCs w:val="0"/>
                <w:color w:val="auto"/>
                <w:kern w:val="0"/>
                <w:sz w:val="21"/>
                <w:szCs w:val="21"/>
                <w:highlight w:val="none"/>
                <w:u w:val="none"/>
                <w:lang w:val="en-US" w:eastAsia="zh-CN" w:bidi="ar"/>
              </w:rPr>
              <w:t>以</w:t>
            </w:r>
            <w:r>
              <w:rPr>
                <w:rFonts w:hint="eastAsia" w:ascii="Times New Roman" w:hAnsi="Times New Roman" w:eastAsia="宋体" w:cs="Times New Roman"/>
                <w:i w:val="0"/>
                <w:iCs w:val="0"/>
                <w:color w:val="auto"/>
                <w:kern w:val="0"/>
                <w:sz w:val="21"/>
                <w:szCs w:val="21"/>
                <w:highlight w:val="none"/>
                <w:u w:val="none"/>
                <w:lang w:val="en-US" w:eastAsia="zh-CN" w:bidi="ar"/>
              </w:rPr>
              <w:t>9</w:t>
            </w:r>
            <w:r>
              <w:rPr>
                <w:rFonts w:hint="eastAsia" w:cs="Times New Roman"/>
                <w:i w:val="0"/>
                <w:iCs w:val="0"/>
                <w:color w:val="auto"/>
                <w:kern w:val="0"/>
                <w:sz w:val="21"/>
                <w:szCs w:val="21"/>
                <w:highlight w:val="none"/>
                <w:u w:val="none"/>
                <w:lang w:val="en-US" w:eastAsia="zh-CN" w:bidi="ar"/>
              </w:rPr>
              <w:t>5</w:t>
            </w:r>
            <w:r>
              <w:rPr>
                <w:rFonts w:hint="eastAsia" w:ascii="Times New Roman" w:hAnsi="Times New Roman" w:eastAsia="宋体" w:cs="Times New Roman"/>
                <w:i w:val="0"/>
                <w:iCs w:val="0"/>
                <w:color w:val="auto"/>
                <w:kern w:val="0"/>
                <w:sz w:val="21"/>
                <w:szCs w:val="21"/>
                <w:highlight w:val="none"/>
                <w:u w:val="none"/>
                <w:lang w:val="en-US" w:eastAsia="zh-CN" w:bidi="ar"/>
              </w:rPr>
              <w:t>%</w:t>
            </w:r>
            <w:r>
              <w:rPr>
                <w:rFonts w:hint="eastAsia" w:cs="Times New Roman"/>
                <w:i w:val="0"/>
                <w:iCs w:val="0"/>
                <w:color w:val="auto"/>
                <w:kern w:val="0"/>
                <w:sz w:val="21"/>
                <w:szCs w:val="21"/>
                <w:highlight w:val="none"/>
                <w:u w:val="none"/>
                <w:lang w:val="en-US" w:eastAsia="zh-CN" w:bidi="ar"/>
              </w:rPr>
              <w:t>计</w:t>
            </w:r>
            <w:r>
              <w:rPr>
                <w:rFonts w:hint="eastAsia" w:ascii="Times New Roman" w:hAnsi="Times New Roman" w:eastAsia="宋体" w:cs="Times New Roman"/>
                <w:i w:val="0"/>
                <w:iCs w:val="0"/>
                <w:color w:val="auto"/>
                <w:kern w:val="0"/>
                <w:sz w:val="21"/>
                <w:szCs w:val="21"/>
                <w:highlight w:val="none"/>
                <w:u w:val="none"/>
                <w:lang w:val="en-US" w:eastAsia="zh-CN" w:bidi="ar"/>
              </w:rPr>
              <w:t>，则有组织排放量为</w:t>
            </w:r>
            <w:r>
              <w:rPr>
                <w:rFonts w:hint="eastAsia" w:cs="Times New Roman"/>
                <w:i w:val="0"/>
                <w:iCs w:val="0"/>
                <w:color w:val="auto"/>
                <w:kern w:val="0"/>
                <w:sz w:val="21"/>
                <w:szCs w:val="21"/>
                <w:highlight w:val="none"/>
                <w:u w:val="none"/>
                <w:lang w:val="en-US" w:eastAsia="zh-CN" w:bidi="ar"/>
              </w:rPr>
              <w:t>0.0011</w:t>
            </w:r>
            <w:r>
              <w:rPr>
                <w:rFonts w:hint="eastAsia" w:ascii="Times New Roman" w:hAnsi="Times New Roman" w:eastAsia="宋体" w:cs="Times New Roman"/>
                <w:i w:val="0"/>
                <w:iCs w:val="0"/>
                <w:color w:val="auto"/>
                <w:kern w:val="0"/>
                <w:sz w:val="21"/>
                <w:szCs w:val="21"/>
                <w:highlight w:val="none"/>
                <w:u w:val="none"/>
                <w:lang w:val="en-US" w:eastAsia="zh-CN" w:bidi="ar"/>
              </w:rPr>
              <w:t>t/a，</w:t>
            </w:r>
            <w:r>
              <w:rPr>
                <w:rFonts w:hint="eastAsia" w:cs="Times New Roman"/>
                <w:i w:val="0"/>
                <w:iCs w:val="0"/>
                <w:color w:val="auto"/>
                <w:kern w:val="0"/>
                <w:sz w:val="21"/>
                <w:szCs w:val="21"/>
                <w:highlight w:val="none"/>
                <w:u w:val="none"/>
                <w:lang w:val="en-US" w:eastAsia="zh-CN" w:bidi="ar"/>
              </w:rPr>
              <w:t>有组织排放速率为0.0018kg/h；无组织排放量为0.000438t/a，无组织排放速率为0.00073kg/h。</w:t>
            </w:r>
          </w:p>
          <w:p w14:paraId="4C81D418">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textAlignment w:val="auto"/>
              <w:rPr>
                <w:rFonts w:hint="default" w:eastAsia="宋体"/>
                <w:b/>
                <w:bCs/>
                <w:color w:val="auto"/>
                <w:kern w:val="0"/>
                <w:lang w:val="en-US" w:eastAsia="zh-CN"/>
              </w:rPr>
            </w:pPr>
            <w:r>
              <w:rPr>
                <w:rFonts w:hint="eastAsia"/>
                <w:b/>
                <w:bCs/>
                <w:color w:val="auto"/>
                <w:kern w:val="0"/>
                <w:lang w:val="en-US" w:eastAsia="zh-CN"/>
              </w:rPr>
              <w:t>喷锌粉尘</w:t>
            </w:r>
          </w:p>
          <w:p w14:paraId="42ACAD4B">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b w:val="0"/>
                <w:bCs w:val="0"/>
                <w:color w:val="auto"/>
                <w:kern w:val="0"/>
                <w:lang w:val="en-US" w:eastAsia="zh-CN"/>
              </w:rPr>
            </w:pPr>
            <w:r>
              <w:rPr>
                <w:rFonts w:hint="eastAsia"/>
                <w:b w:val="0"/>
                <w:bCs w:val="0"/>
                <w:color w:val="auto"/>
                <w:kern w:val="0"/>
                <w:lang w:val="en-US" w:eastAsia="zh-CN"/>
              </w:rPr>
              <w:t>喷锌工序在密闭的喷锌房内进行，喷涂时通过喷枪形成雾状粉末喷涂在工件表面上，该过程会产生一定量的粉尘。根据《涂装技术实用手册》（叶扬祥、潘肇基：机械工程出版社），喷涂距离在15-20cm之间时，涂装附着率约为75-85%，本项目喷涂效率取80%计算，剩余20%的未附着的在喷涂过程中损耗。损耗中的25%固态组分作为锌粉沉降地面，75%固态组分作为喷锌粉尘。本项目年使用锌丝3t，则喷锌废气产生量约为0.45t/a，废锌粉产生量约为0.15t/a。</w:t>
            </w:r>
          </w:p>
          <w:p w14:paraId="50C77E58">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b w:val="0"/>
                <w:bCs w:val="0"/>
                <w:color w:val="auto"/>
                <w:kern w:val="0"/>
                <w:lang w:val="en-US" w:eastAsia="zh-CN"/>
              </w:rPr>
            </w:pPr>
            <w:r>
              <w:rPr>
                <w:rFonts w:hint="eastAsia"/>
                <w:b w:val="0"/>
                <w:bCs w:val="0"/>
                <w:color w:val="auto"/>
                <w:kern w:val="0"/>
                <w:lang w:val="en-US" w:eastAsia="zh-CN"/>
              </w:rPr>
              <w:t>喷锌废气经喷锌房密闭收集，密闭收集效率以98%计，喷锌工序每日工作时间为2h，则喷锌工序年工作时间为600h，则有组织废气产生量约为0.441t/a，有组织产生速率为0.735kg/h。</w:t>
            </w:r>
          </w:p>
          <w:p w14:paraId="6134D9AC">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b w:val="0"/>
                <w:bCs w:val="0"/>
                <w:color w:val="auto"/>
                <w:kern w:val="0"/>
                <w:lang w:val="en-US" w:eastAsia="zh-CN"/>
              </w:rPr>
            </w:pPr>
            <w:r>
              <w:rPr>
                <w:rFonts w:hint="eastAsia"/>
                <w:b w:val="0"/>
                <w:bCs w:val="0"/>
                <w:color w:val="auto"/>
                <w:kern w:val="0"/>
                <w:lang w:val="en-US" w:eastAsia="zh-CN"/>
              </w:rPr>
              <w:t>喷锌粉尘收集后通过袋式除尘装置处理后由1根15米高排气筒DA001排放，废气处理效率以95%计，则有组织排放量为0.0221t/a，有组织排放速率为0.037kg/h；无组织排放量为0.009t/a，无组织排放速率为0.015kg/h。</w:t>
            </w:r>
          </w:p>
          <w:p w14:paraId="13CDD2F3">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textAlignment w:val="auto"/>
              <w:rPr>
                <w:rFonts w:hint="default" w:eastAsia="宋体"/>
                <w:b/>
                <w:bCs/>
                <w:color w:val="auto"/>
                <w:kern w:val="0"/>
                <w:lang w:val="en-US" w:eastAsia="zh-CN"/>
              </w:rPr>
            </w:pPr>
            <w:r>
              <w:rPr>
                <w:rFonts w:hint="eastAsia"/>
                <w:b/>
                <w:bCs/>
                <w:color w:val="auto"/>
                <w:kern w:val="0"/>
                <w:lang w:val="en-US" w:eastAsia="zh-CN"/>
              </w:rPr>
              <w:t>喷漆废气</w:t>
            </w:r>
          </w:p>
          <w:p w14:paraId="76DAC503">
            <w:pPr>
              <w:adjustRightInd w:val="0"/>
              <w:snapToGrid w:val="0"/>
              <w:spacing w:line="360" w:lineRule="auto"/>
              <w:ind w:firstLine="420" w:firstLineChars="200"/>
              <w:rPr>
                <w:color w:val="auto"/>
                <w:kern w:val="0"/>
              </w:rPr>
            </w:pPr>
            <w:r>
              <w:rPr>
                <w:color w:val="auto"/>
                <w:kern w:val="0"/>
              </w:rPr>
              <w:t>漆料经喷枪雾化形成微粒，其中部分微粒堆积在工件上形成涂膜，部分微粒雾化后形成悬浮物即漆雾，逸散至周围环境中。漆料在调配过程中，工件在喷涂过程中，漆料中的有机溶剂挥发，形成有机废气逸散至周围环境中。本项目表面喷涂环节废气主要来源于调漆、喷涂</w:t>
            </w:r>
            <w:r>
              <w:rPr>
                <w:rFonts w:hint="eastAsia"/>
                <w:color w:val="auto"/>
                <w:kern w:val="0"/>
                <w:lang w:eastAsia="zh-CN"/>
              </w:rPr>
              <w:t>、</w:t>
            </w:r>
            <w:r>
              <w:rPr>
                <w:rFonts w:hint="eastAsia"/>
                <w:color w:val="auto"/>
                <w:kern w:val="0"/>
                <w:lang w:val="en-US" w:eastAsia="zh-CN"/>
              </w:rPr>
              <w:t>晾干</w:t>
            </w:r>
            <w:r>
              <w:rPr>
                <w:color w:val="auto"/>
                <w:kern w:val="0"/>
              </w:rPr>
              <w:t>过程，产生的废气主要为漆雾和有机废气。其中调漆工序产生的废气主要为有机废气（以非甲烷总烃计）</w:t>
            </w:r>
            <w:r>
              <w:rPr>
                <w:rFonts w:hint="eastAsia"/>
                <w:color w:val="auto"/>
                <w:kern w:val="0"/>
                <w:lang w:eastAsia="zh-CN"/>
              </w:rPr>
              <w:t>；</w:t>
            </w:r>
            <w:r>
              <w:rPr>
                <w:color w:val="auto"/>
                <w:kern w:val="0"/>
              </w:rPr>
              <w:t>喷涂工序产生的废气主要为漆雾</w:t>
            </w:r>
            <w:r>
              <w:rPr>
                <w:rFonts w:hint="eastAsia"/>
                <w:color w:val="auto"/>
                <w:kern w:val="0"/>
                <w:lang w:eastAsia="zh-CN"/>
              </w:rPr>
              <w:t>（</w:t>
            </w:r>
            <w:r>
              <w:rPr>
                <w:rFonts w:hint="eastAsia"/>
                <w:color w:val="auto"/>
                <w:kern w:val="0"/>
                <w:lang w:val="en-US" w:eastAsia="zh-CN"/>
              </w:rPr>
              <w:t>以颗粒物计</w:t>
            </w:r>
            <w:r>
              <w:rPr>
                <w:rFonts w:hint="eastAsia"/>
                <w:color w:val="auto"/>
                <w:kern w:val="0"/>
                <w:lang w:eastAsia="zh-CN"/>
              </w:rPr>
              <w:t>）</w:t>
            </w:r>
            <w:r>
              <w:rPr>
                <w:color w:val="auto"/>
                <w:kern w:val="0"/>
              </w:rPr>
              <w:t>和有机废气（以非甲烷总烃计）；</w:t>
            </w:r>
            <w:r>
              <w:rPr>
                <w:rFonts w:hint="eastAsia"/>
                <w:color w:val="auto"/>
                <w:kern w:val="0"/>
                <w:lang w:val="en-US" w:eastAsia="zh-CN"/>
              </w:rPr>
              <w:t>晾干工序产生的废气主要为有机废气（以非甲烷总烃计）</w:t>
            </w:r>
            <w:r>
              <w:rPr>
                <w:color w:val="auto"/>
                <w:kern w:val="0"/>
              </w:rPr>
              <w:t>。</w:t>
            </w:r>
          </w:p>
          <w:p w14:paraId="5AE5CEC8">
            <w:pPr>
              <w:adjustRightInd w:val="0"/>
              <w:snapToGrid w:val="0"/>
              <w:spacing w:line="360" w:lineRule="auto"/>
              <w:ind w:firstLine="420" w:firstLineChars="200"/>
              <w:rPr>
                <w:color w:val="auto"/>
                <w:kern w:val="0"/>
              </w:rPr>
            </w:pPr>
            <w:r>
              <w:rPr>
                <w:rFonts w:hint="eastAsia"/>
                <w:color w:val="auto"/>
                <w:kern w:val="0"/>
                <w:lang w:val="en-US" w:eastAsia="zh-CN"/>
              </w:rPr>
              <w:t>喷漆工序在密闭的喷漆房内进行，密闭</w:t>
            </w:r>
            <w:r>
              <w:rPr>
                <w:color w:val="auto"/>
                <w:kern w:val="0"/>
              </w:rPr>
              <w:t>收集效率</w:t>
            </w:r>
            <w:r>
              <w:rPr>
                <w:rFonts w:hint="eastAsia"/>
                <w:color w:val="auto"/>
                <w:kern w:val="0"/>
                <w:lang w:val="en-US" w:eastAsia="zh-CN"/>
              </w:rPr>
              <w:t>以</w:t>
            </w:r>
            <w:r>
              <w:rPr>
                <w:color w:val="auto"/>
                <w:kern w:val="0"/>
              </w:rPr>
              <w:t>98%</w:t>
            </w:r>
            <w:r>
              <w:rPr>
                <w:rFonts w:hint="eastAsia"/>
                <w:color w:val="auto"/>
                <w:kern w:val="0"/>
                <w:lang w:val="en-US" w:eastAsia="zh-CN"/>
              </w:rPr>
              <w:t>计</w:t>
            </w:r>
            <w:r>
              <w:rPr>
                <w:color w:val="auto"/>
                <w:kern w:val="0"/>
              </w:rPr>
              <w:t>，</w:t>
            </w:r>
            <w:r>
              <w:rPr>
                <w:rFonts w:hint="eastAsia"/>
                <w:color w:val="auto"/>
                <w:kern w:val="0"/>
                <w:lang w:val="en-US" w:eastAsia="zh-CN"/>
              </w:rPr>
              <w:t>喷漆工序每日工作时间为4h，则喷漆工序年工作时间为1200h；晾干工序每日工作时间为10h，则晾干工序年工作时间为3000h。</w:t>
            </w:r>
            <w:r>
              <w:rPr>
                <w:color w:val="auto"/>
                <w:kern w:val="0"/>
              </w:rPr>
              <w:t>漆雾的去除效率</w:t>
            </w:r>
            <w:r>
              <w:rPr>
                <w:rFonts w:hint="eastAsia"/>
                <w:color w:val="auto"/>
                <w:kern w:val="0"/>
                <w:lang w:val="en-US" w:eastAsia="zh-CN"/>
              </w:rPr>
              <w:t>以</w:t>
            </w:r>
            <w:r>
              <w:rPr>
                <w:color w:val="auto"/>
                <w:kern w:val="0"/>
              </w:rPr>
              <w:t>9</w:t>
            </w:r>
            <w:r>
              <w:rPr>
                <w:rFonts w:hint="eastAsia"/>
                <w:color w:val="auto"/>
                <w:kern w:val="0"/>
                <w:lang w:val="en-US" w:eastAsia="zh-CN"/>
              </w:rPr>
              <w:t>0</w:t>
            </w:r>
            <w:r>
              <w:rPr>
                <w:color w:val="auto"/>
                <w:kern w:val="0"/>
              </w:rPr>
              <w:t>%</w:t>
            </w:r>
            <w:r>
              <w:rPr>
                <w:rFonts w:hint="eastAsia"/>
                <w:color w:val="auto"/>
                <w:kern w:val="0"/>
                <w:lang w:val="en-US" w:eastAsia="zh-CN"/>
              </w:rPr>
              <w:t>计</w:t>
            </w:r>
            <w:r>
              <w:rPr>
                <w:color w:val="auto"/>
                <w:kern w:val="0"/>
              </w:rPr>
              <w:t>，有机废气去除效率</w:t>
            </w:r>
            <w:r>
              <w:rPr>
                <w:rFonts w:hint="eastAsia"/>
                <w:color w:val="auto"/>
                <w:kern w:val="0"/>
                <w:lang w:val="en-US" w:eastAsia="zh-CN"/>
              </w:rPr>
              <w:t>以</w:t>
            </w:r>
            <w:r>
              <w:rPr>
                <w:color w:val="auto"/>
                <w:kern w:val="0"/>
              </w:rPr>
              <w:t>9</w:t>
            </w:r>
            <w:r>
              <w:rPr>
                <w:rFonts w:hint="eastAsia"/>
                <w:color w:val="auto"/>
                <w:kern w:val="0"/>
                <w:lang w:val="en-US" w:eastAsia="zh-CN"/>
              </w:rPr>
              <w:t>0</w:t>
            </w:r>
            <w:r>
              <w:rPr>
                <w:color w:val="auto"/>
                <w:kern w:val="0"/>
              </w:rPr>
              <w:t>%</w:t>
            </w:r>
            <w:r>
              <w:rPr>
                <w:rFonts w:hint="eastAsia"/>
                <w:color w:val="auto"/>
                <w:kern w:val="0"/>
                <w:lang w:val="en-US" w:eastAsia="zh-CN"/>
              </w:rPr>
              <w:t>计</w:t>
            </w:r>
            <w:r>
              <w:rPr>
                <w:color w:val="auto"/>
                <w:kern w:val="0"/>
              </w:rPr>
              <w:t>。</w:t>
            </w:r>
            <w:r>
              <w:rPr>
                <w:rFonts w:hint="eastAsia"/>
                <w:color w:val="auto"/>
                <w:kern w:val="0"/>
                <w:lang w:val="en-US" w:eastAsia="zh-CN"/>
              </w:rPr>
              <w:t>喷漆房</w:t>
            </w:r>
            <w:r>
              <w:rPr>
                <w:color w:val="auto"/>
                <w:kern w:val="0"/>
              </w:rPr>
              <w:t>采取负压抽风的方式进行废气收集</w:t>
            </w:r>
            <w:r>
              <w:rPr>
                <w:rFonts w:hint="eastAsia"/>
                <w:color w:val="auto"/>
                <w:kern w:val="0"/>
                <w:lang w:eastAsia="zh-CN"/>
              </w:rPr>
              <w:t>，</w:t>
            </w:r>
            <w:r>
              <w:rPr>
                <w:color w:val="auto"/>
                <w:kern w:val="0"/>
              </w:rPr>
              <w:t>废气收集后进一套</w:t>
            </w:r>
            <w:r>
              <w:rPr>
                <w:rFonts w:hint="eastAsia"/>
                <w:color w:val="auto"/>
                <w:kern w:val="0"/>
              </w:rPr>
              <w:t>“</w:t>
            </w:r>
            <w:r>
              <w:rPr>
                <w:rFonts w:hint="eastAsia"/>
                <w:color w:val="auto"/>
                <w:kern w:val="0"/>
                <w:lang w:val="en-US" w:eastAsia="zh-CN"/>
              </w:rPr>
              <w:t>过滤棉+活性炭吸附装置</w:t>
            </w:r>
            <w:r>
              <w:rPr>
                <w:rFonts w:hint="eastAsia"/>
                <w:color w:val="auto"/>
                <w:kern w:val="0"/>
              </w:rPr>
              <w:t>”</w:t>
            </w:r>
            <w:r>
              <w:rPr>
                <w:color w:val="auto"/>
                <w:kern w:val="0"/>
              </w:rPr>
              <w:t>处理后通过1根</w:t>
            </w:r>
            <w:r>
              <w:rPr>
                <w:rFonts w:hint="eastAsia"/>
                <w:color w:val="auto"/>
                <w:kern w:val="0"/>
                <w:lang w:val="en-US" w:eastAsia="zh-CN"/>
              </w:rPr>
              <w:t>15</w:t>
            </w:r>
            <w:r>
              <w:rPr>
                <w:color w:val="auto"/>
                <w:kern w:val="0"/>
              </w:rPr>
              <w:t>米高排气筒</w:t>
            </w:r>
            <w:r>
              <w:rPr>
                <w:rFonts w:hint="eastAsia"/>
                <w:color w:val="auto"/>
                <w:kern w:val="0"/>
                <w:lang w:val="en-US" w:eastAsia="zh-CN"/>
              </w:rPr>
              <w:t>DA002</w:t>
            </w:r>
            <w:r>
              <w:rPr>
                <w:color w:val="auto"/>
                <w:kern w:val="0"/>
              </w:rPr>
              <w:t>排放。</w:t>
            </w:r>
          </w:p>
          <w:p w14:paraId="22780AB2">
            <w:pPr>
              <w:spacing w:line="360" w:lineRule="auto"/>
              <w:ind w:firstLine="480"/>
              <w:rPr>
                <w:rFonts w:hint="default" w:eastAsia="宋体"/>
                <w:color w:val="auto"/>
                <w:kern w:val="0"/>
                <w:lang w:val="en-US" w:eastAsia="zh-CN"/>
              </w:rPr>
            </w:pPr>
            <w:r>
              <w:rPr>
                <w:rFonts w:hint="eastAsia"/>
                <w:color w:val="auto"/>
                <w:kern w:val="0"/>
                <w:lang w:val="en-US" w:eastAsia="zh-CN"/>
              </w:rPr>
              <w:t>根据环氧底漆MSDS可知，涂料中挥发分13%、固含量87%，本项目施工状态下，环氧底漆需添加稀释剂及固化剂调漆使用，环氧底漆与稀释剂调配比例为10:1、与固化剂调配比例7:1，项目环氧底漆用量为1.5t/a，稀释剂用量为0.15t/a，固化剂用量为0.21t/a，调漆后挥发分约18.1%、固含量约81.9%，则非甲烷总烃产生量为0.336t/a（含苯系物0.31365t/a，苯系物中二甲苯0.26475t/a、乙苯0.03705t/a、三甲苯0.01185t/a），固含量为1.524t/a；</w:t>
            </w:r>
          </w:p>
          <w:p w14:paraId="121CF535">
            <w:pPr>
              <w:spacing w:line="360" w:lineRule="auto"/>
              <w:ind w:firstLine="480"/>
              <w:rPr>
                <w:rFonts w:hint="default" w:eastAsia="宋体"/>
                <w:color w:val="auto"/>
                <w:kern w:val="0"/>
                <w:lang w:val="en-US" w:eastAsia="zh-CN"/>
              </w:rPr>
            </w:pPr>
            <w:r>
              <w:rPr>
                <w:rFonts w:hint="eastAsia"/>
                <w:color w:val="auto"/>
                <w:kern w:val="0"/>
                <w:lang w:val="en-US" w:eastAsia="zh-CN"/>
              </w:rPr>
              <w:t>根据聚氨酯厚浆面漆MSDS可知，涂料中挥发分25%、固含量75%，本项目施工状态下，聚氨酯厚浆面漆需添加稀释剂及固化剂调漆使用，聚氨酯厚浆面漆与稀释剂调配比例为10:1、与固化剂调配比例7:1，聚氨酯厚浆面漆用量为1.5t/a，稀释剂用量为0.15t/a，固化剂用量为0.21t/a，调漆后挥发分约32.2%、固含量约67.8%，项目聚氨酯厚浆面漆用量为1.5t/a，稀释剂用量为0.15t/a，固化剂用量为0.21t/a，则非甲烷总烃产生量为0.598t/a（含苯系物0.29715t/a，苯系物中二甲苯0.15225t/a、乙苯0.05655t/a、三甲苯0.08835t/a），固含量为1.262/a；</w:t>
            </w:r>
          </w:p>
          <w:p w14:paraId="3E404EB0">
            <w:pPr>
              <w:spacing w:line="360" w:lineRule="auto"/>
              <w:ind w:firstLine="480"/>
              <w:rPr>
                <w:rFonts w:hint="default" w:eastAsia="宋体"/>
                <w:color w:val="auto"/>
                <w:kern w:val="0"/>
                <w:lang w:val="en-US" w:eastAsia="zh-CN"/>
              </w:rPr>
            </w:pPr>
            <w:r>
              <w:rPr>
                <w:rFonts w:hint="eastAsia"/>
                <w:color w:val="auto"/>
                <w:kern w:val="0"/>
                <w:lang w:val="en-US" w:eastAsia="zh-CN"/>
              </w:rPr>
              <w:t>根据水性环氧底漆MSDS可知，涂料中挥发分1%、水20%、固含量79%，项目水性环氧底漆用量为3.5t/a，则非甲烷总烃产生量为0.035t/a，固含量为2.765t/a；</w:t>
            </w:r>
          </w:p>
          <w:p w14:paraId="5676376C">
            <w:pPr>
              <w:spacing w:line="360" w:lineRule="auto"/>
              <w:ind w:firstLine="480"/>
              <w:rPr>
                <w:rFonts w:hint="default" w:eastAsia="宋体"/>
                <w:color w:val="auto"/>
                <w:kern w:val="0"/>
                <w:lang w:val="en-US" w:eastAsia="zh-CN"/>
              </w:rPr>
            </w:pPr>
            <w:r>
              <w:rPr>
                <w:rFonts w:hint="eastAsia"/>
                <w:color w:val="auto"/>
                <w:kern w:val="0"/>
                <w:lang w:val="en-US" w:eastAsia="zh-CN"/>
              </w:rPr>
              <w:t>根据水性聚氨酯面漆MSDS可知，涂料中挥发分5%、水40%、固含量55%，项目水性聚氨酯面漆用量为3.5t/a，则非甲烷总烃产生量为0.175t/a，固含量为1.925t/a。</w:t>
            </w:r>
          </w:p>
          <w:p w14:paraId="1FF53A21">
            <w:pPr>
              <w:pStyle w:val="2"/>
              <w:adjustRightInd w:val="0"/>
              <w:snapToGrid w:val="0"/>
              <w:spacing w:before="0" w:after="0" w:line="360" w:lineRule="auto"/>
              <w:ind w:firstLine="420" w:firstLineChars="200"/>
              <w:rPr>
                <w:rFonts w:hint="default" w:eastAsia="宋体"/>
                <w:b w:val="0"/>
                <w:bCs w:val="0"/>
                <w:color w:val="auto"/>
                <w:kern w:val="0"/>
                <w:sz w:val="21"/>
                <w:szCs w:val="21"/>
                <w:lang w:val="en-US" w:eastAsia="zh-CN"/>
              </w:rPr>
            </w:pPr>
            <w:r>
              <w:rPr>
                <w:rFonts w:hint="eastAsia"/>
                <w:b w:val="0"/>
                <w:bCs w:val="0"/>
                <w:color w:val="auto"/>
                <w:kern w:val="0"/>
                <w:sz w:val="21"/>
                <w:szCs w:val="21"/>
                <w:lang w:val="en-US" w:eastAsia="zh-CN"/>
              </w:rPr>
              <w:t>本项目固份喷涂过程上漆率为75%，5%掉落地面形成漆渣，20%形成漆雾。</w:t>
            </w:r>
          </w:p>
          <w:p w14:paraId="5A87C678">
            <w:pPr>
              <w:spacing w:line="360" w:lineRule="auto"/>
              <w:ind w:firstLine="480"/>
              <w:rPr>
                <w:rFonts w:hint="default" w:eastAsia="宋体"/>
                <w:color w:val="auto"/>
                <w:kern w:val="0"/>
                <w:lang w:val="en-US" w:eastAsia="zh-CN"/>
              </w:rPr>
            </w:pPr>
            <w:r>
              <w:rPr>
                <w:rFonts w:hint="eastAsia"/>
                <w:color w:val="auto"/>
                <w:kern w:val="0"/>
                <w:lang w:val="en-US" w:eastAsia="zh-CN"/>
              </w:rPr>
              <w:t>则非甲烷总烃产生量为1.144t/a（含苯系物0.6108t/a，其中二甲苯0.417t/a、乙苯0.0936t/a、三甲苯0.1002t/a），漆雾产生量为1.4852t/a。</w:t>
            </w:r>
          </w:p>
          <w:p w14:paraId="3897DB45">
            <w:pPr>
              <w:spacing w:line="360" w:lineRule="auto"/>
              <w:ind w:firstLine="480"/>
              <w:rPr>
                <w:rFonts w:hint="default" w:eastAsia="宋体"/>
                <w:color w:val="auto"/>
                <w:kern w:val="0"/>
                <w:lang w:val="en-US" w:eastAsia="zh-CN"/>
              </w:rPr>
            </w:pPr>
            <w:r>
              <w:rPr>
                <w:rFonts w:hint="eastAsia"/>
                <w:color w:val="auto"/>
                <w:kern w:val="0"/>
                <w:lang w:val="en-US" w:eastAsia="zh-CN"/>
              </w:rPr>
              <w:t>非甲烷总烃有组织产生量为1.121t/a，有组织产生速率为0.374kg/h；有组织排放量为0.1121t/a，有组织排放速率为0.0374kg/h；无组织排放量为0.023t/a，无组织排放速率为0.0077kg/h；</w:t>
            </w:r>
          </w:p>
          <w:p w14:paraId="1AC43A12">
            <w:pPr>
              <w:spacing w:line="360" w:lineRule="auto"/>
              <w:ind w:firstLine="480"/>
              <w:rPr>
                <w:rFonts w:hint="default"/>
                <w:color w:val="auto"/>
                <w:kern w:val="0"/>
                <w:lang w:val="en-US" w:eastAsia="zh-CN"/>
              </w:rPr>
            </w:pPr>
            <w:r>
              <w:rPr>
                <w:rFonts w:hint="eastAsia"/>
                <w:color w:val="auto"/>
                <w:kern w:val="0"/>
                <w:lang w:val="en-US" w:eastAsia="zh-CN"/>
              </w:rPr>
              <w:t>苯系物有组织产生量为0.5986t/a，有组织产生速率为0.2kg/h；有组织排放量为0.05896t/a，有组织排放速率为0.02kg/h；无组织排放量为0.0122t/a，无组织排放速率为0.0041kg/h；</w:t>
            </w:r>
          </w:p>
          <w:p w14:paraId="0CB7C95E">
            <w:pPr>
              <w:spacing w:line="360" w:lineRule="auto"/>
              <w:ind w:firstLine="480"/>
              <w:rPr>
                <w:rFonts w:hint="default"/>
                <w:color w:val="auto"/>
                <w:kern w:val="0"/>
                <w:lang w:val="en-US" w:eastAsia="zh-CN"/>
              </w:rPr>
            </w:pPr>
            <w:r>
              <w:rPr>
                <w:rFonts w:hint="eastAsia"/>
                <w:color w:val="auto"/>
                <w:kern w:val="0"/>
                <w:lang w:val="en-US" w:eastAsia="zh-CN"/>
              </w:rPr>
              <w:t>其中二甲苯有组织产生量为0.409t/a，有组织产生速率为0.136kg/h；有组织排放量为0.0409t/a，有组织排放速率为0.0136kg/h；无组织排放量为0.008t/a，无组织排放速率为0.0027kg/h；</w:t>
            </w:r>
          </w:p>
          <w:p w14:paraId="2B518A63">
            <w:pPr>
              <w:spacing w:line="360" w:lineRule="auto"/>
              <w:ind w:firstLine="480"/>
              <w:rPr>
                <w:rFonts w:hint="default"/>
                <w:color w:val="auto"/>
                <w:kern w:val="0"/>
                <w:lang w:val="en-US" w:eastAsia="zh-CN"/>
              </w:rPr>
            </w:pPr>
            <w:r>
              <w:rPr>
                <w:rFonts w:hint="eastAsia"/>
                <w:color w:val="auto"/>
                <w:kern w:val="0"/>
                <w:lang w:val="en-US" w:eastAsia="zh-CN"/>
              </w:rPr>
              <w:t>乙苯有组织产生量0.0917t/a，有组织产生速率0.031kg/h；有组织排放量0.00917t/a，有组织排放速率0.0031kg/h；无组织排放量0.0019t/a，无组织排放速率0.00063kg/h；</w:t>
            </w:r>
          </w:p>
          <w:p w14:paraId="0118C8EC">
            <w:pPr>
              <w:spacing w:line="360" w:lineRule="auto"/>
              <w:ind w:firstLine="480"/>
              <w:rPr>
                <w:rFonts w:hint="default"/>
                <w:color w:val="auto"/>
                <w:kern w:val="0"/>
                <w:lang w:val="en-US" w:eastAsia="zh-CN"/>
              </w:rPr>
            </w:pPr>
            <w:r>
              <w:rPr>
                <w:rFonts w:hint="eastAsia"/>
                <w:color w:val="auto"/>
                <w:kern w:val="0"/>
                <w:lang w:val="en-US" w:eastAsia="zh-CN"/>
              </w:rPr>
              <w:t>三甲苯有组织产生量0.0982t/a，有组织产生速率0.033kg/h；有组织排放量0.00982t/a，有组织排放速率0.0033kg/h；无组织排放量0.002t/a，无组织排放速率0.00067kg/h；</w:t>
            </w:r>
          </w:p>
          <w:p w14:paraId="517C1D7B">
            <w:pPr>
              <w:spacing w:line="360" w:lineRule="auto"/>
              <w:ind w:firstLine="480"/>
              <w:rPr>
                <w:rFonts w:hint="default" w:eastAsia="宋体"/>
                <w:color w:val="auto"/>
                <w:kern w:val="0"/>
                <w:lang w:val="en-US" w:eastAsia="zh-CN"/>
              </w:rPr>
            </w:pPr>
            <w:r>
              <w:rPr>
                <w:rFonts w:hint="eastAsia"/>
                <w:color w:val="auto"/>
                <w:kern w:val="0"/>
                <w:lang w:val="en-US" w:eastAsia="zh-CN"/>
              </w:rPr>
              <w:t>颗粒物有组织产生量为1.4555t/a，有组织产生速率为0.49kg/h；有组织排放量为0.14555t/a，有组织排放速率为0.049kg/h；无组织排放量为0.0297t/a，无组织排放速率为0.0099kg/h。</w:t>
            </w:r>
          </w:p>
          <w:p w14:paraId="35B33DA9">
            <w:pPr>
              <w:pStyle w:val="2"/>
              <w:adjustRightInd w:val="0"/>
              <w:snapToGrid w:val="0"/>
              <w:spacing w:before="0" w:after="0" w:line="360" w:lineRule="auto"/>
              <w:ind w:firstLine="422" w:firstLineChars="200"/>
              <w:rPr>
                <w:rFonts w:hint="eastAsia" w:eastAsia="宋体"/>
                <w:color w:val="auto"/>
                <w:kern w:val="0"/>
                <w:sz w:val="21"/>
                <w:szCs w:val="21"/>
                <w:lang w:val="en-US" w:eastAsia="zh-CN"/>
              </w:rPr>
            </w:pPr>
            <w:r>
              <w:rPr>
                <w:rFonts w:hint="eastAsia"/>
                <w:color w:val="auto"/>
                <w:kern w:val="0"/>
                <w:sz w:val="21"/>
                <w:szCs w:val="21"/>
                <w:lang w:val="en-US" w:eastAsia="zh-CN"/>
              </w:rPr>
              <w:t>喷枪清洗废气</w:t>
            </w:r>
          </w:p>
          <w:p w14:paraId="3AFFA990">
            <w:pPr>
              <w:pStyle w:val="2"/>
              <w:adjustRightInd w:val="0"/>
              <w:snapToGrid w:val="0"/>
              <w:spacing w:before="0" w:after="0" w:line="360" w:lineRule="auto"/>
              <w:ind w:firstLine="420" w:firstLineChars="200"/>
              <w:rPr>
                <w:rFonts w:hint="eastAsia"/>
                <w:b w:val="0"/>
                <w:bCs w:val="0"/>
                <w:color w:val="auto"/>
                <w:kern w:val="0"/>
                <w:sz w:val="21"/>
                <w:szCs w:val="21"/>
              </w:rPr>
            </w:pPr>
            <w:r>
              <w:rPr>
                <w:rFonts w:hint="eastAsia"/>
                <w:b w:val="0"/>
                <w:bCs w:val="0"/>
                <w:color w:val="auto"/>
                <w:kern w:val="0"/>
                <w:sz w:val="21"/>
                <w:szCs w:val="21"/>
              </w:rPr>
              <w:t>本项目喷枪需要每日清洗，喷枪采用</w:t>
            </w:r>
            <w:r>
              <w:rPr>
                <w:rFonts w:hint="eastAsia"/>
                <w:b w:val="0"/>
                <w:bCs w:val="0"/>
                <w:color w:val="auto"/>
                <w:kern w:val="0"/>
                <w:sz w:val="21"/>
                <w:szCs w:val="21"/>
                <w:lang w:val="en-US" w:eastAsia="zh-CN"/>
              </w:rPr>
              <w:t>稀释剂</w:t>
            </w:r>
            <w:r>
              <w:rPr>
                <w:rFonts w:hint="eastAsia"/>
                <w:b w:val="0"/>
                <w:bCs w:val="0"/>
                <w:color w:val="auto"/>
                <w:kern w:val="0"/>
                <w:sz w:val="21"/>
                <w:szCs w:val="21"/>
              </w:rPr>
              <w:t>浸泡清洗，清洗过程中会产生少量的有机废气，废气产生量约为使用量的10%，</w:t>
            </w:r>
            <w:r>
              <w:rPr>
                <w:rFonts w:hint="eastAsia"/>
                <w:b w:val="0"/>
                <w:bCs w:val="0"/>
                <w:color w:val="auto"/>
                <w:kern w:val="0"/>
                <w:sz w:val="21"/>
                <w:szCs w:val="21"/>
                <w:lang w:val="en-US" w:eastAsia="zh-CN"/>
              </w:rPr>
              <w:t>使用量为0.1t/a，</w:t>
            </w:r>
            <w:r>
              <w:rPr>
                <w:rFonts w:hint="eastAsia"/>
                <w:b w:val="0"/>
                <w:bCs w:val="0"/>
                <w:color w:val="auto"/>
                <w:kern w:val="0"/>
                <w:sz w:val="21"/>
                <w:szCs w:val="21"/>
              </w:rPr>
              <w:t>则喷枪清洗废气产生量为0.0</w:t>
            </w:r>
            <w:r>
              <w:rPr>
                <w:rFonts w:hint="eastAsia"/>
                <w:b w:val="0"/>
                <w:bCs w:val="0"/>
                <w:color w:val="auto"/>
                <w:kern w:val="0"/>
                <w:sz w:val="21"/>
                <w:szCs w:val="21"/>
                <w:lang w:val="en-US" w:eastAsia="zh-CN"/>
              </w:rPr>
              <w:t>1</w:t>
            </w:r>
            <w:r>
              <w:rPr>
                <w:rFonts w:hint="eastAsia"/>
                <w:b w:val="0"/>
                <w:bCs w:val="0"/>
                <w:color w:val="auto"/>
                <w:kern w:val="0"/>
                <w:sz w:val="21"/>
                <w:szCs w:val="21"/>
              </w:rPr>
              <w:t>t/a。清洗废气经收集后进一套“</w:t>
            </w:r>
            <w:r>
              <w:rPr>
                <w:rFonts w:hint="eastAsia"/>
                <w:b w:val="0"/>
                <w:bCs w:val="0"/>
                <w:color w:val="auto"/>
                <w:kern w:val="0"/>
                <w:sz w:val="21"/>
                <w:szCs w:val="21"/>
                <w:lang w:val="en-US" w:eastAsia="zh-CN"/>
              </w:rPr>
              <w:t>过滤棉+活性炭吸附装置</w:t>
            </w:r>
            <w:r>
              <w:rPr>
                <w:rFonts w:hint="eastAsia"/>
                <w:b w:val="0"/>
                <w:bCs w:val="0"/>
                <w:color w:val="auto"/>
                <w:kern w:val="0"/>
                <w:sz w:val="21"/>
                <w:szCs w:val="21"/>
              </w:rPr>
              <w:t>”处理后通过1根</w:t>
            </w:r>
            <w:r>
              <w:rPr>
                <w:rFonts w:hint="eastAsia"/>
                <w:b w:val="0"/>
                <w:bCs w:val="0"/>
                <w:color w:val="auto"/>
                <w:kern w:val="0"/>
                <w:sz w:val="21"/>
                <w:szCs w:val="21"/>
                <w:lang w:val="en-US" w:eastAsia="zh-CN"/>
              </w:rPr>
              <w:t>15</w:t>
            </w:r>
            <w:r>
              <w:rPr>
                <w:rFonts w:hint="eastAsia"/>
                <w:b w:val="0"/>
                <w:bCs w:val="0"/>
                <w:color w:val="auto"/>
                <w:kern w:val="0"/>
                <w:sz w:val="21"/>
                <w:szCs w:val="21"/>
              </w:rPr>
              <w:t>米高排气筒</w:t>
            </w:r>
            <w:r>
              <w:rPr>
                <w:rFonts w:hint="eastAsia"/>
                <w:b w:val="0"/>
                <w:bCs w:val="0"/>
                <w:color w:val="auto"/>
                <w:kern w:val="0"/>
                <w:sz w:val="21"/>
                <w:szCs w:val="21"/>
                <w:lang w:val="en-US" w:eastAsia="zh-CN"/>
              </w:rPr>
              <w:t>DA002</w:t>
            </w:r>
            <w:r>
              <w:rPr>
                <w:rFonts w:hint="eastAsia"/>
                <w:b w:val="0"/>
                <w:bCs w:val="0"/>
                <w:color w:val="auto"/>
                <w:kern w:val="0"/>
                <w:sz w:val="21"/>
                <w:szCs w:val="21"/>
              </w:rPr>
              <w:t>排放。本项目</w:t>
            </w:r>
            <w:r>
              <w:rPr>
                <w:rFonts w:hint="eastAsia"/>
                <w:b w:val="0"/>
                <w:bCs w:val="0"/>
                <w:color w:val="auto"/>
                <w:kern w:val="0"/>
                <w:sz w:val="21"/>
                <w:szCs w:val="21"/>
                <w:lang w:val="en-US" w:eastAsia="zh-CN"/>
              </w:rPr>
              <w:t>喷枪清洗在喷漆房内进行，</w:t>
            </w:r>
            <w:r>
              <w:rPr>
                <w:rFonts w:hint="eastAsia"/>
                <w:b w:val="0"/>
                <w:bCs w:val="0"/>
                <w:color w:val="auto"/>
                <w:kern w:val="0"/>
                <w:sz w:val="21"/>
                <w:szCs w:val="21"/>
              </w:rPr>
              <w:t>废气收集效率为98%，有机废气去除效率约95%。</w:t>
            </w:r>
          </w:p>
          <w:p w14:paraId="12B0B62F">
            <w:pPr>
              <w:adjustRightInd w:val="0"/>
              <w:snapToGrid w:val="0"/>
              <w:spacing w:line="360" w:lineRule="auto"/>
              <w:ind w:firstLine="420" w:firstLineChars="200"/>
              <w:rPr>
                <w:rFonts w:hint="default" w:eastAsia="宋体"/>
                <w:color w:val="auto"/>
                <w:kern w:val="0"/>
                <w:lang w:val="en-US" w:eastAsia="zh-CN"/>
              </w:rPr>
            </w:pPr>
            <w:r>
              <w:rPr>
                <w:rFonts w:hint="eastAsia"/>
                <w:color w:val="auto"/>
                <w:kern w:val="0"/>
                <w:lang w:val="en-US" w:eastAsia="zh-CN"/>
              </w:rPr>
              <w:t>则非甲烷总烃有组织产生量为0.0098t/a，有组织产生速率为0.0033kg/h；有组织排放量为0.00098t/a，有组织排放速率为0.00033kg/h；无组织排放量为0.0002t/a，无组织排放速率为0.000067kg/h。</w:t>
            </w:r>
          </w:p>
          <w:p w14:paraId="20A22E58">
            <w:pPr>
              <w:pStyle w:val="2"/>
              <w:adjustRightInd w:val="0"/>
              <w:snapToGrid w:val="0"/>
              <w:spacing w:before="0" w:after="0" w:line="360" w:lineRule="auto"/>
              <w:ind w:firstLine="422" w:firstLineChars="200"/>
              <w:rPr>
                <w:rFonts w:hint="default" w:eastAsia="宋体"/>
                <w:color w:val="auto"/>
                <w:kern w:val="0"/>
                <w:sz w:val="21"/>
                <w:szCs w:val="21"/>
                <w:lang w:val="en-US" w:eastAsia="zh-CN"/>
              </w:rPr>
            </w:pPr>
            <w:r>
              <w:rPr>
                <w:rFonts w:hint="eastAsia"/>
                <w:color w:val="auto"/>
                <w:kern w:val="0"/>
                <w:sz w:val="21"/>
                <w:szCs w:val="21"/>
                <w:lang w:val="en-US" w:eastAsia="zh-CN"/>
              </w:rPr>
              <w:t>危废仓库废气</w:t>
            </w:r>
          </w:p>
          <w:p w14:paraId="4F638FCE">
            <w:pPr>
              <w:pStyle w:val="2"/>
              <w:adjustRightInd w:val="0"/>
              <w:snapToGrid w:val="0"/>
              <w:spacing w:before="0" w:after="0" w:line="360" w:lineRule="auto"/>
              <w:ind w:firstLine="420" w:firstLineChars="200"/>
              <w:rPr>
                <w:rFonts w:hint="eastAsia"/>
                <w:b w:val="0"/>
                <w:bCs w:val="0"/>
                <w:color w:val="auto"/>
                <w:kern w:val="0"/>
                <w:sz w:val="21"/>
                <w:szCs w:val="21"/>
                <w:lang w:val="en-US" w:eastAsia="zh-CN"/>
              </w:rPr>
            </w:pPr>
            <w:r>
              <w:rPr>
                <w:rFonts w:hint="eastAsia"/>
                <w:b w:val="0"/>
                <w:bCs w:val="0"/>
                <w:color w:val="auto"/>
                <w:kern w:val="0"/>
                <w:sz w:val="21"/>
                <w:szCs w:val="21"/>
                <w:lang w:val="en-US" w:eastAsia="zh-CN"/>
              </w:rPr>
              <w:t>本项目危废仓库设置气体导出装置，挥发的少量非甲烷总烃（仅识别产生，有机废气总产生量已在喷漆废气中说明）经导出装置进入活性炭装置处理达标后无组织排放，污染防治设施持续运行。</w:t>
            </w:r>
          </w:p>
          <w:p w14:paraId="586D4C1E">
            <w:pPr>
              <w:pStyle w:val="2"/>
              <w:adjustRightInd w:val="0"/>
              <w:snapToGrid w:val="0"/>
              <w:spacing w:before="0" w:after="0" w:line="360" w:lineRule="auto"/>
              <w:ind w:firstLine="422" w:firstLineChars="200"/>
              <w:rPr>
                <w:color w:val="auto"/>
                <w:kern w:val="0"/>
                <w:sz w:val="21"/>
                <w:szCs w:val="21"/>
              </w:rPr>
            </w:pPr>
            <w:r>
              <w:rPr>
                <w:rFonts w:hint="eastAsia"/>
                <w:color w:val="auto"/>
                <w:kern w:val="0"/>
                <w:sz w:val="21"/>
                <w:szCs w:val="21"/>
              </w:rPr>
              <w:t>（2）非正常排放</w:t>
            </w:r>
          </w:p>
          <w:p w14:paraId="160074B9">
            <w:pPr>
              <w:adjustRightInd w:val="0"/>
              <w:snapToGrid w:val="0"/>
              <w:spacing w:line="360" w:lineRule="auto"/>
              <w:ind w:firstLine="420" w:firstLineChars="200"/>
              <w:rPr>
                <w:color w:val="auto"/>
                <w:kern w:val="0"/>
              </w:rPr>
            </w:pPr>
            <w:r>
              <w:rPr>
                <w:rFonts w:hint="eastAsia"/>
                <w:color w:val="auto"/>
                <w:kern w:val="0"/>
              </w:rPr>
              <w:t>非正常排放一般包括开停车、检修、环保设施不达标三种情况。设备检修以及突发性故障（如区域性停电时的停车），企业会事先调整生产计划。因此，本项目非正常工况考虑废气环保设施运行不正常的情况，本报告按最不利的情况考虑，</w:t>
            </w:r>
            <w:r>
              <w:rPr>
                <w:bCs/>
                <w:color w:val="auto"/>
                <w:kern w:val="0"/>
              </w:rPr>
              <w:t>即风机故障，</w:t>
            </w:r>
            <w:r>
              <w:rPr>
                <w:rFonts w:hint="eastAsia"/>
                <w:bCs/>
                <w:color w:val="auto"/>
                <w:kern w:val="0"/>
              </w:rPr>
              <w:t>废气全部无组织排放</w:t>
            </w:r>
            <w:r>
              <w:rPr>
                <w:rFonts w:hint="eastAsia"/>
                <w:color w:val="auto"/>
                <w:kern w:val="0"/>
              </w:rPr>
              <w:t>，见下表。</w:t>
            </w:r>
          </w:p>
          <w:p w14:paraId="193876D9">
            <w:pPr>
              <w:adjustRightInd w:val="0"/>
              <w:snapToGrid w:val="0"/>
              <w:jc w:val="center"/>
              <w:rPr>
                <w:b/>
                <w:bCs/>
                <w:color w:val="auto"/>
                <w:kern w:val="0"/>
              </w:rPr>
            </w:pPr>
            <w:r>
              <w:rPr>
                <w:rFonts w:hint="eastAsia"/>
                <w:b/>
                <w:bCs/>
                <w:color w:val="auto"/>
                <w:kern w:val="0"/>
              </w:rPr>
              <w:t>表4-</w:t>
            </w:r>
            <w:r>
              <w:rPr>
                <w:rFonts w:hint="eastAsia"/>
                <w:b/>
                <w:bCs/>
                <w:color w:val="auto"/>
                <w:kern w:val="0"/>
                <w:lang w:val="en-US" w:eastAsia="zh-CN"/>
              </w:rPr>
              <w:t>3</w:t>
            </w:r>
            <w:r>
              <w:rPr>
                <w:rFonts w:hint="eastAsia"/>
                <w:b/>
                <w:bCs/>
                <w:color w:val="auto"/>
                <w:kern w:val="0"/>
              </w:rPr>
              <w:t xml:space="preserve">   非正常工况排气筒排放情况</w:t>
            </w:r>
          </w:p>
          <w:tbl>
            <w:tblPr>
              <w:tblStyle w:val="59"/>
              <w:tblW w:w="4997" w:type="pct"/>
              <w:tblInd w:w="0" w:type="dxa"/>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1205"/>
              <w:gridCol w:w="1288"/>
              <w:gridCol w:w="1400"/>
              <w:gridCol w:w="1347"/>
              <w:gridCol w:w="1251"/>
              <w:gridCol w:w="1079"/>
              <w:gridCol w:w="1286"/>
            </w:tblGrid>
            <w:tr w14:paraId="5C11BA5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680" w:type="pct"/>
                  <w:tcBorders>
                    <w:tl2br w:val="nil"/>
                    <w:tr2bl w:val="nil"/>
                  </w:tcBorders>
                  <w:vAlign w:val="center"/>
                </w:tcPr>
                <w:p w14:paraId="38D3C9A4">
                  <w:pPr>
                    <w:adjustRightInd w:val="0"/>
                    <w:snapToGrid w:val="0"/>
                    <w:jc w:val="center"/>
                    <w:rPr>
                      <w:b/>
                      <w:bCs/>
                      <w:color w:val="auto"/>
                      <w:kern w:val="0"/>
                    </w:rPr>
                  </w:pPr>
                  <w:r>
                    <w:rPr>
                      <w:rFonts w:hint="eastAsia"/>
                      <w:b/>
                      <w:bCs/>
                      <w:color w:val="auto"/>
                      <w:kern w:val="0"/>
                    </w:rPr>
                    <w:t>排放源</w:t>
                  </w:r>
                </w:p>
              </w:tc>
              <w:tc>
                <w:tcPr>
                  <w:tcW w:w="727" w:type="pct"/>
                  <w:tcBorders>
                    <w:tl2br w:val="nil"/>
                    <w:tr2bl w:val="nil"/>
                  </w:tcBorders>
                  <w:vAlign w:val="center"/>
                </w:tcPr>
                <w:p w14:paraId="3F41004D">
                  <w:pPr>
                    <w:adjustRightInd w:val="0"/>
                    <w:snapToGrid w:val="0"/>
                    <w:jc w:val="center"/>
                    <w:rPr>
                      <w:b/>
                      <w:bCs/>
                      <w:color w:val="auto"/>
                      <w:kern w:val="0"/>
                    </w:rPr>
                  </w:pPr>
                  <w:r>
                    <w:rPr>
                      <w:rFonts w:hint="eastAsia"/>
                      <w:b/>
                      <w:bCs/>
                      <w:color w:val="auto"/>
                      <w:kern w:val="0"/>
                    </w:rPr>
                    <w:t>非正常排放原因</w:t>
                  </w:r>
                </w:p>
              </w:tc>
              <w:tc>
                <w:tcPr>
                  <w:tcW w:w="790" w:type="pct"/>
                  <w:tcBorders>
                    <w:tl2br w:val="nil"/>
                    <w:tr2bl w:val="nil"/>
                  </w:tcBorders>
                  <w:vAlign w:val="center"/>
                </w:tcPr>
                <w:p w14:paraId="6EF50550">
                  <w:pPr>
                    <w:adjustRightInd w:val="0"/>
                    <w:snapToGrid w:val="0"/>
                    <w:jc w:val="center"/>
                    <w:rPr>
                      <w:b/>
                      <w:bCs/>
                      <w:color w:val="auto"/>
                      <w:kern w:val="0"/>
                    </w:rPr>
                  </w:pPr>
                  <w:r>
                    <w:rPr>
                      <w:rFonts w:hint="eastAsia"/>
                      <w:b/>
                      <w:bCs/>
                      <w:color w:val="auto"/>
                      <w:kern w:val="0"/>
                    </w:rPr>
                    <w:t>污染物</w:t>
                  </w:r>
                </w:p>
              </w:tc>
              <w:tc>
                <w:tcPr>
                  <w:tcW w:w="760" w:type="pct"/>
                  <w:tcBorders>
                    <w:tl2br w:val="nil"/>
                    <w:tr2bl w:val="nil"/>
                  </w:tcBorders>
                  <w:vAlign w:val="center"/>
                </w:tcPr>
                <w:p w14:paraId="4DBB0DE6">
                  <w:pPr>
                    <w:adjustRightInd w:val="0"/>
                    <w:snapToGrid w:val="0"/>
                    <w:jc w:val="center"/>
                    <w:rPr>
                      <w:b/>
                      <w:bCs/>
                      <w:color w:val="auto"/>
                      <w:kern w:val="0"/>
                    </w:rPr>
                  </w:pPr>
                  <w:r>
                    <w:rPr>
                      <w:rFonts w:hint="eastAsia"/>
                      <w:b/>
                      <w:bCs/>
                      <w:color w:val="auto"/>
                      <w:kern w:val="0"/>
                    </w:rPr>
                    <w:t>非正常排放速率kg/h</w:t>
                  </w:r>
                </w:p>
              </w:tc>
              <w:tc>
                <w:tcPr>
                  <w:tcW w:w="706" w:type="pct"/>
                  <w:tcBorders>
                    <w:tl2br w:val="nil"/>
                    <w:tr2bl w:val="nil"/>
                  </w:tcBorders>
                  <w:vAlign w:val="center"/>
                </w:tcPr>
                <w:p w14:paraId="26994DB2">
                  <w:pPr>
                    <w:adjustRightInd w:val="0"/>
                    <w:snapToGrid w:val="0"/>
                    <w:jc w:val="center"/>
                    <w:rPr>
                      <w:b/>
                      <w:bCs/>
                      <w:color w:val="auto"/>
                      <w:kern w:val="0"/>
                    </w:rPr>
                  </w:pPr>
                  <w:r>
                    <w:rPr>
                      <w:rFonts w:hint="eastAsia"/>
                      <w:b/>
                      <w:bCs/>
                      <w:color w:val="auto"/>
                      <w:kern w:val="0"/>
                    </w:rPr>
                    <w:t>单次持续时间h</w:t>
                  </w:r>
                </w:p>
              </w:tc>
              <w:tc>
                <w:tcPr>
                  <w:tcW w:w="609" w:type="pct"/>
                  <w:tcBorders>
                    <w:tl2br w:val="nil"/>
                    <w:tr2bl w:val="nil"/>
                  </w:tcBorders>
                  <w:vAlign w:val="center"/>
                </w:tcPr>
                <w:p w14:paraId="7B2A5063">
                  <w:pPr>
                    <w:adjustRightInd w:val="0"/>
                    <w:snapToGrid w:val="0"/>
                    <w:jc w:val="center"/>
                    <w:rPr>
                      <w:b/>
                      <w:bCs/>
                      <w:color w:val="auto"/>
                      <w:kern w:val="0"/>
                    </w:rPr>
                  </w:pPr>
                  <w:r>
                    <w:rPr>
                      <w:rFonts w:hint="eastAsia"/>
                      <w:b/>
                      <w:bCs/>
                      <w:color w:val="auto"/>
                      <w:kern w:val="0"/>
                    </w:rPr>
                    <w:t>年发生频次</w:t>
                  </w:r>
                </w:p>
              </w:tc>
              <w:tc>
                <w:tcPr>
                  <w:tcW w:w="726" w:type="pct"/>
                  <w:tcBorders>
                    <w:tl2br w:val="nil"/>
                    <w:tr2bl w:val="nil"/>
                  </w:tcBorders>
                  <w:vAlign w:val="center"/>
                </w:tcPr>
                <w:p w14:paraId="052D3E92">
                  <w:pPr>
                    <w:adjustRightInd w:val="0"/>
                    <w:snapToGrid w:val="0"/>
                    <w:jc w:val="center"/>
                    <w:rPr>
                      <w:b/>
                      <w:bCs/>
                      <w:color w:val="auto"/>
                      <w:kern w:val="0"/>
                    </w:rPr>
                  </w:pPr>
                  <w:r>
                    <w:rPr>
                      <w:rFonts w:hint="eastAsia"/>
                      <w:b/>
                      <w:bCs/>
                      <w:color w:val="auto"/>
                      <w:kern w:val="0"/>
                    </w:rPr>
                    <w:t>非正常排放量kg/a</w:t>
                  </w:r>
                </w:p>
              </w:tc>
            </w:tr>
            <w:tr w14:paraId="54049F2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680" w:type="pct"/>
                  <w:tcBorders>
                    <w:tl2br w:val="nil"/>
                    <w:tr2bl w:val="nil"/>
                  </w:tcBorders>
                  <w:vAlign w:val="center"/>
                </w:tcPr>
                <w:p w14:paraId="24E5161C">
                  <w:pPr>
                    <w:topLinePunct/>
                    <w:adjustRightInd w:val="0"/>
                    <w:snapToGrid w:val="0"/>
                    <w:jc w:val="center"/>
                    <w:rPr>
                      <w:color w:val="auto"/>
                      <w:kern w:val="0"/>
                    </w:rPr>
                  </w:pPr>
                  <w:r>
                    <w:rPr>
                      <w:rFonts w:hint="eastAsia"/>
                      <w:color w:val="auto"/>
                      <w:kern w:val="0"/>
                    </w:rPr>
                    <w:t>DA001</w:t>
                  </w:r>
                </w:p>
              </w:tc>
              <w:tc>
                <w:tcPr>
                  <w:tcW w:w="727" w:type="pct"/>
                  <w:vMerge w:val="restart"/>
                  <w:tcBorders>
                    <w:tl2br w:val="nil"/>
                    <w:tr2bl w:val="nil"/>
                  </w:tcBorders>
                  <w:vAlign w:val="center"/>
                </w:tcPr>
                <w:p w14:paraId="4BF16445">
                  <w:pPr>
                    <w:topLinePunct/>
                    <w:adjustRightInd w:val="0"/>
                    <w:snapToGrid w:val="0"/>
                    <w:jc w:val="center"/>
                    <w:rPr>
                      <w:color w:val="auto"/>
                      <w:kern w:val="0"/>
                    </w:rPr>
                  </w:pPr>
                  <w:r>
                    <w:rPr>
                      <w:rFonts w:hint="eastAsia"/>
                      <w:color w:val="auto"/>
                      <w:kern w:val="0"/>
                    </w:rPr>
                    <w:t>废气处理装置故障</w:t>
                  </w:r>
                </w:p>
              </w:tc>
              <w:tc>
                <w:tcPr>
                  <w:tcW w:w="790" w:type="pct"/>
                  <w:tcBorders>
                    <w:tl2br w:val="nil"/>
                    <w:tr2bl w:val="nil"/>
                  </w:tcBorders>
                  <w:vAlign w:val="center"/>
                </w:tcPr>
                <w:p w14:paraId="50BD7A75">
                  <w:pPr>
                    <w:adjustRightInd w:val="0"/>
                    <w:snapToGrid w:val="0"/>
                    <w:jc w:val="center"/>
                    <w:rPr>
                      <w:rFonts w:hint="eastAsia" w:eastAsia="宋体"/>
                      <w:color w:val="auto"/>
                      <w:kern w:val="0"/>
                      <w:lang w:eastAsia="zh-CN"/>
                    </w:rPr>
                  </w:pPr>
                  <w:r>
                    <w:rPr>
                      <w:rFonts w:hint="eastAsia"/>
                      <w:color w:val="auto"/>
                      <w:kern w:val="0"/>
                      <w:lang w:val="en-US" w:eastAsia="zh-CN"/>
                    </w:rPr>
                    <w:t>颗粒物</w:t>
                  </w:r>
                </w:p>
              </w:tc>
              <w:tc>
                <w:tcPr>
                  <w:tcW w:w="760" w:type="pct"/>
                  <w:tcBorders>
                    <w:tl2br w:val="nil"/>
                    <w:tr2bl w:val="nil"/>
                  </w:tcBorders>
                  <w:vAlign w:val="center"/>
                </w:tcPr>
                <w:p w14:paraId="65B079BB">
                  <w:pPr>
                    <w:adjustRightInd w:val="0"/>
                    <w:snapToGrid w:val="0"/>
                    <w:jc w:val="center"/>
                    <w:rPr>
                      <w:rFonts w:hint="default" w:eastAsia="宋体"/>
                      <w:color w:val="auto"/>
                      <w:kern w:val="0"/>
                      <w:lang w:val="en-US" w:eastAsia="zh-CN"/>
                    </w:rPr>
                  </w:pPr>
                  <w:r>
                    <w:rPr>
                      <w:rFonts w:hint="eastAsia"/>
                      <w:color w:val="auto"/>
                      <w:kern w:val="0"/>
                      <w:lang w:val="en-US" w:eastAsia="zh-CN"/>
                    </w:rPr>
                    <w:t>0.79</w:t>
                  </w:r>
                </w:p>
              </w:tc>
              <w:tc>
                <w:tcPr>
                  <w:tcW w:w="706" w:type="pct"/>
                  <w:tcBorders>
                    <w:tl2br w:val="nil"/>
                    <w:tr2bl w:val="nil"/>
                  </w:tcBorders>
                  <w:vAlign w:val="center"/>
                </w:tcPr>
                <w:p w14:paraId="36B46326">
                  <w:pPr>
                    <w:adjustRightInd w:val="0"/>
                    <w:snapToGrid w:val="0"/>
                    <w:jc w:val="center"/>
                    <w:rPr>
                      <w:color w:val="auto"/>
                      <w:kern w:val="0"/>
                    </w:rPr>
                  </w:pPr>
                  <w:r>
                    <w:rPr>
                      <w:rFonts w:hint="eastAsia"/>
                      <w:color w:val="auto"/>
                      <w:kern w:val="0"/>
                    </w:rPr>
                    <w:t>0.5</w:t>
                  </w:r>
                </w:p>
              </w:tc>
              <w:tc>
                <w:tcPr>
                  <w:tcW w:w="609" w:type="pct"/>
                  <w:tcBorders>
                    <w:tl2br w:val="nil"/>
                    <w:tr2bl w:val="nil"/>
                  </w:tcBorders>
                  <w:vAlign w:val="center"/>
                </w:tcPr>
                <w:p w14:paraId="1641ED77">
                  <w:pPr>
                    <w:adjustRightInd w:val="0"/>
                    <w:snapToGrid w:val="0"/>
                    <w:jc w:val="center"/>
                    <w:rPr>
                      <w:color w:val="auto"/>
                      <w:kern w:val="0"/>
                    </w:rPr>
                  </w:pPr>
                  <w:r>
                    <w:rPr>
                      <w:color w:val="auto"/>
                      <w:kern w:val="0"/>
                    </w:rPr>
                    <w:t>1</w:t>
                  </w:r>
                </w:p>
              </w:tc>
              <w:tc>
                <w:tcPr>
                  <w:tcW w:w="726" w:type="pct"/>
                  <w:tcBorders>
                    <w:tl2br w:val="nil"/>
                    <w:tr2bl w:val="nil"/>
                  </w:tcBorders>
                  <w:vAlign w:val="center"/>
                </w:tcPr>
                <w:p w14:paraId="4B6FBED8">
                  <w:pPr>
                    <w:adjustRightInd w:val="0"/>
                    <w:snapToGrid w:val="0"/>
                    <w:jc w:val="center"/>
                    <w:rPr>
                      <w:rFonts w:hint="default" w:eastAsia="宋体"/>
                      <w:color w:val="auto"/>
                      <w:kern w:val="0"/>
                      <w:lang w:val="en-US" w:eastAsia="zh-CN"/>
                    </w:rPr>
                  </w:pPr>
                  <w:r>
                    <w:rPr>
                      <w:rFonts w:hint="eastAsia"/>
                      <w:color w:val="auto"/>
                      <w:kern w:val="0"/>
                      <w:lang w:val="en-US" w:eastAsia="zh-CN"/>
                    </w:rPr>
                    <w:t>0.395</w:t>
                  </w:r>
                </w:p>
              </w:tc>
            </w:tr>
            <w:tr w14:paraId="53CA9B3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680" w:type="pct"/>
                  <w:vMerge w:val="restart"/>
                  <w:tcBorders>
                    <w:tl2br w:val="nil"/>
                    <w:tr2bl w:val="nil"/>
                  </w:tcBorders>
                  <w:vAlign w:val="center"/>
                </w:tcPr>
                <w:p w14:paraId="1442986D">
                  <w:pPr>
                    <w:topLinePunct/>
                    <w:adjustRightInd w:val="0"/>
                    <w:snapToGrid w:val="0"/>
                    <w:jc w:val="center"/>
                    <w:rPr>
                      <w:rFonts w:hint="default" w:eastAsia="宋体"/>
                      <w:color w:val="auto"/>
                      <w:kern w:val="0"/>
                      <w:lang w:val="en-US" w:eastAsia="zh-CN"/>
                    </w:rPr>
                  </w:pPr>
                  <w:r>
                    <w:rPr>
                      <w:rFonts w:hint="eastAsia"/>
                      <w:color w:val="auto"/>
                      <w:kern w:val="0"/>
                      <w:lang w:val="en-US" w:eastAsia="zh-CN"/>
                    </w:rPr>
                    <w:t>DA002</w:t>
                  </w:r>
                </w:p>
              </w:tc>
              <w:tc>
                <w:tcPr>
                  <w:tcW w:w="727" w:type="pct"/>
                  <w:vMerge w:val="continue"/>
                  <w:tcBorders>
                    <w:tl2br w:val="nil"/>
                    <w:tr2bl w:val="nil"/>
                  </w:tcBorders>
                  <w:vAlign w:val="center"/>
                </w:tcPr>
                <w:p w14:paraId="6E4F0609">
                  <w:pPr>
                    <w:topLinePunct/>
                    <w:adjustRightInd w:val="0"/>
                    <w:snapToGrid w:val="0"/>
                    <w:jc w:val="center"/>
                    <w:rPr>
                      <w:rFonts w:hint="eastAsia"/>
                      <w:color w:val="auto"/>
                      <w:kern w:val="0"/>
                    </w:rPr>
                  </w:pPr>
                </w:p>
              </w:tc>
              <w:tc>
                <w:tcPr>
                  <w:tcW w:w="790" w:type="pct"/>
                  <w:tcBorders>
                    <w:tl2br w:val="nil"/>
                    <w:tr2bl w:val="nil"/>
                  </w:tcBorders>
                  <w:vAlign w:val="center"/>
                </w:tcPr>
                <w:p w14:paraId="17C88C85">
                  <w:pPr>
                    <w:adjustRightInd w:val="0"/>
                    <w:snapToGrid w:val="0"/>
                    <w:jc w:val="center"/>
                    <w:rPr>
                      <w:rFonts w:hint="default" w:eastAsia="宋体"/>
                      <w:color w:val="auto"/>
                      <w:kern w:val="0"/>
                      <w:lang w:val="en-US" w:eastAsia="zh-CN"/>
                    </w:rPr>
                  </w:pPr>
                  <w:r>
                    <w:rPr>
                      <w:rFonts w:hint="eastAsia"/>
                      <w:color w:val="auto"/>
                      <w:kern w:val="0"/>
                      <w:lang w:val="en-US" w:eastAsia="zh-CN"/>
                    </w:rPr>
                    <w:t>颗粒物</w:t>
                  </w:r>
                </w:p>
              </w:tc>
              <w:tc>
                <w:tcPr>
                  <w:tcW w:w="760" w:type="pct"/>
                  <w:tcBorders>
                    <w:tl2br w:val="nil"/>
                    <w:tr2bl w:val="nil"/>
                  </w:tcBorders>
                  <w:vAlign w:val="center"/>
                </w:tcPr>
                <w:p w14:paraId="348BC577">
                  <w:pPr>
                    <w:adjustRightInd w:val="0"/>
                    <w:snapToGrid w:val="0"/>
                    <w:jc w:val="center"/>
                    <w:rPr>
                      <w:rFonts w:hint="default"/>
                      <w:color w:val="auto"/>
                      <w:kern w:val="0"/>
                      <w:lang w:val="en-US" w:eastAsia="zh-CN"/>
                    </w:rPr>
                  </w:pPr>
                  <w:r>
                    <w:rPr>
                      <w:rFonts w:hint="eastAsia"/>
                      <w:color w:val="auto"/>
                      <w:kern w:val="0"/>
                      <w:lang w:val="en-US" w:eastAsia="zh-CN"/>
                    </w:rPr>
                    <w:t>1.19</w:t>
                  </w:r>
                </w:p>
              </w:tc>
              <w:tc>
                <w:tcPr>
                  <w:tcW w:w="706" w:type="pct"/>
                  <w:tcBorders>
                    <w:tl2br w:val="nil"/>
                    <w:tr2bl w:val="nil"/>
                  </w:tcBorders>
                  <w:vAlign w:val="center"/>
                </w:tcPr>
                <w:p w14:paraId="44F3601C">
                  <w:pPr>
                    <w:adjustRightInd w:val="0"/>
                    <w:snapToGrid w:val="0"/>
                    <w:jc w:val="center"/>
                    <w:rPr>
                      <w:rFonts w:hint="eastAsia"/>
                      <w:color w:val="auto"/>
                      <w:kern w:val="0"/>
                    </w:rPr>
                  </w:pPr>
                  <w:r>
                    <w:rPr>
                      <w:rFonts w:hint="eastAsia"/>
                      <w:color w:val="auto"/>
                      <w:kern w:val="0"/>
                    </w:rPr>
                    <w:t>0.5</w:t>
                  </w:r>
                </w:p>
              </w:tc>
              <w:tc>
                <w:tcPr>
                  <w:tcW w:w="609" w:type="pct"/>
                  <w:tcBorders>
                    <w:tl2br w:val="nil"/>
                    <w:tr2bl w:val="nil"/>
                  </w:tcBorders>
                  <w:vAlign w:val="center"/>
                </w:tcPr>
                <w:p w14:paraId="6165CF5F">
                  <w:pPr>
                    <w:adjustRightInd w:val="0"/>
                    <w:snapToGrid w:val="0"/>
                    <w:jc w:val="center"/>
                    <w:rPr>
                      <w:color w:val="auto"/>
                      <w:kern w:val="0"/>
                    </w:rPr>
                  </w:pPr>
                  <w:r>
                    <w:rPr>
                      <w:color w:val="auto"/>
                      <w:kern w:val="0"/>
                    </w:rPr>
                    <w:t>1</w:t>
                  </w:r>
                </w:p>
              </w:tc>
              <w:tc>
                <w:tcPr>
                  <w:tcW w:w="726" w:type="pct"/>
                  <w:tcBorders>
                    <w:tl2br w:val="nil"/>
                    <w:tr2bl w:val="nil"/>
                  </w:tcBorders>
                  <w:vAlign w:val="center"/>
                </w:tcPr>
                <w:p w14:paraId="66EC82B2">
                  <w:pPr>
                    <w:adjustRightInd w:val="0"/>
                    <w:snapToGrid w:val="0"/>
                    <w:jc w:val="center"/>
                    <w:rPr>
                      <w:rFonts w:hint="default"/>
                      <w:color w:val="auto"/>
                      <w:kern w:val="0"/>
                      <w:lang w:val="en-US" w:eastAsia="zh-CN"/>
                    </w:rPr>
                  </w:pPr>
                  <w:r>
                    <w:rPr>
                      <w:rFonts w:hint="eastAsia"/>
                      <w:color w:val="auto"/>
                      <w:kern w:val="0"/>
                      <w:lang w:val="en-US" w:eastAsia="zh-CN"/>
                    </w:rPr>
                    <w:t>0.595</w:t>
                  </w:r>
                </w:p>
              </w:tc>
            </w:tr>
            <w:tr w14:paraId="537084F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680" w:type="pct"/>
                  <w:vMerge w:val="continue"/>
                  <w:tcBorders>
                    <w:tl2br w:val="nil"/>
                    <w:tr2bl w:val="nil"/>
                  </w:tcBorders>
                  <w:vAlign w:val="center"/>
                </w:tcPr>
                <w:p w14:paraId="1FD04555">
                  <w:pPr>
                    <w:topLinePunct/>
                    <w:adjustRightInd w:val="0"/>
                    <w:snapToGrid w:val="0"/>
                    <w:jc w:val="center"/>
                    <w:rPr>
                      <w:rFonts w:hint="eastAsia"/>
                      <w:color w:val="auto"/>
                      <w:kern w:val="0"/>
                      <w:lang w:val="en-US" w:eastAsia="zh-CN"/>
                    </w:rPr>
                  </w:pPr>
                </w:p>
              </w:tc>
              <w:tc>
                <w:tcPr>
                  <w:tcW w:w="727" w:type="pct"/>
                  <w:vMerge w:val="continue"/>
                  <w:tcBorders>
                    <w:tl2br w:val="nil"/>
                    <w:tr2bl w:val="nil"/>
                  </w:tcBorders>
                  <w:vAlign w:val="center"/>
                </w:tcPr>
                <w:p w14:paraId="1D7EF415">
                  <w:pPr>
                    <w:topLinePunct/>
                    <w:adjustRightInd w:val="0"/>
                    <w:snapToGrid w:val="0"/>
                    <w:jc w:val="center"/>
                    <w:rPr>
                      <w:rFonts w:hint="eastAsia"/>
                      <w:color w:val="auto"/>
                      <w:kern w:val="0"/>
                    </w:rPr>
                  </w:pPr>
                </w:p>
              </w:tc>
              <w:tc>
                <w:tcPr>
                  <w:tcW w:w="790" w:type="pct"/>
                  <w:tcBorders>
                    <w:tl2br w:val="nil"/>
                    <w:tr2bl w:val="nil"/>
                  </w:tcBorders>
                  <w:vAlign w:val="center"/>
                </w:tcPr>
                <w:p w14:paraId="666F11D6">
                  <w:pPr>
                    <w:adjustRightInd w:val="0"/>
                    <w:snapToGrid w:val="0"/>
                    <w:jc w:val="center"/>
                    <w:rPr>
                      <w:rFonts w:hint="eastAsia" w:eastAsia="宋体"/>
                      <w:color w:val="auto"/>
                      <w:kern w:val="0"/>
                      <w:lang w:val="en-US" w:eastAsia="zh-CN"/>
                    </w:rPr>
                  </w:pPr>
                  <w:r>
                    <w:rPr>
                      <w:rFonts w:hint="eastAsia"/>
                      <w:color w:val="auto"/>
                      <w:kern w:val="0"/>
                      <w:lang w:val="en-US" w:eastAsia="zh-CN"/>
                    </w:rPr>
                    <w:t>非甲烷总烃</w:t>
                  </w:r>
                </w:p>
              </w:tc>
              <w:tc>
                <w:tcPr>
                  <w:tcW w:w="760" w:type="pct"/>
                  <w:tcBorders>
                    <w:tl2br w:val="nil"/>
                    <w:tr2bl w:val="nil"/>
                  </w:tcBorders>
                  <w:vAlign w:val="center"/>
                </w:tcPr>
                <w:p w14:paraId="51E50B9E">
                  <w:pPr>
                    <w:adjustRightInd w:val="0"/>
                    <w:snapToGrid w:val="0"/>
                    <w:jc w:val="center"/>
                    <w:rPr>
                      <w:rFonts w:hint="default"/>
                      <w:color w:val="auto"/>
                      <w:kern w:val="0"/>
                      <w:lang w:val="en-US" w:eastAsia="zh-CN"/>
                    </w:rPr>
                  </w:pPr>
                  <w:r>
                    <w:rPr>
                      <w:rFonts w:hint="eastAsia"/>
                      <w:color w:val="auto"/>
                      <w:kern w:val="0"/>
                      <w:lang w:val="en-US" w:eastAsia="zh-CN"/>
                    </w:rPr>
                    <w:t>0.38</w:t>
                  </w:r>
                </w:p>
              </w:tc>
              <w:tc>
                <w:tcPr>
                  <w:tcW w:w="706" w:type="pct"/>
                  <w:tcBorders>
                    <w:tl2br w:val="nil"/>
                    <w:tr2bl w:val="nil"/>
                  </w:tcBorders>
                  <w:vAlign w:val="center"/>
                </w:tcPr>
                <w:p w14:paraId="07462535">
                  <w:pPr>
                    <w:adjustRightInd w:val="0"/>
                    <w:snapToGrid w:val="0"/>
                    <w:jc w:val="center"/>
                    <w:rPr>
                      <w:rFonts w:hint="eastAsia"/>
                      <w:color w:val="auto"/>
                      <w:kern w:val="0"/>
                    </w:rPr>
                  </w:pPr>
                  <w:r>
                    <w:rPr>
                      <w:rFonts w:hint="eastAsia"/>
                      <w:color w:val="auto"/>
                      <w:kern w:val="0"/>
                    </w:rPr>
                    <w:t>0.5</w:t>
                  </w:r>
                </w:p>
              </w:tc>
              <w:tc>
                <w:tcPr>
                  <w:tcW w:w="609" w:type="pct"/>
                  <w:tcBorders>
                    <w:tl2br w:val="nil"/>
                    <w:tr2bl w:val="nil"/>
                  </w:tcBorders>
                  <w:vAlign w:val="center"/>
                </w:tcPr>
                <w:p w14:paraId="2317DBA9">
                  <w:pPr>
                    <w:adjustRightInd w:val="0"/>
                    <w:snapToGrid w:val="0"/>
                    <w:jc w:val="center"/>
                    <w:rPr>
                      <w:color w:val="auto"/>
                      <w:kern w:val="0"/>
                    </w:rPr>
                  </w:pPr>
                  <w:r>
                    <w:rPr>
                      <w:color w:val="auto"/>
                      <w:kern w:val="0"/>
                    </w:rPr>
                    <w:t>1</w:t>
                  </w:r>
                </w:p>
              </w:tc>
              <w:tc>
                <w:tcPr>
                  <w:tcW w:w="726" w:type="pct"/>
                  <w:tcBorders>
                    <w:tl2br w:val="nil"/>
                    <w:tr2bl w:val="nil"/>
                  </w:tcBorders>
                  <w:vAlign w:val="center"/>
                </w:tcPr>
                <w:p w14:paraId="5401EDB1">
                  <w:pPr>
                    <w:adjustRightInd w:val="0"/>
                    <w:snapToGrid w:val="0"/>
                    <w:jc w:val="center"/>
                    <w:rPr>
                      <w:rFonts w:hint="default"/>
                      <w:color w:val="auto"/>
                      <w:kern w:val="0"/>
                      <w:lang w:val="en-US" w:eastAsia="zh-CN"/>
                    </w:rPr>
                  </w:pPr>
                  <w:r>
                    <w:rPr>
                      <w:rFonts w:hint="eastAsia"/>
                      <w:color w:val="auto"/>
                      <w:kern w:val="0"/>
                      <w:lang w:val="en-US" w:eastAsia="zh-CN"/>
                    </w:rPr>
                    <w:t>0.19</w:t>
                  </w:r>
                </w:p>
              </w:tc>
            </w:tr>
            <w:tr w14:paraId="778B224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680" w:type="pct"/>
                  <w:vMerge w:val="continue"/>
                  <w:tcBorders>
                    <w:tl2br w:val="nil"/>
                    <w:tr2bl w:val="nil"/>
                  </w:tcBorders>
                  <w:vAlign w:val="center"/>
                </w:tcPr>
                <w:p w14:paraId="16DD3811">
                  <w:pPr>
                    <w:topLinePunct/>
                    <w:adjustRightInd w:val="0"/>
                    <w:snapToGrid w:val="0"/>
                    <w:jc w:val="center"/>
                    <w:rPr>
                      <w:rFonts w:hint="eastAsia"/>
                      <w:color w:val="auto"/>
                      <w:kern w:val="0"/>
                      <w:lang w:val="en-US" w:eastAsia="zh-CN"/>
                    </w:rPr>
                  </w:pPr>
                </w:p>
              </w:tc>
              <w:tc>
                <w:tcPr>
                  <w:tcW w:w="727" w:type="pct"/>
                  <w:vMerge w:val="continue"/>
                  <w:tcBorders>
                    <w:tl2br w:val="nil"/>
                    <w:tr2bl w:val="nil"/>
                  </w:tcBorders>
                  <w:vAlign w:val="center"/>
                </w:tcPr>
                <w:p w14:paraId="73879EB8">
                  <w:pPr>
                    <w:topLinePunct/>
                    <w:adjustRightInd w:val="0"/>
                    <w:snapToGrid w:val="0"/>
                    <w:jc w:val="center"/>
                    <w:rPr>
                      <w:rFonts w:hint="eastAsia"/>
                      <w:color w:val="auto"/>
                      <w:kern w:val="0"/>
                    </w:rPr>
                  </w:pPr>
                </w:p>
              </w:tc>
              <w:tc>
                <w:tcPr>
                  <w:tcW w:w="790" w:type="pct"/>
                  <w:tcBorders>
                    <w:tl2br w:val="nil"/>
                    <w:tr2bl w:val="nil"/>
                  </w:tcBorders>
                  <w:vAlign w:val="center"/>
                </w:tcPr>
                <w:p w14:paraId="076283EB">
                  <w:pPr>
                    <w:adjustRightInd w:val="0"/>
                    <w:snapToGrid w:val="0"/>
                    <w:jc w:val="center"/>
                    <w:rPr>
                      <w:rFonts w:hint="default"/>
                      <w:color w:val="auto"/>
                      <w:kern w:val="0"/>
                      <w:lang w:val="en-US" w:eastAsia="zh-CN"/>
                    </w:rPr>
                  </w:pPr>
                  <w:r>
                    <w:rPr>
                      <w:rFonts w:hint="eastAsia"/>
                      <w:color w:val="auto"/>
                      <w:kern w:val="0"/>
                      <w:lang w:val="en-US" w:eastAsia="zh-CN"/>
                    </w:rPr>
                    <w:t>苯系物</w:t>
                  </w:r>
                </w:p>
              </w:tc>
              <w:tc>
                <w:tcPr>
                  <w:tcW w:w="760" w:type="pct"/>
                  <w:tcBorders>
                    <w:tl2br w:val="nil"/>
                    <w:tr2bl w:val="nil"/>
                  </w:tcBorders>
                  <w:vAlign w:val="center"/>
                </w:tcPr>
                <w:p w14:paraId="3DF445C1">
                  <w:pPr>
                    <w:adjustRightInd w:val="0"/>
                    <w:snapToGrid w:val="0"/>
                    <w:jc w:val="center"/>
                    <w:rPr>
                      <w:rFonts w:hint="default"/>
                      <w:color w:val="auto"/>
                      <w:kern w:val="0"/>
                      <w:lang w:val="en-US" w:eastAsia="zh-CN"/>
                    </w:rPr>
                  </w:pPr>
                  <w:r>
                    <w:rPr>
                      <w:rFonts w:hint="eastAsia"/>
                      <w:color w:val="auto"/>
                      <w:kern w:val="0"/>
                      <w:lang w:val="en-US" w:eastAsia="zh-CN"/>
                    </w:rPr>
                    <w:t>0.2</w:t>
                  </w:r>
                </w:p>
              </w:tc>
              <w:tc>
                <w:tcPr>
                  <w:tcW w:w="706" w:type="pct"/>
                  <w:tcBorders>
                    <w:tl2br w:val="nil"/>
                    <w:tr2bl w:val="nil"/>
                  </w:tcBorders>
                  <w:shd w:val="clear" w:color="auto" w:fill="auto"/>
                  <w:vAlign w:val="center"/>
                </w:tcPr>
                <w:p w14:paraId="00AAB599">
                  <w:pPr>
                    <w:adjustRightInd w:val="0"/>
                    <w:snapToGrid w:val="0"/>
                    <w:jc w:val="center"/>
                    <w:rPr>
                      <w:rFonts w:hint="eastAsia" w:ascii="Times New Roman" w:hAnsi="Times New Roman" w:eastAsia="宋体" w:cs="Times New Roman"/>
                      <w:snapToGrid w:val="0"/>
                      <w:color w:val="auto"/>
                      <w:kern w:val="0"/>
                      <w:sz w:val="21"/>
                      <w:szCs w:val="21"/>
                      <w:lang w:val="en-US" w:eastAsia="zh-CN" w:bidi="ar-SA"/>
                    </w:rPr>
                  </w:pPr>
                  <w:r>
                    <w:rPr>
                      <w:rFonts w:hint="eastAsia"/>
                      <w:color w:val="auto"/>
                      <w:kern w:val="0"/>
                    </w:rPr>
                    <w:t>0.5</w:t>
                  </w:r>
                </w:p>
              </w:tc>
              <w:tc>
                <w:tcPr>
                  <w:tcW w:w="609" w:type="pct"/>
                  <w:tcBorders>
                    <w:tl2br w:val="nil"/>
                    <w:tr2bl w:val="nil"/>
                  </w:tcBorders>
                  <w:shd w:val="clear" w:color="auto" w:fill="auto"/>
                  <w:vAlign w:val="center"/>
                </w:tcPr>
                <w:p w14:paraId="6C88498B">
                  <w:pPr>
                    <w:adjustRightInd w:val="0"/>
                    <w:snapToGrid w:val="0"/>
                    <w:jc w:val="center"/>
                    <w:rPr>
                      <w:rFonts w:ascii="Times New Roman" w:hAnsi="Times New Roman" w:eastAsia="宋体" w:cs="Times New Roman"/>
                      <w:snapToGrid w:val="0"/>
                      <w:color w:val="auto"/>
                      <w:kern w:val="0"/>
                      <w:sz w:val="21"/>
                      <w:szCs w:val="21"/>
                      <w:lang w:val="en-US" w:eastAsia="zh-CN" w:bidi="ar-SA"/>
                    </w:rPr>
                  </w:pPr>
                  <w:r>
                    <w:rPr>
                      <w:color w:val="auto"/>
                      <w:kern w:val="0"/>
                    </w:rPr>
                    <w:t>1</w:t>
                  </w:r>
                </w:p>
              </w:tc>
              <w:tc>
                <w:tcPr>
                  <w:tcW w:w="726" w:type="pct"/>
                  <w:tcBorders>
                    <w:tl2br w:val="nil"/>
                    <w:tr2bl w:val="nil"/>
                  </w:tcBorders>
                  <w:vAlign w:val="center"/>
                </w:tcPr>
                <w:p w14:paraId="1CE583CB">
                  <w:pPr>
                    <w:adjustRightInd w:val="0"/>
                    <w:snapToGrid w:val="0"/>
                    <w:jc w:val="center"/>
                    <w:rPr>
                      <w:rFonts w:hint="default"/>
                      <w:color w:val="auto"/>
                      <w:kern w:val="0"/>
                      <w:lang w:val="en-US" w:eastAsia="zh-CN"/>
                    </w:rPr>
                  </w:pPr>
                  <w:r>
                    <w:rPr>
                      <w:rFonts w:hint="eastAsia"/>
                      <w:color w:val="auto"/>
                      <w:kern w:val="0"/>
                      <w:lang w:val="en-US" w:eastAsia="zh-CN"/>
                    </w:rPr>
                    <w:t>0.1</w:t>
                  </w:r>
                </w:p>
              </w:tc>
            </w:tr>
            <w:tr w14:paraId="2839EE2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680" w:type="pct"/>
                  <w:vMerge w:val="continue"/>
                  <w:tcBorders>
                    <w:tl2br w:val="nil"/>
                    <w:tr2bl w:val="nil"/>
                  </w:tcBorders>
                  <w:vAlign w:val="center"/>
                </w:tcPr>
                <w:p w14:paraId="4632E9D9">
                  <w:pPr>
                    <w:topLinePunct/>
                    <w:adjustRightInd w:val="0"/>
                    <w:snapToGrid w:val="0"/>
                    <w:jc w:val="center"/>
                    <w:rPr>
                      <w:rFonts w:hint="eastAsia"/>
                      <w:color w:val="auto"/>
                      <w:kern w:val="0"/>
                      <w:lang w:val="en-US" w:eastAsia="zh-CN"/>
                    </w:rPr>
                  </w:pPr>
                </w:p>
              </w:tc>
              <w:tc>
                <w:tcPr>
                  <w:tcW w:w="727" w:type="pct"/>
                  <w:vMerge w:val="continue"/>
                  <w:tcBorders>
                    <w:tl2br w:val="nil"/>
                    <w:tr2bl w:val="nil"/>
                  </w:tcBorders>
                  <w:vAlign w:val="center"/>
                </w:tcPr>
                <w:p w14:paraId="13606F6A">
                  <w:pPr>
                    <w:topLinePunct/>
                    <w:adjustRightInd w:val="0"/>
                    <w:snapToGrid w:val="0"/>
                    <w:jc w:val="center"/>
                    <w:rPr>
                      <w:rFonts w:hint="eastAsia"/>
                      <w:color w:val="auto"/>
                      <w:kern w:val="0"/>
                    </w:rPr>
                  </w:pPr>
                </w:p>
              </w:tc>
              <w:tc>
                <w:tcPr>
                  <w:tcW w:w="790" w:type="pct"/>
                  <w:tcBorders>
                    <w:tl2br w:val="nil"/>
                    <w:tr2bl w:val="nil"/>
                  </w:tcBorders>
                  <w:vAlign w:val="center"/>
                </w:tcPr>
                <w:p w14:paraId="4EA42631">
                  <w:pPr>
                    <w:adjustRightInd w:val="0"/>
                    <w:snapToGrid w:val="0"/>
                    <w:jc w:val="center"/>
                    <w:rPr>
                      <w:rFonts w:hint="default"/>
                      <w:color w:val="auto"/>
                      <w:kern w:val="0"/>
                      <w:lang w:val="en-US" w:eastAsia="zh-CN"/>
                    </w:rPr>
                  </w:pPr>
                  <w:r>
                    <w:rPr>
                      <w:rFonts w:hint="eastAsia"/>
                      <w:color w:val="auto"/>
                      <w:kern w:val="0"/>
                      <w:lang w:val="en-US" w:eastAsia="zh-CN"/>
                    </w:rPr>
                    <w:t>二甲苯</w:t>
                  </w:r>
                </w:p>
              </w:tc>
              <w:tc>
                <w:tcPr>
                  <w:tcW w:w="760" w:type="pct"/>
                  <w:tcBorders>
                    <w:tl2br w:val="nil"/>
                    <w:tr2bl w:val="nil"/>
                  </w:tcBorders>
                  <w:vAlign w:val="center"/>
                </w:tcPr>
                <w:p w14:paraId="5BF955FA">
                  <w:pPr>
                    <w:adjustRightInd w:val="0"/>
                    <w:snapToGrid w:val="0"/>
                    <w:jc w:val="center"/>
                    <w:rPr>
                      <w:rFonts w:hint="default"/>
                      <w:color w:val="auto"/>
                      <w:kern w:val="0"/>
                      <w:lang w:val="en-US" w:eastAsia="zh-CN"/>
                    </w:rPr>
                  </w:pPr>
                  <w:r>
                    <w:rPr>
                      <w:rFonts w:hint="eastAsia"/>
                      <w:color w:val="auto"/>
                      <w:kern w:val="0"/>
                      <w:lang w:val="en-US" w:eastAsia="zh-CN"/>
                    </w:rPr>
                    <w:t>0.14</w:t>
                  </w:r>
                </w:p>
              </w:tc>
              <w:tc>
                <w:tcPr>
                  <w:tcW w:w="706" w:type="pct"/>
                  <w:tcBorders>
                    <w:tl2br w:val="nil"/>
                    <w:tr2bl w:val="nil"/>
                  </w:tcBorders>
                  <w:shd w:val="clear" w:color="auto" w:fill="auto"/>
                  <w:vAlign w:val="center"/>
                </w:tcPr>
                <w:p w14:paraId="508876FB">
                  <w:pPr>
                    <w:adjustRightInd w:val="0"/>
                    <w:snapToGrid w:val="0"/>
                    <w:jc w:val="center"/>
                    <w:rPr>
                      <w:rFonts w:hint="eastAsia"/>
                      <w:color w:val="auto"/>
                      <w:kern w:val="0"/>
                    </w:rPr>
                  </w:pPr>
                  <w:r>
                    <w:rPr>
                      <w:rFonts w:hint="eastAsia"/>
                      <w:color w:val="auto"/>
                      <w:kern w:val="0"/>
                    </w:rPr>
                    <w:t>0.5</w:t>
                  </w:r>
                </w:p>
              </w:tc>
              <w:tc>
                <w:tcPr>
                  <w:tcW w:w="609" w:type="pct"/>
                  <w:tcBorders>
                    <w:tl2br w:val="nil"/>
                    <w:tr2bl w:val="nil"/>
                  </w:tcBorders>
                  <w:shd w:val="clear" w:color="auto" w:fill="auto"/>
                  <w:vAlign w:val="center"/>
                </w:tcPr>
                <w:p w14:paraId="4244E8AD">
                  <w:pPr>
                    <w:adjustRightInd w:val="0"/>
                    <w:snapToGrid w:val="0"/>
                    <w:jc w:val="center"/>
                    <w:rPr>
                      <w:color w:val="auto"/>
                      <w:kern w:val="0"/>
                    </w:rPr>
                  </w:pPr>
                  <w:r>
                    <w:rPr>
                      <w:color w:val="auto"/>
                      <w:kern w:val="0"/>
                    </w:rPr>
                    <w:t>1</w:t>
                  </w:r>
                </w:p>
              </w:tc>
              <w:tc>
                <w:tcPr>
                  <w:tcW w:w="726" w:type="pct"/>
                  <w:tcBorders>
                    <w:tl2br w:val="nil"/>
                    <w:tr2bl w:val="nil"/>
                  </w:tcBorders>
                  <w:vAlign w:val="center"/>
                </w:tcPr>
                <w:p w14:paraId="24A6E70F">
                  <w:pPr>
                    <w:adjustRightInd w:val="0"/>
                    <w:snapToGrid w:val="0"/>
                    <w:jc w:val="center"/>
                    <w:rPr>
                      <w:rFonts w:hint="default"/>
                      <w:color w:val="auto"/>
                      <w:kern w:val="0"/>
                      <w:lang w:val="en-US" w:eastAsia="zh-CN"/>
                    </w:rPr>
                  </w:pPr>
                  <w:r>
                    <w:rPr>
                      <w:rFonts w:hint="eastAsia"/>
                      <w:color w:val="auto"/>
                      <w:kern w:val="0"/>
                      <w:lang w:val="en-US" w:eastAsia="zh-CN"/>
                    </w:rPr>
                    <w:t>0.07</w:t>
                  </w:r>
                </w:p>
              </w:tc>
            </w:tr>
            <w:tr w14:paraId="569AC5A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680" w:type="pct"/>
                  <w:vMerge w:val="continue"/>
                  <w:tcBorders>
                    <w:tl2br w:val="nil"/>
                    <w:tr2bl w:val="nil"/>
                  </w:tcBorders>
                  <w:vAlign w:val="center"/>
                </w:tcPr>
                <w:p w14:paraId="39DB4909">
                  <w:pPr>
                    <w:topLinePunct/>
                    <w:adjustRightInd w:val="0"/>
                    <w:snapToGrid w:val="0"/>
                    <w:jc w:val="center"/>
                    <w:rPr>
                      <w:rFonts w:hint="eastAsia"/>
                      <w:color w:val="auto"/>
                      <w:kern w:val="0"/>
                      <w:lang w:val="en-US" w:eastAsia="zh-CN"/>
                    </w:rPr>
                  </w:pPr>
                </w:p>
              </w:tc>
              <w:tc>
                <w:tcPr>
                  <w:tcW w:w="727" w:type="pct"/>
                  <w:vMerge w:val="continue"/>
                  <w:tcBorders>
                    <w:tl2br w:val="nil"/>
                    <w:tr2bl w:val="nil"/>
                  </w:tcBorders>
                  <w:vAlign w:val="center"/>
                </w:tcPr>
                <w:p w14:paraId="6B5438E9">
                  <w:pPr>
                    <w:topLinePunct/>
                    <w:adjustRightInd w:val="0"/>
                    <w:snapToGrid w:val="0"/>
                    <w:jc w:val="center"/>
                    <w:rPr>
                      <w:rFonts w:hint="eastAsia"/>
                      <w:color w:val="auto"/>
                      <w:kern w:val="0"/>
                    </w:rPr>
                  </w:pPr>
                </w:p>
              </w:tc>
              <w:tc>
                <w:tcPr>
                  <w:tcW w:w="790" w:type="pct"/>
                  <w:tcBorders>
                    <w:tl2br w:val="nil"/>
                    <w:tr2bl w:val="nil"/>
                  </w:tcBorders>
                  <w:vAlign w:val="center"/>
                </w:tcPr>
                <w:p w14:paraId="3B129F99">
                  <w:pPr>
                    <w:adjustRightInd w:val="0"/>
                    <w:snapToGrid w:val="0"/>
                    <w:jc w:val="center"/>
                    <w:rPr>
                      <w:rFonts w:hint="default"/>
                      <w:color w:val="auto"/>
                      <w:kern w:val="0"/>
                      <w:lang w:val="en-US" w:eastAsia="zh-CN"/>
                    </w:rPr>
                  </w:pPr>
                  <w:r>
                    <w:rPr>
                      <w:rFonts w:hint="eastAsia"/>
                      <w:color w:val="auto"/>
                      <w:kern w:val="0"/>
                      <w:lang w:val="en-US" w:eastAsia="zh-CN"/>
                    </w:rPr>
                    <w:t>乙苯</w:t>
                  </w:r>
                </w:p>
              </w:tc>
              <w:tc>
                <w:tcPr>
                  <w:tcW w:w="760" w:type="pct"/>
                  <w:tcBorders>
                    <w:tl2br w:val="nil"/>
                    <w:tr2bl w:val="nil"/>
                  </w:tcBorders>
                  <w:vAlign w:val="center"/>
                </w:tcPr>
                <w:p w14:paraId="1442859F">
                  <w:pPr>
                    <w:adjustRightInd w:val="0"/>
                    <w:snapToGrid w:val="0"/>
                    <w:jc w:val="center"/>
                    <w:rPr>
                      <w:rFonts w:hint="default"/>
                      <w:color w:val="auto"/>
                      <w:kern w:val="0"/>
                      <w:lang w:val="en-US" w:eastAsia="zh-CN"/>
                    </w:rPr>
                  </w:pPr>
                  <w:r>
                    <w:rPr>
                      <w:rFonts w:hint="eastAsia"/>
                      <w:color w:val="auto"/>
                      <w:kern w:val="0"/>
                      <w:lang w:val="en-US" w:eastAsia="zh-CN"/>
                    </w:rPr>
                    <w:t>0.0312</w:t>
                  </w:r>
                </w:p>
              </w:tc>
              <w:tc>
                <w:tcPr>
                  <w:tcW w:w="706" w:type="pct"/>
                  <w:tcBorders>
                    <w:tl2br w:val="nil"/>
                    <w:tr2bl w:val="nil"/>
                  </w:tcBorders>
                  <w:shd w:val="clear" w:color="auto" w:fill="auto"/>
                  <w:vAlign w:val="center"/>
                </w:tcPr>
                <w:p w14:paraId="2C3A052B">
                  <w:pPr>
                    <w:adjustRightInd w:val="0"/>
                    <w:snapToGrid w:val="0"/>
                    <w:jc w:val="center"/>
                    <w:rPr>
                      <w:rFonts w:hint="eastAsia"/>
                      <w:color w:val="auto"/>
                      <w:kern w:val="0"/>
                    </w:rPr>
                  </w:pPr>
                  <w:r>
                    <w:rPr>
                      <w:rFonts w:hint="eastAsia"/>
                      <w:color w:val="auto"/>
                      <w:kern w:val="0"/>
                    </w:rPr>
                    <w:t>0.5</w:t>
                  </w:r>
                </w:p>
              </w:tc>
              <w:tc>
                <w:tcPr>
                  <w:tcW w:w="609" w:type="pct"/>
                  <w:tcBorders>
                    <w:tl2br w:val="nil"/>
                    <w:tr2bl w:val="nil"/>
                  </w:tcBorders>
                  <w:shd w:val="clear" w:color="auto" w:fill="auto"/>
                  <w:vAlign w:val="center"/>
                </w:tcPr>
                <w:p w14:paraId="43E92581">
                  <w:pPr>
                    <w:adjustRightInd w:val="0"/>
                    <w:snapToGrid w:val="0"/>
                    <w:jc w:val="center"/>
                    <w:rPr>
                      <w:color w:val="auto"/>
                      <w:kern w:val="0"/>
                    </w:rPr>
                  </w:pPr>
                  <w:r>
                    <w:rPr>
                      <w:color w:val="auto"/>
                      <w:kern w:val="0"/>
                    </w:rPr>
                    <w:t>1</w:t>
                  </w:r>
                </w:p>
              </w:tc>
              <w:tc>
                <w:tcPr>
                  <w:tcW w:w="726" w:type="pct"/>
                  <w:tcBorders>
                    <w:tl2br w:val="nil"/>
                    <w:tr2bl w:val="nil"/>
                  </w:tcBorders>
                  <w:vAlign w:val="center"/>
                </w:tcPr>
                <w:p w14:paraId="356388C1">
                  <w:pPr>
                    <w:adjustRightInd w:val="0"/>
                    <w:snapToGrid w:val="0"/>
                    <w:jc w:val="center"/>
                    <w:rPr>
                      <w:rFonts w:hint="default"/>
                      <w:color w:val="auto"/>
                      <w:kern w:val="0"/>
                      <w:lang w:val="en-US" w:eastAsia="zh-CN"/>
                    </w:rPr>
                  </w:pPr>
                  <w:r>
                    <w:rPr>
                      <w:rFonts w:hint="eastAsia"/>
                      <w:color w:val="auto"/>
                      <w:kern w:val="0"/>
                      <w:lang w:val="en-US" w:eastAsia="zh-CN"/>
                    </w:rPr>
                    <w:t>0.0156</w:t>
                  </w:r>
                </w:p>
              </w:tc>
            </w:tr>
            <w:tr w14:paraId="02CEDEB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680" w:type="pct"/>
                  <w:vMerge w:val="continue"/>
                  <w:tcBorders>
                    <w:tl2br w:val="nil"/>
                    <w:tr2bl w:val="nil"/>
                  </w:tcBorders>
                  <w:vAlign w:val="center"/>
                </w:tcPr>
                <w:p w14:paraId="636B5D69">
                  <w:pPr>
                    <w:topLinePunct/>
                    <w:adjustRightInd w:val="0"/>
                    <w:snapToGrid w:val="0"/>
                    <w:jc w:val="center"/>
                    <w:rPr>
                      <w:rFonts w:hint="eastAsia"/>
                      <w:color w:val="auto"/>
                      <w:kern w:val="0"/>
                      <w:lang w:val="en-US" w:eastAsia="zh-CN"/>
                    </w:rPr>
                  </w:pPr>
                </w:p>
              </w:tc>
              <w:tc>
                <w:tcPr>
                  <w:tcW w:w="727" w:type="pct"/>
                  <w:vMerge w:val="continue"/>
                  <w:tcBorders>
                    <w:tl2br w:val="nil"/>
                    <w:tr2bl w:val="nil"/>
                  </w:tcBorders>
                  <w:vAlign w:val="center"/>
                </w:tcPr>
                <w:p w14:paraId="4FF0EADF">
                  <w:pPr>
                    <w:topLinePunct/>
                    <w:adjustRightInd w:val="0"/>
                    <w:snapToGrid w:val="0"/>
                    <w:jc w:val="center"/>
                    <w:rPr>
                      <w:rFonts w:hint="eastAsia"/>
                      <w:color w:val="auto"/>
                      <w:kern w:val="0"/>
                    </w:rPr>
                  </w:pPr>
                </w:p>
              </w:tc>
              <w:tc>
                <w:tcPr>
                  <w:tcW w:w="790" w:type="pct"/>
                  <w:tcBorders>
                    <w:tl2br w:val="nil"/>
                    <w:tr2bl w:val="nil"/>
                  </w:tcBorders>
                  <w:vAlign w:val="center"/>
                </w:tcPr>
                <w:p w14:paraId="6B012F25">
                  <w:pPr>
                    <w:adjustRightInd w:val="0"/>
                    <w:snapToGrid w:val="0"/>
                    <w:jc w:val="center"/>
                    <w:rPr>
                      <w:rFonts w:hint="default"/>
                      <w:color w:val="auto"/>
                      <w:kern w:val="0"/>
                      <w:lang w:val="en-US" w:eastAsia="zh-CN"/>
                    </w:rPr>
                  </w:pPr>
                  <w:r>
                    <w:rPr>
                      <w:rFonts w:hint="eastAsia"/>
                      <w:color w:val="auto"/>
                      <w:kern w:val="0"/>
                      <w:lang w:val="en-US" w:eastAsia="zh-CN"/>
                    </w:rPr>
                    <w:t>三甲苯</w:t>
                  </w:r>
                </w:p>
              </w:tc>
              <w:tc>
                <w:tcPr>
                  <w:tcW w:w="760" w:type="pct"/>
                  <w:tcBorders>
                    <w:tl2br w:val="nil"/>
                    <w:tr2bl w:val="nil"/>
                  </w:tcBorders>
                  <w:vAlign w:val="center"/>
                </w:tcPr>
                <w:p w14:paraId="099CE2E9">
                  <w:pPr>
                    <w:adjustRightInd w:val="0"/>
                    <w:snapToGrid w:val="0"/>
                    <w:jc w:val="center"/>
                    <w:rPr>
                      <w:rFonts w:hint="default"/>
                      <w:color w:val="auto"/>
                      <w:kern w:val="0"/>
                      <w:lang w:val="en-US" w:eastAsia="zh-CN"/>
                    </w:rPr>
                  </w:pPr>
                  <w:r>
                    <w:rPr>
                      <w:rFonts w:hint="eastAsia"/>
                      <w:color w:val="auto"/>
                      <w:kern w:val="0"/>
                      <w:lang w:val="en-US" w:eastAsia="zh-CN"/>
                    </w:rPr>
                    <w:t>0.0334</w:t>
                  </w:r>
                </w:p>
              </w:tc>
              <w:tc>
                <w:tcPr>
                  <w:tcW w:w="706" w:type="pct"/>
                  <w:tcBorders>
                    <w:tl2br w:val="nil"/>
                    <w:tr2bl w:val="nil"/>
                  </w:tcBorders>
                  <w:shd w:val="clear" w:color="auto" w:fill="auto"/>
                  <w:vAlign w:val="center"/>
                </w:tcPr>
                <w:p w14:paraId="7A20C207">
                  <w:pPr>
                    <w:adjustRightInd w:val="0"/>
                    <w:snapToGrid w:val="0"/>
                    <w:jc w:val="center"/>
                    <w:rPr>
                      <w:rFonts w:hint="eastAsia"/>
                      <w:color w:val="auto"/>
                      <w:kern w:val="0"/>
                    </w:rPr>
                  </w:pPr>
                  <w:r>
                    <w:rPr>
                      <w:rFonts w:hint="eastAsia"/>
                      <w:color w:val="auto"/>
                      <w:kern w:val="0"/>
                    </w:rPr>
                    <w:t>0.5</w:t>
                  </w:r>
                </w:p>
              </w:tc>
              <w:tc>
                <w:tcPr>
                  <w:tcW w:w="609" w:type="pct"/>
                  <w:tcBorders>
                    <w:tl2br w:val="nil"/>
                    <w:tr2bl w:val="nil"/>
                  </w:tcBorders>
                  <w:shd w:val="clear" w:color="auto" w:fill="auto"/>
                  <w:vAlign w:val="center"/>
                </w:tcPr>
                <w:p w14:paraId="1E6E61C1">
                  <w:pPr>
                    <w:adjustRightInd w:val="0"/>
                    <w:snapToGrid w:val="0"/>
                    <w:jc w:val="center"/>
                    <w:rPr>
                      <w:color w:val="auto"/>
                      <w:kern w:val="0"/>
                    </w:rPr>
                  </w:pPr>
                  <w:r>
                    <w:rPr>
                      <w:color w:val="auto"/>
                      <w:kern w:val="0"/>
                    </w:rPr>
                    <w:t>1</w:t>
                  </w:r>
                </w:p>
              </w:tc>
              <w:tc>
                <w:tcPr>
                  <w:tcW w:w="726" w:type="pct"/>
                  <w:tcBorders>
                    <w:tl2br w:val="nil"/>
                    <w:tr2bl w:val="nil"/>
                  </w:tcBorders>
                  <w:vAlign w:val="center"/>
                </w:tcPr>
                <w:p w14:paraId="6EC0FAED">
                  <w:pPr>
                    <w:adjustRightInd w:val="0"/>
                    <w:snapToGrid w:val="0"/>
                    <w:jc w:val="center"/>
                    <w:rPr>
                      <w:rFonts w:hint="default"/>
                      <w:color w:val="auto"/>
                      <w:kern w:val="0"/>
                      <w:lang w:val="en-US" w:eastAsia="zh-CN"/>
                    </w:rPr>
                  </w:pPr>
                  <w:r>
                    <w:rPr>
                      <w:rFonts w:hint="eastAsia"/>
                      <w:color w:val="auto"/>
                      <w:kern w:val="0"/>
                      <w:lang w:val="en-US" w:eastAsia="zh-CN"/>
                    </w:rPr>
                    <w:t>0.0167</w:t>
                  </w:r>
                </w:p>
              </w:tc>
            </w:tr>
            <w:tr w14:paraId="1BE41BE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5000" w:type="pct"/>
                  <w:gridSpan w:val="7"/>
                  <w:tcBorders>
                    <w:tl2br w:val="nil"/>
                    <w:tr2bl w:val="nil"/>
                  </w:tcBorders>
                  <w:vAlign w:val="center"/>
                </w:tcPr>
                <w:p w14:paraId="1BED3E37">
                  <w:pPr>
                    <w:adjustRightInd w:val="0"/>
                    <w:snapToGrid w:val="0"/>
                    <w:jc w:val="left"/>
                    <w:rPr>
                      <w:rFonts w:hint="eastAsia"/>
                      <w:color w:val="auto"/>
                      <w:kern w:val="0"/>
                      <w:lang w:val="en-US" w:eastAsia="zh-CN"/>
                    </w:rPr>
                  </w:pPr>
                  <w:r>
                    <w:rPr>
                      <w:rFonts w:hint="eastAsia"/>
                      <w:color w:val="auto"/>
                      <w:sz w:val="21"/>
                      <w:szCs w:val="21"/>
                      <w:lang w:val="en-US" w:eastAsia="zh-CN"/>
                    </w:rPr>
                    <w:t>注：非甲烷总烃中包含苯系物（其中包括二甲苯、乙苯、三甲苯）。</w:t>
                  </w:r>
                </w:p>
              </w:tc>
            </w:tr>
          </w:tbl>
          <w:p w14:paraId="14E7373A">
            <w:pPr>
              <w:pStyle w:val="695"/>
              <w:snapToGrid w:val="0"/>
              <w:spacing w:line="360" w:lineRule="auto"/>
              <w:ind w:firstLine="420" w:firstLineChars="200"/>
              <w:jc w:val="both"/>
              <w:rPr>
                <w:rFonts w:ascii="Times New Roman"/>
                <w:color w:val="auto"/>
                <w:szCs w:val="21"/>
              </w:rPr>
            </w:pPr>
            <w:r>
              <w:rPr>
                <w:rFonts w:ascii="Times New Roman"/>
                <w:color w:val="auto"/>
                <w:szCs w:val="21"/>
              </w:rPr>
              <w:t>由上表可知，非正常工况下</w:t>
            </w:r>
            <w:r>
              <w:rPr>
                <w:rFonts w:hint="eastAsia" w:ascii="Times New Roman"/>
                <w:color w:val="auto"/>
                <w:szCs w:val="21"/>
              </w:rPr>
              <w:t>污染因子</w:t>
            </w:r>
            <w:r>
              <w:rPr>
                <w:rFonts w:ascii="Times New Roman"/>
                <w:color w:val="auto"/>
                <w:szCs w:val="21"/>
              </w:rPr>
              <w:t>排</w:t>
            </w:r>
            <w:r>
              <w:rPr>
                <w:rFonts w:hint="eastAsia" w:ascii="Times New Roman"/>
                <w:color w:val="auto"/>
                <w:szCs w:val="21"/>
              </w:rPr>
              <w:t>放</w:t>
            </w:r>
            <w:r>
              <w:rPr>
                <w:rFonts w:ascii="Times New Roman"/>
                <w:color w:val="auto"/>
                <w:szCs w:val="21"/>
              </w:rPr>
              <w:t>量</w:t>
            </w:r>
            <w:r>
              <w:rPr>
                <w:rFonts w:hint="eastAsia" w:ascii="Times New Roman"/>
                <w:color w:val="auto"/>
                <w:szCs w:val="21"/>
              </w:rPr>
              <w:t>均有所</w:t>
            </w:r>
            <w:r>
              <w:rPr>
                <w:rFonts w:ascii="Times New Roman"/>
                <w:color w:val="auto"/>
                <w:szCs w:val="21"/>
              </w:rPr>
              <w:t>增加，为确保项目废气处理装置正常运行，建设方在日常运行过程中，拟采取如下措施：</w:t>
            </w:r>
          </w:p>
          <w:p w14:paraId="4448EAFC">
            <w:pPr>
              <w:pStyle w:val="695"/>
              <w:snapToGrid w:val="0"/>
              <w:spacing w:line="360" w:lineRule="auto"/>
              <w:ind w:firstLine="420" w:firstLineChars="200"/>
              <w:jc w:val="both"/>
              <w:rPr>
                <w:rFonts w:ascii="Times New Roman"/>
                <w:color w:val="auto"/>
                <w:szCs w:val="21"/>
              </w:rPr>
            </w:pPr>
            <w:r>
              <w:rPr>
                <w:rFonts w:ascii="Times New Roman"/>
                <w:color w:val="auto"/>
                <w:szCs w:val="21"/>
              </w:rPr>
              <w:t>①由公司委派专人负责每日巡检废气处理装置，做好巡检记录；</w:t>
            </w:r>
          </w:p>
          <w:p w14:paraId="2C999ED3">
            <w:pPr>
              <w:pStyle w:val="695"/>
              <w:snapToGrid w:val="0"/>
              <w:spacing w:line="360" w:lineRule="auto"/>
              <w:ind w:firstLine="420" w:firstLineChars="200"/>
              <w:jc w:val="both"/>
              <w:rPr>
                <w:rFonts w:ascii="Times New Roman"/>
                <w:color w:val="auto"/>
                <w:szCs w:val="21"/>
              </w:rPr>
            </w:pPr>
            <w:r>
              <w:rPr>
                <w:rFonts w:ascii="Times New Roman"/>
                <w:color w:val="auto"/>
                <w:szCs w:val="21"/>
              </w:rPr>
              <w:t>②当发现废气处理设施故障并导致废气非正常排放时，应立即停止生产，待废气处理装置故障排除后并可正常运行时方可恢复加工生产；</w:t>
            </w:r>
          </w:p>
          <w:p w14:paraId="2E70D6FF">
            <w:pPr>
              <w:pStyle w:val="695"/>
              <w:snapToGrid w:val="0"/>
              <w:spacing w:line="360" w:lineRule="auto"/>
              <w:ind w:firstLine="420" w:firstLineChars="200"/>
              <w:jc w:val="both"/>
              <w:rPr>
                <w:rFonts w:ascii="Times New Roman"/>
                <w:color w:val="auto"/>
                <w:szCs w:val="21"/>
              </w:rPr>
            </w:pPr>
            <w:r>
              <w:rPr>
                <w:rFonts w:ascii="Times New Roman"/>
                <w:color w:val="auto"/>
                <w:szCs w:val="21"/>
              </w:rPr>
              <w:t>③定期对二级活性炭吸附装置进行更换及维护保养，保证废气处理装置的正常运行，以减少废气的非正常排放；</w:t>
            </w:r>
          </w:p>
          <w:p w14:paraId="3554AA4C">
            <w:pPr>
              <w:pStyle w:val="23"/>
              <w:widowControl w:val="0"/>
              <w:ind w:firstLine="420" w:firstLineChars="200"/>
              <w:rPr>
                <w:color w:val="auto"/>
                <w:sz w:val="21"/>
                <w:szCs w:val="21"/>
              </w:rPr>
            </w:pPr>
            <w:r>
              <w:rPr>
                <w:color w:val="auto"/>
                <w:sz w:val="21"/>
                <w:szCs w:val="21"/>
              </w:rPr>
              <w:fldChar w:fldCharType="begin"/>
            </w:r>
            <w:r>
              <w:rPr>
                <w:color w:val="auto"/>
                <w:sz w:val="21"/>
                <w:szCs w:val="21"/>
              </w:rPr>
              <w:instrText xml:space="preserve"> = 4 \* GB3 \* MERGEFORMAT </w:instrText>
            </w:r>
            <w:r>
              <w:rPr>
                <w:color w:val="auto"/>
                <w:sz w:val="21"/>
                <w:szCs w:val="21"/>
              </w:rPr>
              <w:fldChar w:fldCharType="separate"/>
            </w:r>
            <w:r>
              <w:rPr>
                <w:color w:val="auto"/>
                <w:sz w:val="21"/>
                <w:szCs w:val="21"/>
              </w:rPr>
              <w:t>④</w:t>
            </w:r>
            <w:r>
              <w:rPr>
                <w:color w:val="auto"/>
                <w:sz w:val="21"/>
                <w:szCs w:val="21"/>
              </w:rPr>
              <w:fldChar w:fldCharType="end"/>
            </w:r>
            <w:r>
              <w:rPr>
                <w:color w:val="auto"/>
                <w:sz w:val="21"/>
                <w:szCs w:val="21"/>
              </w:rPr>
              <w:t>建立废气处理装置运行管理台账，由专人负责记录。</w:t>
            </w:r>
          </w:p>
          <w:p w14:paraId="1AC37669">
            <w:pPr>
              <w:adjustRightInd w:val="0"/>
              <w:snapToGrid w:val="0"/>
              <w:spacing w:line="360" w:lineRule="auto"/>
              <w:ind w:firstLine="422" w:firstLineChars="200"/>
              <w:jc w:val="left"/>
              <w:rPr>
                <w:color w:val="auto"/>
                <w:kern w:val="0"/>
              </w:rPr>
            </w:pPr>
            <w:r>
              <w:rPr>
                <w:rFonts w:hint="eastAsia"/>
                <w:b/>
                <w:bCs/>
                <w:color w:val="auto"/>
                <w:kern w:val="0"/>
              </w:rPr>
              <w:t>（3）废气排放源基本情况</w:t>
            </w:r>
          </w:p>
          <w:p w14:paraId="3931005C">
            <w:pPr>
              <w:jc w:val="center"/>
              <w:rPr>
                <w:b/>
                <w:color w:val="auto"/>
                <w:kern w:val="0"/>
                <w:lang w:bidi="ar"/>
              </w:rPr>
            </w:pPr>
            <w:r>
              <w:rPr>
                <w:rFonts w:hint="eastAsia"/>
                <w:b/>
                <w:color w:val="auto"/>
                <w:kern w:val="0"/>
                <w:lang w:bidi="ar"/>
              </w:rPr>
              <w:t>表4-</w:t>
            </w:r>
            <w:r>
              <w:rPr>
                <w:rFonts w:hint="eastAsia"/>
                <w:b/>
                <w:color w:val="auto"/>
                <w:kern w:val="0"/>
                <w:lang w:val="en-US" w:eastAsia="zh-CN" w:bidi="ar"/>
              </w:rPr>
              <w:t>4</w:t>
            </w:r>
            <w:r>
              <w:rPr>
                <w:rFonts w:hint="eastAsia"/>
                <w:b/>
                <w:color w:val="auto"/>
                <w:kern w:val="0"/>
                <w:lang w:bidi="ar"/>
              </w:rPr>
              <w:t xml:space="preserve">   点源参数表</w:t>
            </w:r>
          </w:p>
          <w:tbl>
            <w:tblPr>
              <w:tblStyle w:val="59"/>
              <w:tblW w:w="4997" w:type="pct"/>
              <w:tblInd w:w="0" w:type="dxa"/>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627"/>
              <w:gridCol w:w="606"/>
              <w:gridCol w:w="608"/>
              <w:gridCol w:w="779"/>
              <w:gridCol w:w="944"/>
              <w:gridCol w:w="614"/>
              <w:gridCol w:w="824"/>
              <w:gridCol w:w="944"/>
              <w:gridCol w:w="719"/>
              <w:gridCol w:w="1199"/>
              <w:gridCol w:w="992"/>
            </w:tblGrid>
            <w:tr w14:paraId="1F724DC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353" w:type="pct"/>
                  <w:vMerge w:val="restart"/>
                  <w:tcBorders>
                    <w:tl2br w:val="nil"/>
                    <w:tr2bl w:val="nil"/>
                  </w:tcBorders>
                  <w:shd w:val="clear" w:color="auto" w:fill="auto"/>
                  <w:vAlign w:val="center"/>
                </w:tcPr>
                <w:p w14:paraId="61192495">
                  <w:pPr>
                    <w:adjustRightInd w:val="0"/>
                    <w:snapToGrid w:val="0"/>
                    <w:jc w:val="center"/>
                    <w:rPr>
                      <w:b/>
                      <w:color w:val="auto"/>
                      <w:kern w:val="0"/>
                      <w:sz w:val="18"/>
                      <w:szCs w:val="18"/>
                      <w:lang w:bidi="ar"/>
                    </w:rPr>
                  </w:pPr>
                  <w:r>
                    <w:rPr>
                      <w:rFonts w:hint="eastAsia"/>
                      <w:b/>
                      <w:color w:val="auto"/>
                      <w:kern w:val="0"/>
                      <w:sz w:val="18"/>
                      <w:szCs w:val="18"/>
                      <w:lang w:bidi="ar"/>
                    </w:rPr>
                    <w:t>名称</w:t>
                  </w:r>
                </w:p>
              </w:tc>
              <w:tc>
                <w:tcPr>
                  <w:tcW w:w="685" w:type="pct"/>
                  <w:gridSpan w:val="2"/>
                  <w:tcBorders>
                    <w:tl2br w:val="nil"/>
                    <w:tr2bl w:val="nil"/>
                  </w:tcBorders>
                  <w:shd w:val="clear" w:color="auto" w:fill="auto"/>
                  <w:vAlign w:val="center"/>
                </w:tcPr>
                <w:p w14:paraId="1E9E9A1E">
                  <w:pPr>
                    <w:adjustRightInd w:val="0"/>
                    <w:snapToGrid w:val="0"/>
                    <w:jc w:val="center"/>
                    <w:rPr>
                      <w:b/>
                      <w:color w:val="auto"/>
                      <w:kern w:val="0"/>
                      <w:sz w:val="18"/>
                      <w:szCs w:val="18"/>
                      <w:lang w:bidi="ar"/>
                    </w:rPr>
                  </w:pPr>
                  <w:r>
                    <w:rPr>
                      <w:rFonts w:hint="eastAsia"/>
                      <w:b/>
                      <w:color w:val="auto"/>
                      <w:kern w:val="0"/>
                      <w:sz w:val="18"/>
                      <w:szCs w:val="18"/>
                      <w:lang w:bidi="ar"/>
                    </w:rPr>
                    <w:t>排气筒底部中心坐标m</w:t>
                  </w:r>
                </w:p>
              </w:tc>
              <w:tc>
                <w:tcPr>
                  <w:tcW w:w="439" w:type="pct"/>
                  <w:vMerge w:val="restart"/>
                  <w:tcBorders>
                    <w:tl2br w:val="nil"/>
                    <w:tr2bl w:val="nil"/>
                  </w:tcBorders>
                  <w:shd w:val="clear" w:color="auto" w:fill="auto"/>
                  <w:vAlign w:val="center"/>
                </w:tcPr>
                <w:p w14:paraId="2B7AC994">
                  <w:pPr>
                    <w:adjustRightInd w:val="0"/>
                    <w:snapToGrid w:val="0"/>
                    <w:jc w:val="center"/>
                    <w:rPr>
                      <w:b/>
                      <w:color w:val="auto"/>
                      <w:kern w:val="0"/>
                      <w:sz w:val="18"/>
                      <w:szCs w:val="18"/>
                      <w:lang w:bidi="ar"/>
                    </w:rPr>
                  </w:pPr>
                  <w:r>
                    <w:rPr>
                      <w:rFonts w:hint="eastAsia"/>
                      <w:b/>
                      <w:color w:val="auto"/>
                      <w:kern w:val="0"/>
                      <w:sz w:val="18"/>
                      <w:szCs w:val="18"/>
                      <w:lang w:bidi="ar"/>
                    </w:rPr>
                    <w:t>排气筒高度m</w:t>
                  </w:r>
                </w:p>
              </w:tc>
              <w:tc>
                <w:tcPr>
                  <w:tcW w:w="532" w:type="pct"/>
                  <w:vMerge w:val="restart"/>
                  <w:tcBorders>
                    <w:tl2br w:val="nil"/>
                    <w:tr2bl w:val="nil"/>
                  </w:tcBorders>
                  <w:shd w:val="clear" w:color="auto" w:fill="auto"/>
                  <w:vAlign w:val="center"/>
                </w:tcPr>
                <w:p w14:paraId="6A87CFF4">
                  <w:pPr>
                    <w:adjustRightInd w:val="0"/>
                    <w:snapToGrid w:val="0"/>
                    <w:jc w:val="center"/>
                    <w:rPr>
                      <w:b/>
                      <w:color w:val="auto"/>
                      <w:kern w:val="0"/>
                      <w:sz w:val="18"/>
                      <w:szCs w:val="18"/>
                      <w:lang w:bidi="ar"/>
                    </w:rPr>
                  </w:pPr>
                  <w:r>
                    <w:rPr>
                      <w:rFonts w:hint="eastAsia"/>
                      <w:b/>
                      <w:color w:val="auto"/>
                      <w:kern w:val="0"/>
                      <w:sz w:val="18"/>
                      <w:szCs w:val="18"/>
                      <w:lang w:bidi="ar"/>
                    </w:rPr>
                    <w:t>排气筒出口内径m</w:t>
                  </w:r>
                </w:p>
              </w:tc>
              <w:tc>
                <w:tcPr>
                  <w:tcW w:w="346" w:type="pct"/>
                  <w:vMerge w:val="restart"/>
                  <w:tcBorders>
                    <w:tl2br w:val="nil"/>
                    <w:tr2bl w:val="nil"/>
                  </w:tcBorders>
                  <w:shd w:val="clear" w:color="auto" w:fill="auto"/>
                  <w:vAlign w:val="center"/>
                </w:tcPr>
                <w:p w14:paraId="05BE103A">
                  <w:pPr>
                    <w:adjustRightInd w:val="0"/>
                    <w:snapToGrid w:val="0"/>
                    <w:jc w:val="center"/>
                    <w:rPr>
                      <w:b/>
                      <w:color w:val="auto"/>
                      <w:kern w:val="0"/>
                      <w:sz w:val="18"/>
                      <w:szCs w:val="18"/>
                      <w:lang w:bidi="ar"/>
                    </w:rPr>
                  </w:pPr>
                  <w:r>
                    <w:rPr>
                      <w:b/>
                      <w:color w:val="auto"/>
                      <w:kern w:val="0"/>
                      <w:sz w:val="18"/>
                      <w:szCs w:val="18"/>
                      <w:lang w:bidi="ar"/>
                    </w:rPr>
                    <w:t>温度/℃</w:t>
                  </w:r>
                </w:p>
              </w:tc>
              <w:tc>
                <w:tcPr>
                  <w:tcW w:w="465" w:type="pct"/>
                  <w:vMerge w:val="restart"/>
                  <w:tcBorders>
                    <w:tl2br w:val="nil"/>
                    <w:tr2bl w:val="nil"/>
                  </w:tcBorders>
                  <w:shd w:val="clear" w:color="auto" w:fill="auto"/>
                  <w:vAlign w:val="center"/>
                </w:tcPr>
                <w:p w14:paraId="0464CD10">
                  <w:pPr>
                    <w:adjustRightInd w:val="0"/>
                    <w:snapToGrid w:val="0"/>
                    <w:jc w:val="center"/>
                    <w:rPr>
                      <w:b/>
                      <w:color w:val="auto"/>
                      <w:kern w:val="0"/>
                      <w:sz w:val="18"/>
                      <w:szCs w:val="18"/>
                      <w:lang w:bidi="ar"/>
                    </w:rPr>
                  </w:pPr>
                  <w:r>
                    <w:rPr>
                      <w:rFonts w:hint="eastAsia"/>
                      <w:b/>
                      <w:color w:val="auto"/>
                      <w:kern w:val="0"/>
                      <w:sz w:val="18"/>
                      <w:szCs w:val="18"/>
                      <w:lang w:bidi="ar"/>
                    </w:rPr>
                    <w:t>烟气流速m/s</w:t>
                  </w:r>
                </w:p>
              </w:tc>
              <w:tc>
                <w:tcPr>
                  <w:tcW w:w="532" w:type="pct"/>
                  <w:vMerge w:val="restart"/>
                  <w:tcBorders>
                    <w:tl2br w:val="nil"/>
                    <w:tr2bl w:val="nil"/>
                  </w:tcBorders>
                  <w:shd w:val="clear" w:color="auto" w:fill="auto"/>
                  <w:vAlign w:val="center"/>
                </w:tcPr>
                <w:p w14:paraId="23C5C0DF">
                  <w:pPr>
                    <w:adjustRightInd w:val="0"/>
                    <w:snapToGrid w:val="0"/>
                    <w:jc w:val="center"/>
                    <w:rPr>
                      <w:b/>
                      <w:color w:val="auto"/>
                      <w:kern w:val="0"/>
                      <w:sz w:val="18"/>
                      <w:szCs w:val="18"/>
                      <w:lang w:bidi="ar"/>
                    </w:rPr>
                  </w:pPr>
                  <w:r>
                    <w:rPr>
                      <w:rFonts w:hint="eastAsia"/>
                      <w:b/>
                      <w:color w:val="auto"/>
                      <w:kern w:val="0"/>
                      <w:sz w:val="18"/>
                      <w:szCs w:val="18"/>
                      <w:lang w:bidi="ar"/>
                    </w:rPr>
                    <w:t>年排放小时数/h</w:t>
                  </w:r>
                </w:p>
              </w:tc>
              <w:tc>
                <w:tcPr>
                  <w:tcW w:w="405" w:type="pct"/>
                  <w:vMerge w:val="restart"/>
                  <w:tcBorders>
                    <w:tl2br w:val="nil"/>
                    <w:tr2bl w:val="nil"/>
                  </w:tcBorders>
                  <w:shd w:val="clear" w:color="auto" w:fill="auto"/>
                  <w:vAlign w:val="center"/>
                </w:tcPr>
                <w:p w14:paraId="7C266AC6">
                  <w:pPr>
                    <w:adjustRightInd w:val="0"/>
                    <w:snapToGrid w:val="0"/>
                    <w:jc w:val="center"/>
                    <w:rPr>
                      <w:b/>
                      <w:color w:val="auto"/>
                      <w:kern w:val="0"/>
                      <w:sz w:val="18"/>
                      <w:szCs w:val="18"/>
                      <w:lang w:bidi="ar"/>
                    </w:rPr>
                  </w:pPr>
                  <w:r>
                    <w:rPr>
                      <w:rFonts w:hint="eastAsia"/>
                      <w:b/>
                      <w:color w:val="auto"/>
                      <w:kern w:val="0"/>
                      <w:sz w:val="18"/>
                      <w:szCs w:val="18"/>
                      <w:lang w:bidi="ar"/>
                    </w:rPr>
                    <w:t>排放工况</w:t>
                  </w:r>
                </w:p>
              </w:tc>
              <w:tc>
                <w:tcPr>
                  <w:tcW w:w="676" w:type="pct"/>
                  <w:vMerge w:val="restart"/>
                  <w:tcBorders>
                    <w:tl2br w:val="nil"/>
                    <w:tr2bl w:val="nil"/>
                  </w:tcBorders>
                  <w:shd w:val="clear" w:color="auto" w:fill="auto"/>
                  <w:vAlign w:val="center"/>
                </w:tcPr>
                <w:p w14:paraId="5337EDB1">
                  <w:pPr>
                    <w:adjustRightInd w:val="0"/>
                    <w:snapToGrid w:val="0"/>
                    <w:jc w:val="center"/>
                    <w:rPr>
                      <w:rFonts w:hint="eastAsia" w:eastAsia="宋体"/>
                      <w:b/>
                      <w:color w:val="auto"/>
                      <w:kern w:val="0"/>
                      <w:sz w:val="18"/>
                      <w:szCs w:val="18"/>
                      <w:lang w:val="en-US" w:eastAsia="zh-CN" w:bidi="ar"/>
                    </w:rPr>
                  </w:pPr>
                  <w:r>
                    <w:rPr>
                      <w:rFonts w:hint="eastAsia"/>
                      <w:b/>
                      <w:color w:val="auto"/>
                      <w:kern w:val="0"/>
                      <w:sz w:val="18"/>
                      <w:szCs w:val="18"/>
                      <w:lang w:val="en-US" w:eastAsia="zh-CN" w:bidi="ar"/>
                    </w:rPr>
                    <w:t>污染因子</w:t>
                  </w:r>
                </w:p>
              </w:tc>
              <w:tc>
                <w:tcPr>
                  <w:tcW w:w="560" w:type="pct"/>
                  <w:vMerge w:val="restart"/>
                  <w:tcBorders>
                    <w:tl2br w:val="nil"/>
                    <w:tr2bl w:val="nil"/>
                  </w:tcBorders>
                  <w:shd w:val="clear" w:color="auto" w:fill="auto"/>
                  <w:vAlign w:val="center"/>
                </w:tcPr>
                <w:p w14:paraId="2DC6BA56">
                  <w:pPr>
                    <w:adjustRightInd w:val="0"/>
                    <w:snapToGrid w:val="0"/>
                    <w:jc w:val="center"/>
                    <w:rPr>
                      <w:rFonts w:hint="eastAsia"/>
                      <w:b/>
                      <w:color w:val="auto"/>
                      <w:kern w:val="0"/>
                      <w:sz w:val="18"/>
                      <w:szCs w:val="18"/>
                      <w:lang w:bidi="ar"/>
                    </w:rPr>
                  </w:pPr>
                  <w:r>
                    <w:rPr>
                      <w:rFonts w:hint="eastAsia"/>
                      <w:b/>
                      <w:color w:val="auto"/>
                      <w:kern w:val="0"/>
                      <w:sz w:val="18"/>
                      <w:szCs w:val="18"/>
                      <w:lang w:bidi="ar"/>
                    </w:rPr>
                    <w:t>速率kg/h</w:t>
                  </w:r>
                </w:p>
              </w:tc>
            </w:tr>
            <w:tr w14:paraId="0CC4068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353" w:type="pct"/>
                  <w:vMerge w:val="continue"/>
                  <w:tcBorders>
                    <w:tl2br w:val="nil"/>
                    <w:tr2bl w:val="nil"/>
                  </w:tcBorders>
                  <w:shd w:val="clear" w:color="auto" w:fill="auto"/>
                  <w:vAlign w:val="center"/>
                </w:tcPr>
                <w:p w14:paraId="21F4BA90">
                  <w:pPr>
                    <w:adjustRightInd w:val="0"/>
                    <w:snapToGrid w:val="0"/>
                    <w:jc w:val="center"/>
                    <w:rPr>
                      <w:b/>
                      <w:color w:val="auto"/>
                      <w:kern w:val="0"/>
                      <w:sz w:val="18"/>
                      <w:szCs w:val="18"/>
                      <w:lang w:bidi="ar"/>
                    </w:rPr>
                  </w:pPr>
                </w:p>
              </w:tc>
              <w:tc>
                <w:tcPr>
                  <w:tcW w:w="342" w:type="pct"/>
                  <w:tcBorders>
                    <w:tl2br w:val="nil"/>
                    <w:tr2bl w:val="nil"/>
                  </w:tcBorders>
                  <w:shd w:val="clear" w:color="auto" w:fill="auto"/>
                  <w:vAlign w:val="center"/>
                </w:tcPr>
                <w:p w14:paraId="61ACDFC7">
                  <w:pPr>
                    <w:adjustRightInd w:val="0"/>
                    <w:snapToGrid w:val="0"/>
                    <w:jc w:val="center"/>
                    <w:rPr>
                      <w:b/>
                      <w:color w:val="auto"/>
                      <w:kern w:val="0"/>
                      <w:sz w:val="18"/>
                      <w:szCs w:val="18"/>
                      <w:lang w:bidi="ar"/>
                    </w:rPr>
                  </w:pPr>
                  <w:r>
                    <w:rPr>
                      <w:rFonts w:hint="eastAsia"/>
                      <w:b/>
                      <w:color w:val="auto"/>
                      <w:kern w:val="0"/>
                      <w:sz w:val="18"/>
                      <w:szCs w:val="18"/>
                      <w:lang w:bidi="ar"/>
                    </w:rPr>
                    <w:t>x</w:t>
                  </w:r>
                </w:p>
              </w:tc>
              <w:tc>
                <w:tcPr>
                  <w:tcW w:w="343" w:type="pct"/>
                  <w:tcBorders>
                    <w:tl2br w:val="nil"/>
                    <w:tr2bl w:val="nil"/>
                  </w:tcBorders>
                  <w:shd w:val="clear" w:color="auto" w:fill="auto"/>
                  <w:vAlign w:val="center"/>
                </w:tcPr>
                <w:p w14:paraId="2DEBE9DF">
                  <w:pPr>
                    <w:adjustRightInd w:val="0"/>
                    <w:snapToGrid w:val="0"/>
                    <w:jc w:val="center"/>
                    <w:rPr>
                      <w:b/>
                      <w:color w:val="auto"/>
                      <w:kern w:val="0"/>
                      <w:sz w:val="18"/>
                      <w:szCs w:val="18"/>
                      <w:lang w:bidi="ar"/>
                    </w:rPr>
                  </w:pPr>
                  <w:r>
                    <w:rPr>
                      <w:rFonts w:hint="eastAsia"/>
                      <w:b/>
                      <w:color w:val="auto"/>
                      <w:kern w:val="0"/>
                      <w:sz w:val="18"/>
                      <w:szCs w:val="18"/>
                      <w:lang w:bidi="ar"/>
                    </w:rPr>
                    <w:t>y</w:t>
                  </w:r>
                </w:p>
              </w:tc>
              <w:tc>
                <w:tcPr>
                  <w:tcW w:w="439" w:type="pct"/>
                  <w:vMerge w:val="continue"/>
                  <w:tcBorders>
                    <w:tl2br w:val="nil"/>
                    <w:tr2bl w:val="nil"/>
                  </w:tcBorders>
                  <w:shd w:val="clear" w:color="auto" w:fill="auto"/>
                  <w:vAlign w:val="center"/>
                </w:tcPr>
                <w:p w14:paraId="2A224E20">
                  <w:pPr>
                    <w:adjustRightInd w:val="0"/>
                    <w:snapToGrid w:val="0"/>
                    <w:jc w:val="center"/>
                    <w:rPr>
                      <w:b/>
                      <w:color w:val="auto"/>
                      <w:kern w:val="0"/>
                      <w:sz w:val="18"/>
                      <w:szCs w:val="18"/>
                      <w:lang w:bidi="ar"/>
                    </w:rPr>
                  </w:pPr>
                </w:p>
              </w:tc>
              <w:tc>
                <w:tcPr>
                  <w:tcW w:w="532" w:type="pct"/>
                  <w:vMerge w:val="continue"/>
                  <w:tcBorders>
                    <w:tl2br w:val="nil"/>
                    <w:tr2bl w:val="nil"/>
                  </w:tcBorders>
                  <w:shd w:val="clear" w:color="auto" w:fill="auto"/>
                  <w:vAlign w:val="center"/>
                </w:tcPr>
                <w:p w14:paraId="16AB07DA">
                  <w:pPr>
                    <w:adjustRightInd w:val="0"/>
                    <w:snapToGrid w:val="0"/>
                    <w:jc w:val="center"/>
                    <w:rPr>
                      <w:b/>
                      <w:color w:val="auto"/>
                      <w:kern w:val="0"/>
                      <w:sz w:val="18"/>
                      <w:szCs w:val="18"/>
                      <w:lang w:bidi="ar"/>
                    </w:rPr>
                  </w:pPr>
                </w:p>
              </w:tc>
              <w:tc>
                <w:tcPr>
                  <w:tcW w:w="346" w:type="pct"/>
                  <w:vMerge w:val="continue"/>
                  <w:tcBorders>
                    <w:tl2br w:val="nil"/>
                    <w:tr2bl w:val="nil"/>
                  </w:tcBorders>
                  <w:shd w:val="clear" w:color="auto" w:fill="auto"/>
                  <w:vAlign w:val="center"/>
                </w:tcPr>
                <w:p w14:paraId="2C10335A">
                  <w:pPr>
                    <w:adjustRightInd w:val="0"/>
                    <w:snapToGrid w:val="0"/>
                    <w:jc w:val="center"/>
                    <w:rPr>
                      <w:b/>
                      <w:color w:val="auto"/>
                      <w:kern w:val="0"/>
                      <w:sz w:val="18"/>
                      <w:szCs w:val="18"/>
                      <w:lang w:bidi="ar"/>
                    </w:rPr>
                  </w:pPr>
                </w:p>
              </w:tc>
              <w:tc>
                <w:tcPr>
                  <w:tcW w:w="465" w:type="pct"/>
                  <w:vMerge w:val="continue"/>
                  <w:tcBorders>
                    <w:tl2br w:val="nil"/>
                    <w:tr2bl w:val="nil"/>
                  </w:tcBorders>
                  <w:shd w:val="clear" w:color="auto" w:fill="auto"/>
                  <w:vAlign w:val="center"/>
                </w:tcPr>
                <w:p w14:paraId="7A11C271">
                  <w:pPr>
                    <w:adjustRightInd w:val="0"/>
                    <w:snapToGrid w:val="0"/>
                    <w:jc w:val="center"/>
                    <w:rPr>
                      <w:b/>
                      <w:color w:val="auto"/>
                      <w:kern w:val="0"/>
                      <w:sz w:val="18"/>
                      <w:szCs w:val="18"/>
                      <w:lang w:bidi="ar"/>
                    </w:rPr>
                  </w:pPr>
                </w:p>
              </w:tc>
              <w:tc>
                <w:tcPr>
                  <w:tcW w:w="532" w:type="pct"/>
                  <w:vMerge w:val="continue"/>
                  <w:tcBorders>
                    <w:tl2br w:val="nil"/>
                    <w:tr2bl w:val="nil"/>
                  </w:tcBorders>
                  <w:shd w:val="clear" w:color="auto" w:fill="auto"/>
                  <w:vAlign w:val="center"/>
                </w:tcPr>
                <w:p w14:paraId="0F2B672C">
                  <w:pPr>
                    <w:adjustRightInd w:val="0"/>
                    <w:snapToGrid w:val="0"/>
                    <w:jc w:val="center"/>
                    <w:rPr>
                      <w:b/>
                      <w:color w:val="auto"/>
                      <w:kern w:val="0"/>
                      <w:sz w:val="18"/>
                      <w:szCs w:val="18"/>
                      <w:lang w:bidi="ar"/>
                    </w:rPr>
                  </w:pPr>
                </w:p>
              </w:tc>
              <w:tc>
                <w:tcPr>
                  <w:tcW w:w="405" w:type="pct"/>
                  <w:vMerge w:val="continue"/>
                  <w:tcBorders>
                    <w:tl2br w:val="nil"/>
                    <w:tr2bl w:val="nil"/>
                  </w:tcBorders>
                  <w:shd w:val="clear" w:color="auto" w:fill="auto"/>
                  <w:vAlign w:val="center"/>
                </w:tcPr>
                <w:p w14:paraId="3CBC7764">
                  <w:pPr>
                    <w:adjustRightInd w:val="0"/>
                    <w:snapToGrid w:val="0"/>
                    <w:jc w:val="center"/>
                    <w:rPr>
                      <w:b/>
                      <w:color w:val="auto"/>
                      <w:kern w:val="0"/>
                      <w:sz w:val="18"/>
                      <w:szCs w:val="18"/>
                      <w:lang w:bidi="ar"/>
                    </w:rPr>
                  </w:pPr>
                </w:p>
              </w:tc>
              <w:tc>
                <w:tcPr>
                  <w:tcW w:w="676" w:type="pct"/>
                  <w:vMerge w:val="continue"/>
                  <w:tcBorders>
                    <w:tl2br w:val="nil"/>
                    <w:tr2bl w:val="nil"/>
                  </w:tcBorders>
                  <w:shd w:val="clear" w:color="auto" w:fill="auto"/>
                  <w:vAlign w:val="center"/>
                </w:tcPr>
                <w:p w14:paraId="4253CE75">
                  <w:pPr>
                    <w:adjustRightInd w:val="0"/>
                    <w:snapToGrid w:val="0"/>
                    <w:jc w:val="center"/>
                    <w:rPr>
                      <w:b/>
                      <w:color w:val="auto"/>
                      <w:kern w:val="0"/>
                      <w:sz w:val="18"/>
                      <w:szCs w:val="18"/>
                      <w:lang w:bidi="ar"/>
                    </w:rPr>
                  </w:pPr>
                </w:p>
              </w:tc>
              <w:tc>
                <w:tcPr>
                  <w:tcW w:w="560" w:type="pct"/>
                  <w:vMerge w:val="continue"/>
                  <w:tcBorders>
                    <w:tl2br w:val="nil"/>
                    <w:tr2bl w:val="nil"/>
                  </w:tcBorders>
                  <w:shd w:val="clear" w:color="auto" w:fill="auto"/>
                  <w:vAlign w:val="center"/>
                </w:tcPr>
                <w:p w14:paraId="5FD1BCF2">
                  <w:pPr>
                    <w:adjustRightInd w:val="0"/>
                    <w:snapToGrid w:val="0"/>
                    <w:jc w:val="center"/>
                    <w:rPr>
                      <w:rFonts w:hint="eastAsia"/>
                      <w:b/>
                      <w:color w:val="auto"/>
                      <w:kern w:val="0"/>
                      <w:sz w:val="18"/>
                      <w:szCs w:val="18"/>
                      <w:lang w:bidi="ar"/>
                    </w:rPr>
                  </w:pPr>
                </w:p>
              </w:tc>
            </w:tr>
            <w:tr w14:paraId="09FE45C3">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353" w:type="pct"/>
                  <w:tcBorders>
                    <w:tl2br w:val="nil"/>
                    <w:tr2bl w:val="nil"/>
                  </w:tcBorders>
                  <w:shd w:val="clear" w:color="auto" w:fill="auto"/>
                  <w:vAlign w:val="center"/>
                </w:tcPr>
                <w:p w14:paraId="2C3B7843">
                  <w:pPr>
                    <w:adjustRightInd w:val="0"/>
                    <w:snapToGrid w:val="0"/>
                    <w:jc w:val="center"/>
                    <w:rPr>
                      <w:rFonts w:hint="default" w:eastAsia="宋体"/>
                      <w:bCs/>
                      <w:color w:val="auto"/>
                      <w:kern w:val="0"/>
                      <w:sz w:val="18"/>
                      <w:szCs w:val="18"/>
                      <w:lang w:val="en-US" w:eastAsia="zh-CN" w:bidi="ar"/>
                    </w:rPr>
                  </w:pPr>
                  <w:r>
                    <w:rPr>
                      <w:rFonts w:hint="eastAsia"/>
                      <w:bCs/>
                      <w:color w:val="auto"/>
                      <w:kern w:val="0"/>
                      <w:sz w:val="18"/>
                      <w:szCs w:val="18"/>
                      <w:lang w:val="en-US" w:eastAsia="zh-CN" w:bidi="ar"/>
                    </w:rPr>
                    <w:t>DA001</w:t>
                  </w:r>
                </w:p>
              </w:tc>
              <w:tc>
                <w:tcPr>
                  <w:tcW w:w="342" w:type="pct"/>
                  <w:tcBorders>
                    <w:tl2br w:val="nil"/>
                    <w:tr2bl w:val="nil"/>
                  </w:tcBorders>
                  <w:shd w:val="clear" w:color="auto" w:fill="auto"/>
                  <w:vAlign w:val="center"/>
                </w:tcPr>
                <w:p w14:paraId="703CBD0F">
                  <w:pPr>
                    <w:adjustRightInd w:val="0"/>
                    <w:snapToGrid w:val="0"/>
                    <w:jc w:val="center"/>
                    <w:rPr>
                      <w:rFonts w:hint="default" w:eastAsia="宋体"/>
                      <w:bCs/>
                      <w:color w:val="auto"/>
                      <w:kern w:val="0"/>
                      <w:sz w:val="18"/>
                      <w:szCs w:val="18"/>
                      <w:lang w:val="en-US" w:eastAsia="zh-CN" w:bidi="ar"/>
                    </w:rPr>
                  </w:pPr>
                  <w:r>
                    <w:rPr>
                      <w:rFonts w:hint="eastAsia"/>
                      <w:bCs/>
                      <w:color w:val="auto"/>
                      <w:kern w:val="0"/>
                      <w:sz w:val="18"/>
                      <w:szCs w:val="18"/>
                      <w:lang w:val="en-US" w:eastAsia="zh-CN" w:bidi="ar"/>
                    </w:rPr>
                    <w:t>70</w:t>
                  </w:r>
                </w:p>
              </w:tc>
              <w:tc>
                <w:tcPr>
                  <w:tcW w:w="343" w:type="pct"/>
                  <w:tcBorders>
                    <w:tl2br w:val="nil"/>
                    <w:tr2bl w:val="nil"/>
                  </w:tcBorders>
                  <w:shd w:val="clear" w:color="auto" w:fill="auto"/>
                  <w:vAlign w:val="center"/>
                </w:tcPr>
                <w:p w14:paraId="7B370B60">
                  <w:pPr>
                    <w:adjustRightInd w:val="0"/>
                    <w:snapToGrid w:val="0"/>
                    <w:jc w:val="center"/>
                    <w:rPr>
                      <w:rFonts w:hint="default" w:eastAsia="宋体"/>
                      <w:bCs/>
                      <w:color w:val="auto"/>
                      <w:kern w:val="0"/>
                      <w:sz w:val="18"/>
                      <w:szCs w:val="18"/>
                      <w:lang w:val="en-US" w:eastAsia="zh-CN" w:bidi="ar"/>
                    </w:rPr>
                  </w:pPr>
                  <w:r>
                    <w:rPr>
                      <w:rFonts w:hint="eastAsia"/>
                      <w:bCs/>
                      <w:color w:val="auto"/>
                      <w:kern w:val="0"/>
                      <w:sz w:val="18"/>
                      <w:szCs w:val="18"/>
                      <w:lang w:val="en-US" w:eastAsia="zh-CN" w:bidi="ar"/>
                    </w:rPr>
                    <w:t>0</w:t>
                  </w:r>
                </w:p>
              </w:tc>
              <w:tc>
                <w:tcPr>
                  <w:tcW w:w="439" w:type="pct"/>
                  <w:tcBorders>
                    <w:tl2br w:val="nil"/>
                    <w:tr2bl w:val="nil"/>
                  </w:tcBorders>
                  <w:shd w:val="clear" w:color="auto" w:fill="auto"/>
                  <w:vAlign w:val="center"/>
                </w:tcPr>
                <w:p w14:paraId="5C220502">
                  <w:pPr>
                    <w:adjustRightInd w:val="0"/>
                    <w:snapToGrid w:val="0"/>
                    <w:jc w:val="center"/>
                    <w:rPr>
                      <w:rFonts w:hint="default" w:eastAsia="宋体"/>
                      <w:bCs/>
                      <w:color w:val="auto"/>
                      <w:kern w:val="0"/>
                      <w:sz w:val="18"/>
                      <w:szCs w:val="18"/>
                      <w:lang w:val="en-US" w:eastAsia="zh-CN" w:bidi="ar"/>
                    </w:rPr>
                  </w:pPr>
                  <w:r>
                    <w:rPr>
                      <w:rFonts w:hint="eastAsia"/>
                      <w:bCs/>
                      <w:color w:val="auto"/>
                      <w:kern w:val="0"/>
                      <w:sz w:val="18"/>
                      <w:szCs w:val="18"/>
                      <w:lang w:val="en-US" w:eastAsia="zh-CN" w:bidi="ar"/>
                    </w:rPr>
                    <w:t>15</w:t>
                  </w:r>
                </w:p>
              </w:tc>
              <w:tc>
                <w:tcPr>
                  <w:tcW w:w="532" w:type="pct"/>
                  <w:tcBorders>
                    <w:tl2br w:val="nil"/>
                    <w:tr2bl w:val="nil"/>
                  </w:tcBorders>
                  <w:shd w:val="clear" w:color="auto" w:fill="auto"/>
                  <w:vAlign w:val="center"/>
                </w:tcPr>
                <w:p w14:paraId="4ACC714D">
                  <w:pPr>
                    <w:adjustRightInd w:val="0"/>
                    <w:snapToGrid w:val="0"/>
                    <w:jc w:val="center"/>
                    <w:rPr>
                      <w:rFonts w:hint="default" w:eastAsia="宋体"/>
                      <w:bCs/>
                      <w:color w:val="auto"/>
                      <w:kern w:val="0"/>
                      <w:sz w:val="18"/>
                      <w:szCs w:val="18"/>
                      <w:lang w:val="en-US" w:eastAsia="zh-CN" w:bidi="ar"/>
                    </w:rPr>
                  </w:pPr>
                  <w:r>
                    <w:rPr>
                      <w:rFonts w:hint="eastAsia"/>
                      <w:bCs/>
                      <w:color w:val="auto"/>
                      <w:kern w:val="0"/>
                      <w:sz w:val="18"/>
                      <w:szCs w:val="18"/>
                      <w:lang w:val="en-US" w:eastAsia="zh-CN" w:bidi="ar"/>
                    </w:rPr>
                    <w:t>0.7</w:t>
                  </w:r>
                </w:p>
              </w:tc>
              <w:tc>
                <w:tcPr>
                  <w:tcW w:w="346" w:type="pct"/>
                  <w:tcBorders>
                    <w:tl2br w:val="nil"/>
                    <w:tr2bl w:val="nil"/>
                  </w:tcBorders>
                  <w:shd w:val="clear" w:color="auto" w:fill="auto"/>
                  <w:vAlign w:val="center"/>
                </w:tcPr>
                <w:p w14:paraId="40FFEA55">
                  <w:pPr>
                    <w:adjustRightInd w:val="0"/>
                    <w:snapToGrid w:val="0"/>
                    <w:jc w:val="center"/>
                    <w:rPr>
                      <w:rFonts w:hint="default" w:eastAsia="宋体"/>
                      <w:bCs/>
                      <w:color w:val="auto"/>
                      <w:kern w:val="0"/>
                      <w:sz w:val="18"/>
                      <w:szCs w:val="18"/>
                      <w:lang w:val="en-US" w:eastAsia="zh-CN" w:bidi="ar"/>
                    </w:rPr>
                  </w:pPr>
                  <w:r>
                    <w:rPr>
                      <w:rFonts w:hint="eastAsia"/>
                      <w:bCs/>
                      <w:color w:val="auto"/>
                      <w:kern w:val="0"/>
                      <w:sz w:val="18"/>
                      <w:szCs w:val="18"/>
                      <w:lang w:val="en-US" w:eastAsia="zh-CN" w:bidi="ar"/>
                    </w:rPr>
                    <w:t>25</w:t>
                  </w:r>
                </w:p>
              </w:tc>
              <w:tc>
                <w:tcPr>
                  <w:tcW w:w="465" w:type="pct"/>
                  <w:tcBorders>
                    <w:tl2br w:val="nil"/>
                    <w:tr2bl w:val="nil"/>
                  </w:tcBorders>
                  <w:shd w:val="clear" w:color="auto" w:fill="auto"/>
                  <w:vAlign w:val="center"/>
                </w:tcPr>
                <w:p w14:paraId="5FA8242F">
                  <w:pPr>
                    <w:adjustRightInd w:val="0"/>
                    <w:snapToGrid w:val="0"/>
                    <w:jc w:val="center"/>
                    <w:rPr>
                      <w:rFonts w:hint="default" w:eastAsia="宋体"/>
                      <w:bCs/>
                      <w:color w:val="auto"/>
                      <w:kern w:val="0"/>
                      <w:sz w:val="18"/>
                      <w:szCs w:val="18"/>
                      <w:lang w:val="en-US" w:eastAsia="zh-CN" w:bidi="ar"/>
                    </w:rPr>
                  </w:pPr>
                  <w:r>
                    <w:rPr>
                      <w:rFonts w:hint="eastAsia"/>
                      <w:bCs/>
                      <w:color w:val="auto"/>
                      <w:kern w:val="0"/>
                      <w:sz w:val="18"/>
                      <w:szCs w:val="18"/>
                      <w:lang w:val="en-US" w:eastAsia="zh-CN" w:bidi="ar"/>
                    </w:rPr>
                    <w:t>18.1</w:t>
                  </w:r>
                </w:p>
              </w:tc>
              <w:tc>
                <w:tcPr>
                  <w:tcW w:w="532" w:type="pct"/>
                  <w:tcBorders>
                    <w:tl2br w:val="nil"/>
                    <w:tr2bl w:val="nil"/>
                  </w:tcBorders>
                  <w:shd w:val="clear" w:color="auto" w:fill="auto"/>
                  <w:vAlign w:val="center"/>
                </w:tcPr>
                <w:p w14:paraId="7B473826">
                  <w:pPr>
                    <w:adjustRightInd w:val="0"/>
                    <w:snapToGrid w:val="0"/>
                    <w:jc w:val="center"/>
                    <w:rPr>
                      <w:rFonts w:hint="default" w:eastAsia="宋体"/>
                      <w:bCs/>
                      <w:color w:val="auto"/>
                      <w:kern w:val="0"/>
                      <w:sz w:val="18"/>
                      <w:szCs w:val="18"/>
                      <w:lang w:val="en-US" w:eastAsia="zh-CN" w:bidi="ar"/>
                    </w:rPr>
                  </w:pPr>
                  <w:r>
                    <w:rPr>
                      <w:rFonts w:hint="eastAsia"/>
                      <w:bCs/>
                      <w:color w:val="auto"/>
                      <w:kern w:val="0"/>
                      <w:sz w:val="18"/>
                      <w:szCs w:val="18"/>
                      <w:lang w:val="en-US" w:eastAsia="zh-CN" w:bidi="ar"/>
                    </w:rPr>
                    <w:t>600</w:t>
                  </w:r>
                </w:p>
              </w:tc>
              <w:tc>
                <w:tcPr>
                  <w:tcW w:w="405" w:type="pct"/>
                  <w:vMerge w:val="restart"/>
                  <w:tcBorders>
                    <w:tl2br w:val="nil"/>
                    <w:tr2bl w:val="nil"/>
                  </w:tcBorders>
                  <w:shd w:val="clear" w:color="auto" w:fill="auto"/>
                  <w:vAlign w:val="center"/>
                </w:tcPr>
                <w:p w14:paraId="10E87D7C">
                  <w:pPr>
                    <w:adjustRightInd w:val="0"/>
                    <w:snapToGrid w:val="0"/>
                    <w:jc w:val="center"/>
                    <w:rPr>
                      <w:bCs/>
                      <w:color w:val="auto"/>
                      <w:kern w:val="0"/>
                      <w:sz w:val="18"/>
                      <w:szCs w:val="18"/>
                      <w:lang w:bidi="ar"/>
                    </w:rPr>
                  </w:pPr>
                  <w:r>
                    <w:rPr>
                      <w:rFonts w:hint="eastAsia"/>
                      <w:bCs/>
                      <w:color w:val="auto"/>
                      <w:kern w:val="0"/>
                      <w:sz w:val="18"/>
                      <w:szCs w:val="18"/>
                      <w:lang w:bidi="ar"/>
                    </w:rPr>
                    <w:t>连续</w:t>
                  </w:r>
                </w:p>
              </w:tc>
              <w:tc>
                <w:tcPr>
                  <w:tcW w:w="676" w:type="pct"/>
                  <w:tcBorders>
                    <w:tl2br w:val="nil"/>
                    <w:tr2bl w:val="nil"/>
                  </w:tcBorders>
                  <w:shd w:val="clear" w:color="auto" w:fill="auto"/>
                  <w:vAlign w:val="center"/>
                </w:tcPr>
                <w:p w14:paraId="05E9A37D">
                  <w:pPr>
                    <w:pStyle w:val="656"/>
                    <w:snapToGrid w:val="0"/>
                    <w:rPr>
                      <w:bCs/>
                      <w:color w:val="auto"/>
                      <w:kern w:val="0"/>
                      <w:sz w:val="18"/>
                      <w:szCs w:val="18"/>
                      <w:lang w:bidi="ar"/>
                    </w:rPr>
                  </w:pPr>
                  <w:r>
                    <w:rPr>
                      <w:rFonts w:hint="eastAsia" w:eastAsia="宋体"/>
                      <w:color w:val="auto"/>
                      <w:sz w:val="18"/>
                      <w:szCs w:val="18"/>
                      <w:lang w:val="en-US" w:eastAsia="zh-CN"/>
                    </w:rPr>
                    <w:t>颗粒物</w:t>
                  </w:r>
                </w:p>
              </w:tc>
              <w:tc>
                <w:tcPr>
                  <w:tcW w:w="560" w:type="pct"/>
                  <w:tcBorders>
                    <w:tl2br w:val="nil"/>
                    <w:tr2bl w:val="nil"/>
                  </w:tcBorders>
                  <w:shd w:val="clear" w:color="auto" w:fill="auto"/>
                  <w:vAlign w:val="center"/>
                </w:tcPr>
                <w:p w14:paraId="7ADE2345">
                  <w:pPr>
                    <w:pStyle w:val="656"/>
                    <w:snapToGrid w:val="0"/>
                    <w:rPr>
                      <w:rFonts w:hint="default" w:eastAsia="仿宋_GB2312"/>
                      <w:bCs/>
                      <w:color w:val="auto"/>
                      <w:kern w:val="0"/>
                      <w:sz w:val="18"/>
                      <w:szCs w:val="18"/>
                      <w:lang w:val="en-US" w:eastAsia="zh-CN" w:bidi="ar"/>
                    </w:rPr>
                  </w:pPr>
                  <w:r>
                    <w:rPr>
                      <w:rFonts w:hint="eastAsia"/>
                      <w:bCs/>
                      <w:color w:val="auto"/>
                      <w:kern w:val="0"/>
                      <w:sz w:val="18"/>
                      <w:szCs w:val="18"/>
                      <w:lang w:val="en-US" w:eastAsia="zh-CN" w:bidi="ar"/>
                    </w:rPr>
                    <w:t>0.0388</w:t>
                  </w:r>
                </w:p>
              </w:tc>
            </w:tr>
            <w:tr w14:paraId="1C757C5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353" w:type="pct"/>
                  <w:vMerge w:val="restart"/>
                  <w:tcBorders>
                    <w:tl2br w:val="nil"/>
                    <w:tr2bl w:val="nil"/>
                  </w:tcBorders>
                  <w:shd w:val="clear" w:color="auto" w:fill="auto"/>
                  <w:vAlign w:val="center"/>
                </w:tcPr>
                <w:p w14:paraId="1FEC82E9">
                  <w:pPr>
                    <w:adjustRightInd w:val="0"/>
                    <w:snapToGrid w:val="0"/>
                    <w:jc w:val="center"/>
                    <w:rPr>
                      <w:rFonts w:hint="default"/>
                      <w:bCs/>
                      <w:color w:val="auto"/>
                      <w:kern w:val="0"/>
                      <w:sz w:val="18"/>
                      <w:szCs w:val="18"/>
                      <w:lang w:val="en-US" w:eastAsia="zh-CN" w:bidi="ar"/>
                    </w:rPr>
                  </w:pPr>
                  <w:r>
                    <w:rPr>
                      <w:rFonts w:hint="eastAsia"/>
                      <w:bCs/>
                      <w:color w:val="auto"/>
                      <w:kern w:val="0"/>
                      <w:sz w:val="18"/>
                      <w:szCs w:val="18"/>
                      <w:lang w:val="en-US" w:eastAsia="zh-CN" w:bidi="ar"/>
                    </w:rPr>
                    <w:t>DA002</w:t>
                  </w:r>
                </w:p>
              </w:tc>
              <w:tc>
                <w:tcPr>
                  <w:tcW w:w="342" w:type="pct"/>
                  <w:vMerge w:val="restart"/>
                  <w:tcBorders>
                    <w:tl2br w:val="nil"/>
                    <w:tr2bl w:val="nil"/>
                  </w:tcBorders>
                  <w:shd w:val="clear" w:color="auto" w:fill="auto"/>
                  <w:vAlign w:val="center"/>
                </w:tcPr>
                <w:p w14:paraId="7DB1AE6E">
                  <w:pPr>
                    <w:adjustRightInd w:val="0"/>
                    <w:snapToGrid w:val="0"/>
                    <w:jc w:val="center"/>
                    <w:rPr>
                      <w:rFonts w:hint="default"/>
                      <w:bCs/>
                      <w:color w:val="auto"/>
                      <w:kern w:val="0"/>
                      <w:sz w:val="18"/>
                      <w:szCs w:val="18"/>
                      <w:lang w:val="en-US" w:eastAsia="zh-CN" w:bidi="ar"/>
                    </w:rPr>
                  </w:pPr>
                  <w:r>
                    <w:rPr>
                      <w:rFonts w:hint="eastAsia"/>
                      <w:bCs/>
                      <w:color w:val="auto"/>
                      <w:kern w:val="0"/>
                      <w:sz w:val="18"/>
                      <w:szCs w:val="18"/>
                      <w:lang w:val="en-US" w:eastAsia="zh-CN" w:bidi="ar"/>
                    </w:rPr>
                    <w:t>120</w:t>
                  </w:r>
                </w:p>
              </w:tc>
              <w:tc>
                <w:tcPr>
                  <w:tcW w:w="343" w:type="pct"/>
                  <w:vMerge w:val="restart"/>
                  <w:tcBorders>
                    <w:tl2br w:val="nil"/>
                    <w:tr2bl w:val="nil"/>
                  </w:tcBorders>
                  <w:shd w:val="clear" w:color="auto" w:fill="auto"/>
                  <w:vAlign w:val="center"/>
                </w:tcPr>
                <w:p w14:paraId="6001AD65">
                  <w:pPr>
                    <w:adjustRightInd w:val="0"/>
                    <w:snapToGrid w:val="0"/>
                    <w:jc w:val="center"/>
                    <w:rPr>
                      <w:rFonts w:hint="default"/>
                      <w:bCs/>
                      <w:color w:val="auto"/>
                      <w:kern w:val="0"/>
                      <w:sz w:val="18"/>
                      <w:szCs w:val="18"/>
                      <w:lang w:val="en-US" w:eastAsia="zh-CN" w:bidi="ar"/>
                    </w:rPr>
                  </w:pPr>
                  <w:r>
                    <w:rPr>
                      <w:rFonts w:hint="eastAsia"/>
                      <w:bCs/>
                      <w:color w:val="auto"/>
                      <w:kern w:val="0"/>
                      <w:sz w:val="18"/>
                      <w:szCs w:val="18"/>
                      <w:lang w:val="en-US" w:eastAsia="zh-CN" w:bidi="ar"/>
                    </w:rPr>
                    <w:t>0</w:t>
                  </w:r>
                </w:p>
              </w:tc>
              <w:tc>
                <w:tcPr>
                  <w:tcW w:w="439" w:type="pct"/>
                  <w:vMerge w:val="restart"/>
                  <w:tcBorders>
                    <w:tl2br w:val="nil"/>
                    <w:tr2bl w:val="nil"/>
                  </w:tcBorders>
                  <w:shd w:val="clear" w:color="auto" w:fill="auto"/>
                  <w:vAlign w:val="center"/>
                </w:tcPr>
                <w:p w14:paraId="46FC3902">
                  <w:pPr>
                    <w:adjustRightInd w:val="0"/>
                    <w:snapToGrid w:val="0"/>
                    <w:jc w:val="center"/>
                    <w:rPr>
                      <w:rFonts w:hint="default"/>
                      <w:bCs/>
                      <w:color w:val="auto"/>
                      <w:kern w:val="0"/>
                      <w:sz w:val="18"/>
                      <w:szCs w:val="18"/>
                      <w:lang w:val="en-US" w:eastAsia="zh-CN" w:bidi="ar"/>
                    </w:rPr>
                  </w:pPr>
                  <w:r>
                    <w:rPr>
                      <w:rFonts w:hint="eastAsia"/>
                      <w:bCs/>
                      <w:color w:val="auto"/>
                      <w:kern w:val="0"/>
                      <w:sz w:val="18"/>
                      <w:szCs w:val="18"/>
                      <w:lang w:val="en-US" w:eastAsia="zh-CN" w:bidi="ar"/>
                    </w:rPr>
                    <w:t>15</w:t>
                  </w:r>
                </w:p>
              </w:tc>
              <w:tc>
                <w:tcPr>
                  <w:tcW w:w="532" w:type="pct"/>
                  <w:vMerge w:val="restart"/>
                  <w:tcBorders>
                    <w:tl2br w:val="nil"/>
                    <w:tr2bl w:val="nil"/>
                  </w:tcBorders>
                  <w:shd w:val="clear" w:color="auto" w:fill="auto"/>
                  <w:vAlign w:val="center"/>
                </w:tcPr>
                <w:p w14:paraId="43042EC2">
                  <w:pPr>
                    <w:adjustRightInd w:val="0"/>
                    <w:snapToGrid w:val="0"/>
                    <w:jc w:val="center"/>
                    <w:rPr>
                      <w:rFonts w:hint="eastAsia"/>
                      <w:bCs/>
                      <w:color w:val="auto"/>
                      <w:kern w:val="0"/>
                      <w:sz w:val="18"/>
                      <w:szCs w:val="18"/>
                      <w:lang w:val="en-US" w:eastAsia="zh-CN" w:bidi="ar"/>
                    </w:rPr>
                  </w:pPr>
                  <w:r>
                    <w:rPr>
                      <w:rFonts w:hint="eastAsia"/>
                      <w:bCs/>
                      <w:color w:val="auto"/>
                      <w:kern w:val="0"/>
                      <w:sz w:val="18"/>
                      <w:szCs w:val="18"/>
                      <w:lang w:val="en-US" w:eastAsia="zh-CN" w:bidi="ar"/>
                    </w:rPr>
                    <w:t>0.7</w:t>
                  </w:r>
                </w:p>
              </w:tc>
              <w:tc>
                <w:tcPr>
                  <w:tcW w:w="346" w:type="pct"/>
                  <w:vMerge w:val="restart"/>
                  <w:tcBorders>
                    <w:tl2br w:val="nil"/>
                    <w:tr2bl w:val="nil"/>
                  </w:tcBorders>
                  <w:shd w:val="clear" w:color="auto" w:fill="auto"/>
                  <w:vAlign w:val="center"/>
                </w:tcPr>
                <w:p w14:paraId="58A661D9">
                  <w:pPr>
                    <w:adjustRightInd w:val="0"/>
                    <w:snapToGrid w:val="0"/>
                    <w:jc w:val="center"/>
                    <w:rPr>
                      <w:rFonts w:hint="default"/>
                      <w:bCs/>
                      <w:color w:val="auto"/>
                      <w:kern w:val="0"/>
                      <w:sz w:val="18"/>
                      <w:szCs w:val="18"/>
                      <w:lang w:val="en-US" w:eastAsia="zh-CN" w:bidi="ar"/>
                    </w:rPr>
                  </w:pPr>
                  <w:r>
                    <w:rPr>
                      <w:rFonts w:hint="eastAsia"/>
                      <w:bCs/>
                      <w:color w:val="auto"/>
                      <w:kern w:val="0"/>
                      <w:sz w:val="18"/>
                      <w:szCs w:val="18"/>
                      <w:lang w:val="en-US" w:eastAsia="zh-CN" w:bidi="ar"/>
                    </w:rPr>
                    <w:t>25</w:t>
                  </w:r>
                </w:p>
              </w:tc>
              <w:tc>
                <w:tcPr>
                  <w:tcW w:w="465" w:type="pct"/>
                  <w:vMerge w:val="restart"/>
                  <w:tcBorders>
                    <w:tl2br w:val="nil"/>
                    <w:tr2bl w:val="nil"/>
                  </w:tcBorders>
                  <w:shd w:val="clear" w:color="auto" w:fill="auto"/>
                  <w:vAlign w:val="center"/>
                </w:tcPr>
                <w:p w14:paraId="7D42ACD8">
                  <w:pPr>
                    <w:adjustRightInd w:val="0"/>
                    <w:snapToGrid w:val="0"/>
                    <w:jc w:val="center"/>
                    <w:rPr>
                      <w:rFonts w:hint="default"/>
                      <w:bCs/>
                      <w:color w:val="auto"/>
                      <w:kern w:val="0"/>
                      <w:sz w:val="18"/>
                      <w:szCs w:val="18"/>
                      <w:lang w:val="en-US" w:eastAsia="zh-CN" w:bidi="ar"/>
                    </w:rPr>
                  </w:pPr>
                  <w:r>
                    <w:rPr>
                      <w:rFonts w:hint="eastAsia"/>
                      <w:bCs/>
                      <w:color w:val="auto"/>
                      <w:kern w:val="0"/>
                      <w:sz w:val="18"/>
                      <w:szCs w:val="18"/>
                      <w:lang w:val="en-US" w:eastAsia="zh-CN" w:bidi="ar"/>
                    </w:rPr>
                    <w:t>18.1</w:t>
                  </w:r>
                </w:p>
              </w:tc>
              <w:tc>
                <w:tcPr>
                  <w:tcW w:w="532" w:type="pct"/>
                  <w:tcBorders>
                    <w:tl2br w:val="nil"/>
                    <w:tr2bl w:val="nil"/>
                  </w:tcBorders>
                  <w:shd w:val="clear" w:color="auto" w:fill="auto"/>
                  <w:vAlign w:val="center"/>
                </w:tcPr>
                <w:p w14:paraId="76183C5C">
                  <w:pPr>
                    <w:adjustRightInd w:val="0"/>
                    <w:snapToGrid w:val="0"/>
                    <w:jc w:val="center"/>
                    <w:rPr>
                      <w:rFonts w:hint="default"/>
                      <w:bCs/>
                      <w:color w:val="auto"/>
                      <w:kern w:val="0"/>
                      <w:sz w:val="18"/>
                      <w:szCs w:val="18"/>
                      <w:lang w:val="en-US" w:eastAsia="zh-CN" w:bidi="ar"/>
                    </w:rPr>
                  </w:pPr>
                  <w:r>
                    <w:rPr>
                      <w:rFonts w:hint="eastAsia"/>
                      <w:bCs/>
                      <w:color w:val="auto"/>
                      <w:kern w:val="0"/>
                      <w:sz w:val="18"/>
                      <w:szCs w:val="18"/>
                      <w:lang w:val="en-US" w:eastAsia="zh-CN" w:bidi="ar"/>
                    </w:rPr>
                    <w:t>1200</w:t>
                  </w:r>
                </w:p>
              </w:tc>
              <w:tc>
                <w:tcPr>
                  <w:tcW w:w="405" w:type="pct"/>
                  <w:vMerge w:val="continue"/>
                  <w:tcBorders>
                    <w:tl2br w:val="nil"/>
                    <w:tr2bl w:val="nil"/>
                  </w:tcBorders>
                  <w:shd w:val="clear" w:color="auto" w:fill="auto"/>
                  <w:vAlign w:val="center"/>
                </w:tcPr>
                <w:p w14:paraId="52987AF7">
                  <w:pPr>
                    <w:adjustRightInd w:val="0"/>
                    <w:snapToGrid w:val="0"/>
                    <w:jc w:val="center"/>
                    <w:rPr>
                      <w:rFonts w:hint="eastAsia"/>
                      <w:bCs/>
                      <w:color w:val="auto"/>
                      <w:kern w:val="0"/>
                      <w:sz w:val="18"/>
                      <w:szCs w:val="18"/>
                      <w:lang w:bidi="ar"/>
                    </w:rPr>
                  </w:pPr>
                </w:p>
              </w:tc>
              <w:tc>
                <w:tcPr>
                  <w:tcW w:w="676" w:type="pct"/>
                  <w:tcBorders>
                    <w:tl2br w:val="nil"/>
                    <w:tr2bl w:val="nil"/>
                  </w:tcBorders>
                  <w:shd w:val="clear" w:color="auto" w:fill="auto"/>
                  <w:vAlign w:val="center"/>
                </w:tcPr>
                <w:p w14:paraId="6D4D4954">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颗粒物</w:t>
                  </w:r>
                </w:p>
              </w:tc>
              <w:tc>
                <w:tcPr>
                  <w:tcW w:w="560" w:type="pct"/>
                  <w:tcBorders>
                    <w:tl2br w:val="nil"/>
                    <w:tr2bl w:val="nil"/>
                  </w:tcBorders>
                  <w:shd w:val="clear" w:color="auto" w:fill="auto"/>
                  <w:vAlign w:val="center"/>
                </w:tcPr>
                <w:p w14:paraId="3F461590">
                  <w:pPr>
                    <w:pStyle w:val="656"/>
                    <w:snapToGrid w:val="0"/>
                    <w:rPr>
                      <w:rFonts w:hint="default" w:eastAsia="仿宋_GB2312"/>
                      <w:bCs/>
                      <w:color w:val="auto"/>
                      <w:kern w:val="0"/>
                      <w:sz w:val="18"/>
                      <w:szCs w:val="18"/>
                      <w:lang w:val="en-US" w:eastAsia="zh-CN" w:bidi="ar"/>
                    </w:rPr>
                  </w:pPr>
                  <w:r>
                    <w:rPr>
                      <w:rFonts w:hint="eastAsia"/>
                      <w:bCs/>
                      <w:color w:val="auto"/>
                      <w:kern w:val="0"/>
                      <w:sz w:val="18"/>
                      <w:szCs w:val="18"/>
                      <w:lang w:val="en-US" w:eastAsia="zh-CN" w:bidi="ar"/>
                    </w:rPr>
                    <w:t>0.049</w:t>
                  </w:r>
                </w:p>
              </w:tc>
            </w:tr>
            <w:tr w14:paraId="3B2B640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90" w:hRule="atLeast"/>
              </w:trPr>
              <w:tc>
                <w:tcPr>
                  <w:tcW w:w="353" w:type="pct"/>
                  <w:vMerge w:val="continue"/>
                  <w:tcBorders>
                    <w:tl2br w:val="nil"/>
                    <w:tr2bl w:val="nil"/>
                  </w:tcBorders>
                  <w:shd w:val="clear" w:color="auto" w:fill="auto"/>
                  <w:vAlign w:val="center"/>
                </w:tcPr>
                <w:p w14:paraId="43C71F14">
                  <w:pPr>
                    <w:adjustRightInd w:val="0"/>
                    <w:snapToGrid w:val="0"/>
                    <w:jc w:val="center"/>
                    <w:rPr>
                      <w:rFonts w:hint="eastAsia"/>
                      <w:bCs/>
                      <w:color w:val="auto"/>
                      <w:kern w:val="0"/>
                      <w:sz w:val="18"/>
                      <w:szCs w:val="18"/>
                      <w:lang w:val="en-US" w:eastAsia="zh-CN" w:bidi="ar"/>
                    </w:rPr>
                  </w:pPr>
                </w:p>
              </w:tc>
              <w:tc>
                <w:tcPr>
                  <w:tcW w:w="342" w:type="pct"/>
                  <w:vMerge w:val="continue"/>
                  <w:tcBorders>
                    <w:tl2br w:val="nil"/>
                    <w:tr2bl w:val="nil"/>
                  </w:tcBorders>
                  <w:shd w:val="clear" w:color="auto" w:fill="auto"/>
                  <w:vAlign w:val="center"/>
                </w:tcPr>
                <w:p w14:paraId="66EDCCA2">
                  <w:pPr>
                    <w:adjustRightInd w:val="0"/>
                    <w:snapToGrid w:val="0"/>
                    <w:jc w:val="center"/>
                    <w:rPr>
                      <w:rFonts w:hint="eastAsia"/>
                      <w:bCs/>
                      <w:color w:val="auto"/>
                      <w:kern w:val="0"/>
                      <w:sz w:val="18"/>
                      <w:szCs w:val="18"/>
                      <w:lang w:val="en-US" w:eastAsia="zh-CN" w:bidi="ar"/>
                    </w:rPr>
                  </w:pPr>
                </w:p>
              </w:tc>
              <w:tc>
                <w:tcPr>
                  <w:tcW w:w="343" w:type="pct"/>
                  <w:vMerge w:val="continue"/>
                  <w:tcBorders>
                    <w:tl2br w:val="nil"/>
                    <w:tr2bl w:val="nil"/>
                  </w:tcBorders>
                  <w:shd w:val="clear" w:color="auto" w:fill="auto"/>
                  <w:vAlign w:val="center"/>
                </w:tcPr>
                <w:p w14:paraId="68B17A18">
                  <w:pPr>
                    <w:adjustRightInd w:val="0"/>
                    <w:snapToGrid w:val="0"/>
                    <w:jc w:val="center"/>
                    <w:rPr>
                      <w:rFonts w:hint="eastAsia"/>
                      <w:bCs/>
                      <w:color w:val="auto"/>
                      <w:kern w:val="0"/>
                      <w:sz w:val="18"/>
                      <w:szCs w:val="18"/>
                      <w:lang w:val="en-US" w:eastAsia="zh-CN" w:bidi="ar"/>
                    </w:rPr>
                  </w:pPr>
                </w:p>
              </w:tc>
              <w:tc>
                <w:tcPr>
                  <w:tcW w:w="439" w:type="pct"/>
                  <w:vMerge w:val="continue"/>
                  <w:tcBorders>
                    <w:tl2br w:val="nil"/>
                    <w:tr2bl w:val="nil"/>
                  </w:tcBorders>
                  <w:shd w:val="clear" w:color="auto" w:fill="auto"/>
                  <w:vAlign w:val="center"/>
                </w:tcPr>
                <w:p w14:paraId="5820DE3F">
                  <w:pPr>
                    <w:adjustRightInd w:val="0"/>
                    <w:snapToGrid w:val="0"/>
                    <w:jc w:val="center"/>
                    <w:rPr>
                      <w:rFonts w:hint="eastAsia"/>
                      <w:bCs/>
                      <w:color w:val="auto"/>
                      <w:kern w:val="0"/>
                      <w:sz w:val="18"/>
                      <w:szCs w:val="18"/>
                      <w:lang w:val="en-US" w:eastAsia="zh-CN" w:bidi="ar"/>
                    </w:rPr>
                  </w:pPr>
                </w:p>
              </w:tc>
              <w:tc>
                <w:tcPr>
                  <w:tcW w:w="532" w:type="pct"/>
                  <w:vMerge w:val="continue"/>
                  <w:tcBorders>
                    <w:tl2br w:val="nil"/>
                    <w:tr2bl w:val="nil"/>
                  </w:tcBorders>
                  <w:shd w:val="clear" w:color="auto" w:fill="auto"/>
                  <w:vAlign w:val="center"/>
                </w:tcPr>
                <w:p w14:paraId="6436D895">
                  <w:pPr>
                    <w:adjustRightInd w:val="0"/>
                    <w:snapToGrid w:val="0"/>
                    <w:jc w:val="center"/>
                    <w:rPr>
                      <w:rFonts w:hint="eastAsia"/>
                      <w:bCs/>
                      <w:color w:val="auto"/>
                      <w:kern w:val="0"/>
                      <w:sz w:val="18"/>
                      <w:szCs w:val="18"/>
                      <w:lang w:val="en-US" w:eastAsia="zh-CN" w:bidi="ar"/>
                    </w:rPr>
                  </w:pPr>
                </w:p>
              </w:tc>
              <w:tc>
                <w:tcPr>
                  <w:tcW w:w="346" w:type="pct"/>
                  <w:vMerge w:val="continue"/>
                  <w:tcBorders>
                    <w:tl2br w:val="nil"/>
                    <w:tr2bl w:val="nil"/>
                  </w:tcBorders>
                  <w:shd w:val="clear" w:color="auto" w:fill="auto"/>
                  <w:vAlign w:val="center"/>
                </w:tcPr>
                <w:p w14:paraId="19C1D147">
                  <w:pPr>
                    <w:adjustRightInd w:val="0"/>
                    <w:snapToGrid w:val="0"/>
                    <w:jc w:val="center"/>
                    <w:rPr>
                      <w:rFonts w:hint="eastAsia"/>
                      <w:bCs/>
                      <w:color w:val="auto"/>
                      <w:kern w:val="0"/>
                      <w:sz w:val="18"/>
                      <w:szCs w:val="18"/>
                      <w:lang w:val="en-US" w:eastAsia="zh-CN" w:bidi="ar"/>
                    </w:rPr>
                  </w:pPr>
                </w:p>
              </w:tc>
              <w:tc>
                <w:tcPr>
                  <w:tcW w:w="465" w:type="pct"/>
                  <w:vMerge w:val="continue"/>
                  <w:tcBorders>
                    <w:tl2br w:val="nil"/>
                    <w:tr2bl w:val="nil"/>
                  </w:tcBorders>
                  <w:shd w:val="clear" w:color="auto" w:fill="auto"/>
                  <w:vAlign w:val="center"/>
                </w:tcPr>
                <w:p w14:paraId="641891EC">
                  <w:pPr>
                    <w:adjustRightInd w:val="0"/>
                    <w:snapToGrid w:val="0"/>
                    <w:jc w:val="center"/>
                    <w:rPr>
                      <w:rFonts w:hint="eastAsia"/>
                      <w:bCs/>
                      <w:color w:val="auto"/>
                      <w:kern w:val="0"/>
                      <w:sz w:val="18"/>
                      <w:szCs w:val="18"/>
                      <w:lang w:val="en-US" w:eastAsia="zh-CN" w:bidi="ar"/>
                    </w:rPr>
                  </w:pPr>
                </w:p>
              </w:tc>
              <w:tc>
                <w:tcPr>
                  <w:tcW w:w="532" w:type="pct"/>
                  <w:vMerge w:val="restart"/>
                  <w:tcBorders>
                    <w:tl2br w:val="nil"/>
                    <w:tr2bl w:val="nil"/>
                  </w:tcBorders>
                  <w:shd w:val="clear" w:color="auto" w:fill="auto"/>
                  <w:vAlign w:val="center"/>
                </w:tcPr>
                <w:p w14:paraId="1C192F9E">
                  <w:pPr>
                    <w:adjustRightInd w:val="0"/>
                    <w:snapToGrid w:val="0"/>
                    <w:jc w:val="center"/>
                    <w:rPr>
                      <w:rFonts w:hint="eastAsia"/>
                      <w:bCs/>
                      <w:color w:val="auto"/>
                      <w:kern w:val="0"/>
                      <w:sz w:val="18"/>
                      <w:szCs w:val="18"/>
                      <w:lang w:val="en-US" w:eastAsia="zh-CN" w:bidi="ar"/>
                    </w:rPr>
                  </w:pPr>
                  <w:r>
                    <w:rPr>
                      <w:rFonts w:hint="eastAsia"/>
                      <w:bCs/>
                      <w:color w:val="auto"/>
                      <w:kern w:val="0"/>
                      <w:sz w:val="18"/>
                      <w:szCs w:val="18"/>
                      <w:lang w:val="en-US" w:eastAsia="zh-CN" w:bidi="ar"/>
                    </w:rPr>
                    <w:t>3000</w:t>
                  </w:r>
                </w:p>
              </w:tc>
              <w:tc>
                <w:tcPr>
                  <w:tcW w:w="405" w:type="pct"/>
                  <w:vMerge w:val="continue"/>
                  <w:tcBorders>
                    <w:tl2br w:val="nil"/>
                    <w:tr2bl w:val="nil"/>
                  </w:tcBorders>
                  <w:shd w:val="clear" w:color="auto" w:fill="auto"/>
                  <w:vAlign w:val="center"/>
                </w:tcPr>
                <w:p w14:paraId="0A680B16">
                  <w:pPr>
                    <w:adjustRightInd w:val="0"/>
                    <w:snapToGrid w:val="0"/>
                    <w:jc w:val="center"/>
                    <w:rPr>
                      <w:rFonts w:hint="eastAsia"/>
                      <w:bCs/>
                      <w:color w:val="auto"/>
                      <w:kern w:val="0"/>
                      <w:sz w:val="18"/>
                      <w:szCs w:val="18"/>
                      <w:lang w:bidi="ar"/>
                    </w:rPr>
                  </w:pPr>
                </w:p>
              </w:tc>
              <w:tc>
                <w:tcPr>
                  <w:tcW w:w="676" w:type="pct"/>
                  <w:tcBorders>
                    <w:tl2br w:val="nil"/>
                    <w:tr2bl w:val="nil"/>
                  </w:tcBorders>
                  <w:shd w:val="clear" w:color="auto" w:fill="auto"/>
                  <w:vAlign w:val="center"/>
                </w:tcPr>
                <w:p w14:paraId="270A7341">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非甲烷总烃</w:t>
                  </w:r>
                </w:p>
              </w:tc>
              <w:tc>
                <w:tcPr>
                  <w:tcW w:w="560" w:type="pct"/>
                  <w:tcBorders>
                    <w:tl2br w:val="nil"/>
                    <w:tr2bl w:val="nil"/>
                  </w:tcBorders>
                  <w:shd w:val="clear" w:color="auto" w:fill="auto"/>
                  <w:vAlign w:val="center"/>
                </w:tcPr>
                <w:p w14:paraId="7578DA11">
                  <w:pPr>
                    <w:pStyle w:val="656"/>
                    <w:snapToGrid w:val="0"/>
                    <w:rPr>
                      <w:rFonts w:hint="default" w:eastAsia="仿宋_GB2312"/>
                      <w:bCs/>
                      <w:color w:val="auto"/>
                      <w:kern w:val="0"/>
                      <w:sz w:val="18"/>
                      <w:szCs w:val="18"/>
                      <w:lang w:val="en-US" w:eastAsia="zh-CN" w:bidi="ar"/>
                    </w:rPr>
                  </w:pPr>
                  <w:r>
                    <w:rPr>
                      <w:rFonts w:hint="eastAsia"/>
                      <w:bCs/>
                      <w:color w:val="auto"/>
                      <w:kern w:val="0"/>
                      <w:sz w:val="18"/>
                      <w:szCs w:val="18"/>
                      <w:lang w:val="en-US" w:eastAsia="zh-CN" w:bidi="ar"/>
                    </w:rPr>
                    <w:t>0.03773</w:t>
                  </w:r>
                </w:p>
              </w:tc>
            </w:tr>
            <w:tr w14:paraId="6FA4DA2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90" w:hRule="atLeast"/>
              </w:trPr>
              <w:tc>
                <w:tcPr>
                  <w:tcW w:w="353" w:type="pct"/>
                  <w:vMerge w:val="continue"/>
                  <w:tcBorders>
                    <w:tl2br w:val="nil"/>
                    <w:tr2bl w:val="nil"/>
                  </w:tcBorders>
                  <w:shd w:val="clear" w:color="auto" w:fill="auto"/>
                  <w:vAlign w:val="center"/>
                </w:tcPr>
                <w:p w14:paraId="75C4ED56">
                  <w:pPr>
                    <w:adjustRightInd w:val="0"/>
                    <w:snapToGrid w:val="0"/>
                    <w:jc w:val="center"/>
                    <w:rPr>
                      <w:rFonts w:hint="eastAsia"/>
                      <w:bCs/>
                      <w:color w:val="auto"/>
                      <w:kern w:val="0"/>
                      <w:sz w:val="18"/>
                      <w:szCs w:val="18"/>
                      <w:lang w:val="en-US" w:eastAsia="zh-CN" w:bidi="ar"/>
                    </w:rPr>
                  </w:pPr>
                </w:p>
              </w:tc>
              <w:tc>
                <w:tcPr>
                  <w:tcW w:w="342" w:type="pct"/>
                  <w:vMerge w:val="continue"/>
                  <w:tcBorders>
                    <w:tl2br w:val="nil"/>
                    <w:tr2bl w:val="nil"/>
                  </w:tcBorders>
                  <w:shd w:val="clear" w:color="auto" w:fill="auto"/>
                  <w:vAlign w:val="center"/>
                </w:tcPr>
                <w:p w14:paraId="7C629BF9">
                  <w:pPr>
                    <w:adjustRightInd w:val="0"/>
                    <w:snapToGrid w:val="0"/>
                    <w:jc w:val="center"/>
                    <w:rPr>
                      <w:rFonts w:hint="eastAsia"/>
                      <w:bCs/>
                      <w:color w:val="auto"/>
                      <w:kern w:val="0"/>
                      <w:sz w:val="18"/>
                      <w:szCs w:val="18"/>
                      <w:lang w:val="en-US" w:eastAsia="zh-CN" w:bidi="ar"/>
                    </w:rPr>
                  </w:pPr>
                </w:p>
              </w:tc>
              <w:tc>
                <w:tcPr>
                  <w:tcW w:w="343" w:type="pct"/>
                  <w:vMerge w:val="continue"/>
                  <w:tcBorders>
                    <w:tl2br w:val="nil"/>
                    <w:tr2bl w:val="nil"/>
                  </w:tcBorders>
                  <w:shd w:val="clear" w:color="auto" w:fill="auto"/>
                  <w:vAlign w:val="center"/>
                </w:tcPr>
                <w:p w14:paraId="782174B1">
                  <w:pPr>
                    <w:adjustRightInd w:val="0"/>
                    <w:snapToGrid w:val="0"/>
                    <w:jc w:val="center"/>
                    <w:rPr>
                      <w:rFonts w:hint="eastAsia"/>
                      <w:bCs/>
                      <w:color w:val="auto"/>
                      <w:kern w:val="0"/>
                      <w:sz w:val="18"/>
                      <w:szCs w:val="18"/>
                      <w:lang w:val="en-US" w:eastAsia="zh-CN" w:bidi="ar"/>
                    </w:rPr>
                  </w:pPr>
                </w:p>
              </w:tc>
              <w:tc>
                <w:tcPr>
                  <w:tcW w:w="439" w:type="pct"/>
                  <w:vMerge w:val="continue"/>
                  <w:tcBorders>
                    <w:tl2br w:val="nil"/>
                    <w:tr2bl w:val="nil"/>
                  </w:tcBorders>
                  <w:shd w:val="clear" w:color="auto" w:fill="auto"/>
                  <w:vAlign w:val="center"/>
                </w:tcPr>
                <w:p w14:paraId="4725B7CF">
                  <w:pPr>
                    <w:adjustRightInd w:val="0"/>
                    <w:snapToGrid w:val="0"/>
                    <w:jc w:val="center"/>
                    <w:rPr>
                      <w:rFonts w:hint="eastAsia"/>
                      <w:bCs/>
                      <w:color w:val="auto"/>
                      <w:kern w:val="0"/>
                      <w:sz w:val="18"/>
                      <w:szCs w:val="18"/>
                      <w:lang w:val="en-US" w:eastAsia="zh-CN" w:bidi="ar"/>
                    </w:rPr>
                  </w:pPr>
                </w:p>
              </w:tc>
              <w:tc>
                <w:tcPr>
                  <w:tcW w:w="532" w:type="pct"/>
                  <w:vMerge w:val="continue"/>
                  <w:tcBorders>
                    <w:tl2br w:val="nil"/>
                    <w:tr2bl w:val="nil"/>
                  </w:tcBorders>
                  <w:shd w:val="clear" w:color="auto" w:fill="auto"/>
                  <w:vAlign w:val="center"/>
                </w:tcPr>
                <w:p w14:paraId="5AD2A4C3">
                  <w:pPr>
                    <w:adjustRightInd w:val="0"/>
                    <w:snapToGrid w:val="0"/>
                    <w:jc w:val="center"/>
                    <w:rPr>
                      <w:rFonts w:hint="eastAsia"/>
                      <w:bCs/>
                      <w:color w:val="auto"/>
                      <w:kern w:val="0"/>
                      <w:sz w:val="18"/>
                      <w:szCs w:val="18"/>
                      <w:lang w:val="en-US" w:eastAsia="zh-CN" w:bidi="ar"/>
                    </w:rPr>
                  </w:pPr>
                </w:p>
              </w:tc>
              <w:tc>
                <w:tcPr>
                  <w:tcW w:w="346" w:type="pct"/>
                  <w:vMerge w:val="continue"/>
                  <w:tcBorders>
                    <w:tl2br w:val="nil"/>
                    <w:tr2bl w:val="nil"/>
                  </w:tcBorders>
                  <w:shd w:val="clear" w:color="auto" w:fill="auto"/>
                  <w:vAlign w:val="center"/>
                </w:tcPr>
                <w:p w14:paraId="0169A5FA">
                  <w:pPr>
                    <w:adjustRightInd w:val="0"/>
                    <w:snapToGrid w:val="0"/>
                    <w:jc w:val="center"/>
                    <w:rPr>
                      <w:rFonts w:hint="eastAsia"/>
                      <w:bCs/>
                      <w:color w:val="auto"/>
                      <w:kern w:val="0"/>
                      <w:sz w:val="18"/>
                      <w:szCs w:val="18"/>
                      <w:lang w:val="en-US" w:eastAsia="zh-CN" w:bidi="ar"/>
                    </w:rPr>
                  </w:pPr>
                </w:p>
              </w:tc>
              <w:tc>
                <w:tcPr>
                  <w:tcW w:w="465" w:type="pct"/>
                  <w:vMerge w:val="continue"/>
                  <w:tcBorders>
                    <w:tl2br w:val="nil"/>
                    <w:tr2bl w:val="nil"/>
                  </w:tcBorders>
                  <w:shd w:val="clear" w:color="auto" w:fill="auto"/>
                  <w:vAlign w:val="center"/>
                </w:tcPr>
                <w:p w14:paraId="5E3F0452">
                  <w:pPr>
                    <w:adjustRightInd w:val="0"/>
                    <w:snapToGrid w:val="0"/>
                    <w:jc w:val="center"/>
                    <w:rPr>
                      <w:rFonts w:hint="eastAsia"/>
                      <w:bCs/>
                      <w:color w:val="auto"/>
                      <w:kern w:val="0"/>
                      <w:sz w:val="18"/>
                      <w:szCs w:val="18"/>
                      <w:lang w:val="en-US" w:eastAsia="zh-CN" w:bidi="ar"/>
                    </w:rPr>
                  </w:pPr>
                </w:p>
              </w:tc>
              <w:tc>
                <w:tcPr>
                  <w:tcW w:w="532" w:type="pct"/>
                  <w:vMerge w:val="continue"/>
                  <w:tcBorders>
                    <w:tl2br w:val="nil"/>
                    <w:tr2bl w:val="nil"/>
                  </w:tcBorders>
                  <w:shd w:val="clear" w:color="auto" w:fill="auto"/>
                  <w:vAlign w:val="center"/>
                </w:tcPr>
                <w:p w14:paraId="1A2DBEE0">
                  <w:pPr>
                    <w:adjustRightInd w:val="0"/>
                    <w:snapToGrid w:val="0"/>
                    <w:jc w:val="center"/>
                    <w:rPr>
                      <w:rFonts w:hint="eastAsia"/>
                      <w:bCs/>
                      <w:color w:val="auto"/>
                      <w:kern w:val="0"/>
                      <w:sz w:val="18"/>
                      <w:szCs w:val="18"/>
                      <w:lang w:val="en-US" w:eastAsia="zh-CN" w:bidi="ar"/>
                    </w:rPr>
                  </w:pPr>
                </w:p>
              </w:tc>
              <w:tc>
                <w:tcPr>
                  <w:tcW w:w="405" w:type="pct"/>
                  <w:vMerge w:val="continue"/>
                  <w:tcBorders>
                    <w:tl2br w:val="nil"/>
                    <w:tr2bl w:val="nil"/>
                  </w:tcBorders>
                  <w:shd w:val="clear" w:color="auto" w:fill="auto"/>
                  <w:vAlign w:val="center"/>
                </w:tcPr>
                <w:p w14:paraId="463F394B">
                  <w:pPr>
                    <w:adjustRightInd w:val="0"/>
                    <w:snapToGrid w:val="0"/>
                    <w:jc w:val="center"/>
                    <w:rPr>
                      <w:rFonts w:hint="eastAsia"/>
                      <w:bCs/>
                      <w:color w:val="auto"/>
                      <w:kern w:val="0"/>
                      <w:sz w:val="18"/>
                      <w:szCs w:val="18"/>
                      <w:lang w:bidi="ar"/>
                    </w:rPr>
                  </w:pPr>
                </w:p>
              </w:tc>
              <w:tc>
                <w:tcPr>
                  <w:tcW w:w="1199" w:type="dxa"/>
                  <w:tcBorders>
                    <w:tl2br w:val="nil"/>
                    <w:tr2bl w:val="nil"/>
                  </w:tcBorders>
                  <w:shd w:val="clear" w:color="auto" w:fill="auto"/>
                  <w:vAlign w:val="center"/>
                </w:tcPr>
                <w:p w14:paraId="70D145F1">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苯系物</w:t>
                  </w:r>
                </w:p>
              </w:tc>
              <w:tc>
                <w:tcPr>
                  <w:tcW w:w="992" w:type="dxa"/>
                  <w:tcBorders>
                    <w:tl2br w:val="nil"/>
                    <w:tr2bl w:val="nil"/>
                  </w:tcBorders>
                  <w:shd w:val="clear" w:color="auto" w:fill="auto"/>
                  <w:vAlign w:val="center"/>
                </w:tcPr>
                <w:p w14:paraId="7FB4257D">
                  <w:pPr>
                    <w:pStyle w:val="656"/>
                    <w:snapToGrid w:val="0"/>
                    <w:rPr>
                      <w:rFonts w:hint="default"/>
                      <w:bCs/>
                      <w:color w:val="auto"/>
                      <w:kern w:val="0"/>
                      <w:sz w:val="18"/>
                      <w:szCs w:val="18"/>
                      <w:lang w:val="en-US" w:eastAsia="zh-CN" w:bidi="ar"/>
                    </w:rPr>
                  </w:pPr>
                  <w:r>
                    <w:rPr>
                      <w:rFonts w:hint="eastAsia" w:eastAsia="宋体" w:cs="Times New Roman"/>
                      <w:snapToGrid w:val="0"/>
                      <w:color w:val="auto"/>
                      <w:kern w:val="2"/>
                      <w:sz w:val="18"/>
                      <w:szCs w:val="18"/>
                      <w:lang w:val="en-US" w:eastAsia="zh-CN" w:bidi="ar-SA"/>
                    </w:rPr>
                    <w:t>0.02</w:t>
                  </w:r>
                </w:p>
              </w:tc>
            </w:tr>
            <w:tr w14:paraId="08E1C27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90" w:hRule="atLeast"/>
              </w:trPr>
              <w:tc>
                <w:tcPr>
                  <w:tcW w:w="353" w:type="pct"/>
                  <w:vMerge w:val="continue"/>
                  <w:tcBorders>
                    <w:tl2br w:val="nil"/>
                    <w:tr2bl w:val="nil"/>
                  </w:tcBorders>
                  <w:shd w:val="clear" w:color="auto" w:fill="auto"/>
                  <w:vAlign w:val="center"/>
                </w:tcPr>
                <w:p w14:paraId="6D8E4F7E">
                  <w:pPr>
                    <w:adjustRightInd w:val="0"/>
                    <w:snapToGrid w:val="0"/>
                    <w:jc w:val="center"/>
                    <w:rPr>
                      <w:rFonts w:hint="eastAsia"/>
                      <w:bCs/>
                      <w:color w:val="auto"/>
                      <w:kern w:val="0"/>
                      <w:sz w:val="18"/>
                      <w:szCs w:val="18"/>
                      <w:lang w:val="en-US" w:eastAsia="zh-CN" w:bidi="ar"/>
                    </w:rPr>
                  </w:pPr>
                </w:p>
              </w:tc>
              <w:tc>
                <w:tcPr>
                  <w:tcW w:w="342" w:type="pct"/>
                  <w:vMerge w:val="continue"/>
                  <w:tcBorders>
                    <w:tl2br w:val="nil"/>
                    <w:tr2bl w:val="nil"/>
                  </w:tcBorders>
                  <w:shd w:val="clear" w:color="auto" w:fill="auto"/>
                  <w:vAlign w:val="center"/>
                </w:tcPr>
                <w:p w14:paraId="38840859">
                  <w:pPr>
                    <w:adjustRightInd w:val="0"/>
                    <w:snapToGrid w:val="0"/>
                    <w:jc w:val="center"/>
                    <w:rPr>
                      <w:rFonts w:hint="eastAsia"/>
                      <w:bCs/>
                      <w:color w:val="auto"/>
                      <w:kern w:val="0"/>
                      <w:sz w:val="18"/>
                      <w:szCs w:val="18"/>
                      <w:lang w:val="en-US" w:eastAsia="zh-CN" w:bidi="ar"/>
                    </w:rPr>
                  </w:pPr>
                </w:p>
              </w:tc>
              <w:tc>
                <w:tcPr>
                  <w:tcW w:w="343" w:type="pct"/>
                  <w:vMerge w:val="continue"/>
                  <w:tcBorders>
                    <w:tl2br w:val="nil"/>
                    <w:tr2bl w:val="nil"/>
                  </w:tcBorders>
                  <w:shd w:val="clear" w:color="auto" w:fill="auto"/>
                  <w:vAlign w:val="center"/>
                </w:tcPr>
                <w:p w14:paraId="15E38643">
                  <w:pPr>
                    <w:adjustRightInd w:val="0"/>
                    <w:snapToGrid w:val="0"/>
                    <w:jc w:val="center"/>
                    <w:rPr>
                      <w:rFonts w:hint="eastAsia"/>
                      <w:bCs/>
                      <w:color w:val="auto"/>
                      <w:kern w:val="0"/>
                      <w:sz w:val="18"/>
                      <w:szCs w:val="18"/>
                      <w:lang w:val="en-US" w:eastAsia="zh-CN" w:bidi="ar"/>
                    </w:rPr>
                  </w:pPr>
                </w:p>
              </w:tc>
              <w:tc>
                <w:tcPr>
                  <w:tcW w:w="439" w:type="pct"/>
                  <w:vMerge w:val="continue"/>
                  <w:tcBorders>
                    <w:tl2br w:val="nil"/>
                    <w:tr2bl w:val="nil"/>
                  </w:tcBorders>
                  <w:shd w:val="clear" w:color="auto" w:fill="auto"/>
                  <w:vAlign w:val="center"/>
                </w:tcPr>
                <w:p w14:paraId="4F0FCC91">
                  <w:pPr>
                    <w:adjustRightInd w:val="0"/>
                    <w:snapToGrid w:val="0"/>
                    <w:jc w:val="center"/>
                    <w:rPr>
                      <w:rFonts w:hint="eastAsia"/>
                      <w:bCs/>
                      <w:color w:val="auto"/>
                      <w:kern w:val="0"/>
                      <w:sz w:val="18"/>
                      <w:szCs w:val="18"/>
                      <w:lang w:val="en-US" w:eastAsia="zh-CN" w:bidi="ar"/>
                    </w:rPr>
                  </w:pPr>
                </w:p>
              </w:tc>
              <w:tc>
                <w:tcPr>
                  <w:tcW w:w="532" w:type="pct"/>
                  <w:vMerge w:val="continue"/>
                  <w:tcBorders>
                    <w:tl2br w:val="nil"/>
                    <w:tr2bl w:val="nil"/>
                  </w:tcBorders>
                  <w:shd w:val="clear" w:color="auto" w:fill="auto"/>
                  <w:vAlign w:val="center"/>
                </w:tcPr>
                <w:p w14:paraId="162F3087">
                  <w:pPr>
                    <w:adjustRightInd w:val="0"/>
                    <w:snapToGrid w:val="0"/>
                    <w:jc w:val="center"/>
                    <w:rPr>
                      <w:rFonts w:hint="eastAsia"/>
                      <w:bCs/>
                      <w:color w:val="auto"/>
                      <w:kern w:val="0"/>
                      <w:sz w:val="18"/>
                      <w:szCs w:val="18"/>
                      <w:lang w:val="en-US" w:eastAsia="zh-CN" w:bidi="ar"/>
                    </w:rPr>
                  </w:pPr>
                </w:p>
              </w:tc>
              <w:tc>
                <w:tcPr>
                  <w:tcW w:w="346" w:type="pct"/>
                  <w:vMerge w:val="continue"/>
                  <w:tcBorders>
                    <w:tl2br w:val="nil"/>
                    <w:tr2bl w:val="nil"/>
                  </w:tcBorders>
                  <w:shd w:val="clear" w:color="auto" w:fill="auto"/>
                  <w:vAlign w:val="center"/>
                </w:tcPr>
                <w:p w14:paraId="73554AA4">
                  <w:pPr>
                    <w:adjustRightInd w:val="0"/>
                    <w:snapToGrid w:val="0"/>
                    <w:jc w:val="center"/>
                    <w:rPr>
                      <w:rFonts w:hint="eastAsia"/>
                      <w:bCs/>
                      <w:color w:val="auto"/>
                      <w:kern w:val="0"/>
                      <w:sz w:val="18"/>
                      <w:szCs w:val="18"/>
                      <w:lang w:val="en-US" w:eastAsia="zh-CN" w:bidi="ar"/>
                    </w:rPr>
                  </w:pPr>
                </w:p>
              </w:tc>
              <w:tc>
                <w:tcPr>
                  <w:tcW w:w="465" w:type="pct"/>
                  <w:vMerge w:val="continue"/>
                  <w:tcBorders>
                    <w:tl2br w:val="nil"/>
                    <w:tr2bl w:val="nil"/>
                  </w:tcBorders>
                  <w:shd w:val="clear" w:color="auto" w:fill="auto"/>
                  <w:vAlign w:val="center"/>
                </w:tcPr>
                <w:p w14:paraId="2567F111">
                  <w:pPr>
                    <w:adjustRightInd w:val="0"/>
                    <w:snapToGrid w:val="0"/>
                    <w:jc w:val="center"/>
                    <w:rPr>
                      <w:rFonts w:hint="eastAsia"/>
                      <w:bCs/>
                      <w:color w:val="auto"/>
                      <w:kern w:val="0"/>
                      <w:sz w:val="18"/>
                      <w:szCs w:val="18"/>
                      <w:lang w:val="en-US" w:eastAsia="zh-CN" w:bidi="ar"/>
                    </w:rPr>
                  </w:pPr>
                </w:p>
              </w:tc>
              <w:tc>
                <w:tcPr>
                  <w:tcW w:w="532" w:type="pct"/>
                  <w:vMerge w:val="continue"/>
                  <w:tcBorders>
                    <w:tl2br w:val="nil"/>
                    <w:tr2bl w:val="nil"/>
                  </w:tcBorders>
                  <w:shd w:val="clear" w:color="auto" w:fill="auto"/>
                  <w:vAlign w:val="center"/>
                </w:tcPr>
                <w:p w14:paraId="18D70143">
                  <w:pPr>
                    <w:adjustRightInd w:val="0"/>
                    <w:snapToGrid w:val="0"/>
                    <w:jc w:val="center"/>
                    <w:rPr>
                      <w:rFonts w:hint="eastAsia"/>
                      <w:bCs/>
                      <w:color w:val="auto"/>
                      <w:kern w:val="0"/>
                      <w:sz w:val="18"/>
                      <w:szCs w:val="18"/>
                      <w:lang w:val="en-US" w:eastAsia="zh-CN" w:bidi="ar"/>
                    </w:rPr>
                  </w:pPr>
                </w:p>
              </w:tc>
              <w:tc>
                <w:tcPr>
                  <w:tcW w:w="405" w:type="pct"/>
                  <w:vMerge w:val="continue"/>
                  <w:tcBorders>
                    <w:tl2br w:val="nil"/>
                    <w:tr2bl w:val="nil"/>
                  </w:tcBorders>
                  <w:shd w:val="clear" w:color="auto" w:fill="auto"/>
                  <w:vAlign w:val="center"/>
                </w:tcPr>
                <w:p w14:paraId="010C7665">
                  <w:pPr>
                    <w:adjustRightInd w:val="0"/>
                    <w:snapToGrid w:val="0"/>
                    <w:jc w:val="center"/>
                    <w:rPr>
                      <w:rFonts w:hint="eastAsia"/>
                      <w:bCs/>
                      <w:color w:val="auto"/>
                      <w:kern w:val="0"/>
                      <w:sz w:val="18"/>
                      <w:szCs w:val="18"/>
                      <w:lang w:bidi="ar"/>
                    </w:rPr>
                  </w:pPr>
                </w:p>
              </w:tc>
              <w:tc>
                <w:tcPr>
                  <w:tcW w:w="1199" w:type="dxa"/>
                  <w:tcBorders>
                    <w:tl2br w:val="nil"/>
                    <w:tr2bl w:val="nil"/>
                  </w:tcBorders>
                  <w:shd w:val="clear" w:color="auto" w:fill="auto"/>
                  <w:vAlign w:val="center"/>
                </w:tcPr>
                <w:p w14:paraId="159B5442">
                  <w:pPr>
                    <w:pStyle w:val="656"/>
                    <w:snapToGrid w:val="0"/>
                    <w:rPr>
                      <w:rFonts w:hint="eastAsia" w:eastAsia="宋体"/>
                      <w:color w:val="auto"/>
                      <w:sz w:val="18"/>
                      <w:szCs w:val="18"/>
                      <w:lang w:val="en-US" w:eastAsia="zh-CN"/>
                    </w:rPr>
                  </w:pPr>
                  <w:r>
                    <w:rPr>
                      <w:rFonts w:hint="eastAsia" w:eastAsia="宋体"/>
                      <w:color w:val="auto"/>
                      <w:sz w:val="18"/>
                      <w:szCs w:val="18"/>
                      <w:lang w:val="en-US" w:eastAsia="zh-CN"/>
                    </w:rPr>
                    <w:t>二甲苯</w:t>
                  </w:r>
                </w:p>
              </w:tc>
              <w:tc>
                <w:tcPr>
                  <w:tcW w:w="992" w:type="dxa"/>
                  <w:tcBorders>
                    <w:tl2br w:val="nil"/>
                    <w:tr2bl w:val="nil"/>
                  </w:tcBorders>
                  <w:shd w:val="clear" w:color="auto" w:fill="auto"/>
                  <w:vAlign w:val="center"/>
                </w:tcPr>
                <w:p w14:paraId="03E4303F">
                  <w:pPr>
                    <w:pStyle w:val="656"/>
                    <w:snapToGrid w:val="0"/>
                    <w:rPr>
                      <w:rFonts w:hint="eastAsia"/>
                      <w:bCs/>
                      <w:color w:val="auto"/>
                      <w:kern w:val="0"/>
                      <w:sz w:val="18"/>
                      <w:szCs w:val="18"/>
                      <w:lang w:val="en-US" w:eastAsia="zh-CN" w:bidi="ar"/>
                    </w:rPr>
                  </w:pPr>
                  <w:r>
                    <w:rPr>
                      <w:rFonts w:hint="eastAsia" w:eastAsia="宋体"/>
                      <w:color w:val="auto"/>
                      <w:sz w:val="18"/>
                      <w:szCs w:val="18"/>
                      <w:lang w:val="en-US" w:eastAsia="zh-CN"/>
                    </w:rPr>
                    <w:t>0.0136</w:t>
                  </w:r>
                </w:p>
              </w:tc>
            </w:tr>
            <w:tr w14:paraId="7CACB5B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90" w:hRule="atLeast"/>
              </w:trPr>
              <w:tc>
                <w:tcPr>
                  <w:tcW w:w="353" w:type="pct"/>
                  <w:vMerge w:val="continue"/>
                  <w:tcBorders>
                    <w:tl2br w:val="nil"/>
                    <w:tr2bl w:val="nil"/>
                  </w:tcBorders>
                  <w:shd w:val="clear" w:color="auto" w:fill="auto"/>
                  <w:vAlign w:val="center"/>
                </w:tcPr>
                <w:p w14:paraId="09C2D6AC">
                  <w:pPr>
                    <w:adjustRightInd w:val="0"/>
                    <w:snapToGrid w:val="0"/>
                    <w:jc w:val="center"/>
                    <w:rPr>
                      <w:rFonts w:hint="eastAsia"/>
                      <w:bCs/>
                      <w:color w:val="auto"/>
                      <w:kern w:val="0"/>
                      <w:sz w:val="18"/>
                      <w:szCs w:val="18"/>
                      <w:lang w:val="en-US" w:eastAsia="zh-CN" w:bidi="ar"/>
                    </w:rPr>
                  </w:pPr>
                </w:p>
              </w:tc>
              <w:tc>
                <w:tcPr>
                  <w:tcW w:w="342" w:type="pct"/>
                  <w:vMerge w:val="continue"/>
                  <w:tcBorders>
                    <w:tl2br w:val="nil"/>
                    <w:tr2bl w:val="nil"/>
                  </w:tcBorders>
                  <w:shd w:val="clear" w:color="auto" w:fill="auto"/>
                  <w:vAlign w:val="center"/>
                </w:tcPr>
                <w:p w14:paraId="11A27354">
                  <w:pPr>
                    <w:adjustRightInd w:val="0"/>
                    <w:snapToGrid w:val="0"/>
                    <w:jc w:val="center"/>
                    <w:rPr>
                      <w:rFonts w:hint="eastAsia"/>
                      <w:bCs/>
                      <w:color w:val="auto"/>
                      <w:kern w:val="0"/>
                      <w:sz w:val="18"/>
                      <w:szCs w:val="18"/>
                      <w:lang w:val="en-US" w:eastAsia="zh-CN" w:bidi="ar"/>
                    </w:rPr>
                  </w:pPr>
                </w:p>
              </w:tc>
              <w:tc>
                <w:tcPr>
                  <w:tcW w:w="343" w:type="pct"/>
                  <w:vMerge w:val="continue"/>
                  <w:tcBorders>
                    <w:tl2br w:val="nil"/>
                    <w:tr2bl w:val="nil"/>
                  </w:tcBorders>
                  <w:shd w:val="clear" w:color="auto" w:fill="auto"/>
                  <w:vAlign w:val="center"/>
                </w:tcPr>
                <w:p w14:paraId="65B17BC5">
                  <w:pPr>
                    <w:adjustRightInd w:val="0"/>
                    <w:snapToGrid w:val="0"/>
                    <w:jc w:val="center"/>
                    <w:rPr>
                      <w:rFonts w:hint="eastAsia"/>
                      <w:bCs/>
                      <w:color w:val="auto"/>
                      <w:kern w:val="0"/>
                      <w:sz w:val="18"/>
                      <w:szCs w:val="18"/>
                      <w:lang w:val="en-US" w:eastAsia="zh-CN" w:bidi="ar"/>
                    </w:rPr>
                  </w:pPr>
                </w:p>
              </w:tc>
              <w:tc>
                <w:tcPr>
                  <w:tcW w:w="439" w:type="pct"/>
                  <w:vMerge w:val="continue"/>
                  <w:tcBorders>
                    <w:tl2br w:val="nil"/>
                    <w:tr2bl w:val="nil"/>
                  </w:tcBorders>
                  <w:shd w:val="clear" w:color="auto" w:fill="auto"/>
                  <w:vAlign w:val="center"/>
                </w:tcPr>
                <w:p w14:paraId="1B908B83">
                  <w:pPr>
                    <w:adjustRightInd w:val="0"/>
                    <w:snapToGrid w:val="0"/>
                    <w:jc w:val="center"/>
                    <w:rPr>
                      <w:rFonts w:hint="eastAsia"/>
                      <w:bCs/>
                      <w:color w:val="auto"/>
                      <w:kern w:val="0"/>
                      <w:sz w:val="18"/>
                      <w:szCs w:val="18"/>
                      <w:lang w:val="en-US" w:eastAsia="zh-CN" w:bidi="ar"/>
                    </w:rPr>
                  </w:pPr>
                </w:p>
              </w:tc>
              <w:tc>
                <w:tcPr>
                  <w:tcW w:w="532" w:type="pct"/>
                  <w:vMerge w:val="continue"/>
                  <w:tcBorders>
                    <w:tl2br w:val="nil"/>
                    <w:tr2bl w:val="nil"/>
                  </w:tcBorders>
                  <w:shd w:val="clear" w:color="auto" w:fill="auto"/>
                  <w:vAlign w:val="center"/>
                </w:tcPr>
                <w:p w14:paraId="7F02B7B0">
                  <w:pPr>
                    <w:adjustRightInd w:val="0"/>
                    <w:snapToGrid w:val="0"/>
                    <w:jc w:val="center"/>
                    <w:rPr>
                      <w:rFonts w:hint="eastAsia"/>
                      <w:bCs/>
                      <w:color w:val="auto"/>
                      <w:kern w:val="0"/>
                      <w:sz w:val="18"/>
                      <w:szCs w:val="18"/>
                      <w:lang w:val="en-US" w:eastAsia="zh-CN" w:bidi="ar"/>
                    </w:rPr>
                  </w:pPr>
                </w:p>
              </w:tc>
              <w:tc>
                <w:tcPr>
                  <w:tcW w:w="346" w:type="pct"/>
                  <w:vMerge w:val="continue"/>
                  <w:tcBorders>
                    <w:tl2br w:val="nil"/>
                    <w:tr2bl w:val="nil"/>
                  </w:tcBorders>
                  <w:shd w:val="clear" w:color="auto" w:fill="auto"/>
                  <w:vAlign w:val="center"/>
                </w:tcPr>
                <w:p w14:paraId="10AC43E8">
                  <w:pPr>
                    <w:adjustRightInd w:val="0"/>
                    <w:snapToGrid w:val="0"/>
                    <w:jc w:val="center"/>
                    <w:rPr>
                      <w:rFonts w:hint="eastAsia"/>
                      <w:bCs/>
                      <w:color w:val="auto"/>
                      <w:kern w:val="0"/>
                      <w:sz w:val="18"/>
                      <w:szCs w:val="18"/>
                      <w:lang w:val="en-US" w:eastAsia="zh-CN" w:bidi="ar"/>
                    </w:rPr>
                  </w:pPr>
                </w:p>
              </w:tc>
              <w:tc>
                <w:tcPr>
                  <w:tcW w:w="465" w:type="pct"/>
                  <w:vMerge w:val="continue"/>
                  <w:tcBorders>
                    <w:tl2br w:val="nil"/>
                    <w:tr2bl w:val="nil"/>
                  </w:tcBorders>
                  <w:shd w:val="clear" w:color="auto" w:fill="auto"/>
                  <w:vAlign w:val="center"/>
                </w:tcPr>
                <w:p w14:paraId="550945AA">
                  <w:pPr>
                    <w:adjustRightInd w:val="0"/>
                    <w:snapToGrid w:val="0"/>
                    <w:jc w:val="center"/>
                    <w:rPr>
                      <w:rFonts w:hint="eastAsia"/>
                      <w:bCs/>
                      <w:color w:val="auto"/>
                      <w:kern w:val="0"/>
                      <w:sz w:val="18"/>
                      <w:szCs w:val="18"/>
                      <w:lang w:val="en-US" w:eastAsia="zh-CN" w:bidi="ar"/>
                    </w:rPr>
                  </w:pPr>
                </w:p>
              </w:tc>
              <w:tc>
                <w:tcPr>
                  <w:tcW w:w="532" w:type="pct"/>
                  <w:vMerge w:val="continue"/>
                  <w:tcBorders>
                    <w:tl2br w:val="nil"/>
                    <w:tr2bl w:val="nil"/>
                  </w:tcBorders>
                  <w:shd w:val="clear" w:color="auto" w:fill="auto"/>
                  <w:vAlign w:val="center"/>
                </w:tcPr>
                <w:p w14:paraId="26F91507">
                  <w:pPr>
                    <w:adjustRightInd w:val="0"/>
                    <w:snapToGrid w:val="0"/>
                    <w:jc w:val="center"/>
                    <w:rPr>
                      <w:rFonts w:hint="eastAsia"/>
                      <w:bCs/>
                      <w:color w:val="auto"/>
                      <w:kern w:val="0"/>
                      <w:sz w:val="18"/>
                      <w:szCs w:val="18"/>
                      <w:lang w:val="en-US" w:eastAsia="zh-CN" w:bidi="ar"/>
                    </w:rPr>
                  </w:pPr>
                </w:p>
              </w:tc>
              <w:tc>
                <w:tcPr>
                  <w:tcW w:w="405" w:type="pct"/>
                  <w:vMerge w:val="continue"/>
                  <w:tcBorders>
                    <w:tl2br w:val="nil"/>
                    <w:tr2bl w:val="nil"/>
                  </w:tcBorders>
                  <w:shd w:val="clear" w:color="auto" w:fill="auto"/>
                  <w:vAlign w:val="center"/>
                </w:tcPr>
                <w:p w14:paraId="23ED3831">
                  <w:pPr>
                    <w:adjustRightInd w:val="0"/>
                    <w:snapToGrid w:val="0"/>
                    <w:jc w:val="center"/>
                    <w:rPr>
                      <w:rFonts w:hint="eastAsia"/>
                      <w:bCs/>
                      <w:color w:val="auto"/>
                      <w:kern w:val="0"/>
                      <w:sz w:val="18"/>
                      <w:szCs w:val="18"/>
                      <w:lang w:bidi="ar"/>
                    </w:rPr>
                  </w:pPr>
                </w:p>
              </w:tc>
              <w:tc>
                <w:tcPr>
                  <w:tcW w:w="1199" w:type="dxa"/>
                  <w:tcBorders>
                    <w:tl2br w:val="nil"/>
                    <w:tr2bl w:val="nil"/>
                  </w:tcBorders>
                  <w:shd w:val="clear" w:color="auto" w:fill="auto"/>
                  <w:vAlign w:val="center"/>
                </w:tcPr>
                <w:p w14:paraId="1FA3F7A9">
                  <w:pPr>
                    <w:pStyle w:val="656"/>
                    <w:snapToGrid w:val="0"/>
                    <w:rPr>
                      <w:rFonts w:hint="eastAsia" w:eastAsia="宋体"/>
                      <w:color w:val="auto"/>
                      <w:sz w:val="18"/>
                      <w:szCs w:val="18"/>
                      <w:lang w:val="en-US" w:eastAsia="zh-CN"/>
                    </w:rPr>
                  </w:pPr>
                  <w:r>
                    <w:rPr>
                      <w:rFonts w:hint="eastAsia" w:eastAsia="宋体"/>
                      <w:color w:val="auto"/>
                      <w:sz w:val="18"/>
                      <w:szCs w:val="18"/>
                      <w:lang w:val="en-US" w:eastAsia="zh-CN"/>
                    </w:rPr>
                    <w:t>乙苯</w:t>
                  </w:r>
                </w:p>
              </w:tc>
              <w:tc>
                <w:tcPr>
                  <w:tcW w:w="992" w:type="dxa"/>
                  <w:tcBorders>
                    <w:tl2br w:val="nil"/>
                    <w:tr2bl w:val="nil"/>
                  </w:tcBorders>
                  <w:shd w:val="clear" w:color="auto" w:fill="auto"/>
                  <w:vAlign w:val="center"/>
                </w:tcPr>
                <w:p w14:paraId="75A21ABD">
                  <w:pPr>
                    <w:pStyle w:val="656"/>
                    <w:snapToGrid w:val="0"/>
                    <w:rPr>
                      <w:rFonts w:hint="eastAsia"/>
                      <w:bCs/>
                      <w:color w:val="auto"/>
                      <w:kern w:val="0"/>
                      <w:sz w:val="18"/>
                      <w:szCs w:val="18"/>
                      <w:lang w:val="en-US" w:eastAsia="zh-CN" w:bidi="ar"/>
                    </w:rPr>
                  </w:pPr>
                  <w:r>
                    <w:rPr>
                      <w:rFonts w:hint="eastAsia" w:eastAsia="宋体"/>
                      <w:color w:val="auto"/>
                      <w:sz w:val="18"/>
                      <w:szCs w:val="18"/>
                      <w:lang w:val="en-US" w:eastAsia="zh-CN"/>
                    </w:rPr>
                    <w:t>0.0031</w:t>
                  </w:r>
                </w:p>
              </w:tc>
            </w:tr>
            <w:tr w14:paraId="0753C5F3">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90" w:hRule="atLeast"/>
              </w:trPr>
              <w:tc>
                <w:tcPr>
                  <w:tcW w:w="353" w:type="pct"/>
                  <w:vMerge w:val="continue"/>
                  <w:tcBorders>
                    <w:tl2br w:val="nil"/>
                    <w:tr2bl w:val="nil"/>
                  </w:tcBorders>
                  <w:shd w:val="clear" w:color="auto" w:fill="auto"/>
                  <w:vAlign w:val="center"/>
                </w:tcPr>
                <w:p w14:paraId="1FA1D990">
                  <w:pPr>
                    <w:adjustRightInd w:val="0"/>
                    <w:snapToGrid w:val="0"/>
                    <w:jc w:val="center"/>
                    <w:rPr>
                      <w:rFonts w:hint="eastAsia"/>
                      <w:bCs/>
                      <w:color w:val="auto"/>
                      <w:kern w:val="0"/>
                      <w:sz w:val="18"/>
                      <w:szCs w:val="18"/>
                      <w:lang w:val="en-US" w:eastAsia="zh-CN" w:bidi="ar"/>
                    </w:rPr>
                  </w:pPr>
                </w:p>
              </w:tc>
              <w:tc>
                <w:tcPr>
                  <w:tcW w:w="342" w:type="pct"/>
                  <w:vMerge w:val="continue"/>
                  <w:tcBorders>
                    <w:tl2br w:val="nil"/>
                    <w:tr2bl w:val="nil"/>
                  </w:tcBorders>
                  <w:shd w:val="clear" w:color="auto" w:fill="auto"/>
                  <w:vAlign w:val="center"/>
                </w:tcPr>
                <w:p w14:paraId="56C03DB9">
                  <w:pPr>
                    <w:adjustRightInd w:val="0"/>
                    <w:snapToGrid w:val="0"/>
                    <w:jc w:val="center"/>
                    <w:rPr>
                      <w:rFonts w:hint="eastAsia"/>
                      <w:bCs/>
                      <w:color w:val="auto"/>
                      <w:kern w:val="0"/>
                      <w:sz w:val="18"/>
                      <w:szCs w:val="18"/>
                      <w:lang w:val="en-US" w:eastAsia="zh-CN" w:bidi="ar"/>
                    </w:rPr>
                  </w:pPr>
                </w:p>
              </w:tc>
              <w:tc>
                <w:tcPr>
                  <w:tcW w:w="343" w:type="pct"/>
                  <w:vMerge w:val="continue"/>
                  <w:tcBorders>
                    <w:tl2br w:val="nil"/>
                    <w:tr2bl w:val="nil"/>
                  </w:tcBorders>
                  <w:shd w:val="clear" w:color="auto" w:fill="auto"/>
                  <w:vAlign w:val="center"/>
                </w:tcPr>
                <w:p w14:paraId="42A9B3C4">
                  <w:pPr>
                    <w:adjustRightInd w:val="0"/>
                    <w:snapToGrid w:val="0"/>
                    <w:jc w:val="center"/>
                    <w:rPr>
                      <w:rFonts w:hint="eastAsia"/>
                      <w:bCs/>
                      <w:color w:val="auto"/>
                      <w:kern w:val="0"/>
                      <w:sz w:val="18"/>
                      <w:szCs w:val="18"/>
                      <w:lang w:val="en-US" w:eastAsia="zh-CN" w:bidi="ar"/>
                    </w:rPr>
                  </w:pPr>
                </w:p>
              </w:tc>
              <w:tc>
                <w:tcPr>
                  <w:tcW w:w="439" w:type="pct"/>
                  <w:vMerge w:val="continue"/>
                  <w:tcBorders>
                    <w:tl2br w:val="nil"/>
                    <w:tr2bl w:val="nil"/>
                  </w:tcBorders>
                  <w:shd w:val="clear" w:color="auto" w:fill="auto"/>
                  <w:vAlign w:val="center"/>
                </w:tcPr>
                <w:p w14:paraId="0570B5D4">
                  <w:pPr>
                    <w:adjustRightInd w:val="0"/>
                    <w:snapToGrid w:val="0"/>
                    <w:jc w:val="center"/>
                    <w:rPr>
                      <w:rFonts w:hint="eastAsia"/>
                      <w:bCs/>
                      <w:color w:val="auto"/>
                      <w:kern w:val="0"/>
                      <w:sz w:val="18"/>
                      <w:szCs w:val="18"/>
                      <w:lang w:val="en-US" w:eastAsia="zh-CN" w:bidi="ar"/>
                    </w:rPr>
                  </w:pPr>
                </w:p>
              </w:tc>
              <w:tc>
                <w:tcPr>
                  <w:tcW w:w="532" w:type="pct"/>
                  <w:vMerge w:val="continue"/>
                  <w:tcBorders>
                    <w:tl2br w:val="nil"/>
                    <w:tr2bl w:val="nil"/>
                  </w:tcBorders>
                  <w:shd w:val="clear" w:color="auto" w:fill="auto"/>
                  <w:vAlign w:val="center"/>
                </w:tcPr>
                <w:p w14:paraId="675AC661">
                  <w:pPr>
                    <w:adjustRightInd w:val="0"/>
                    <w:snapToGrid w:val="0"/>
                    <w:jc w:val="center"/>
                    <w:rPr>
                      <w:rFonts w:hint="eastAsia"/>
                      <w:bCs/>
                      <w:color w:val="auto"/>
                      <w:kern w:val="0"/>
                      <w:sz w:val="18"/>
                      <w:szCs w:val="18"/>
                      <w:lang w:val="en-US" w:eastAsia="zh-CN" w:bidi="ar"/>
                    </w:rPr>
                  </w:pPr>
                </w:p>
              </w:tc>
              <w:tc>
                <w:tcPr>
                  <w:tcW w:w="346" w:type="pct"/>
                  <w:vMerge w:val="continue"/>
                  <w:tcBorders>
                    <w:tl2br w:val="nil"/>
                    <w:tr2bl w:val="nil"/>
                  </w:tcBorders>
                  <w:shd w:val="clear" w:color="auto" w:fill="auto"/>
                  <w:vAlign w:val="center"/>
                </w:tcPr>
                <w:p w14:paraId="4688C76E">
                  <w:pPr>
                    <w:adjustRightInd w:val="0"/>
                    <w:snapToGrid w:val="0"/>
                    <w:jc w:val="center"/>
                    <w:rPr>
                      <w:rFonts w:hint="eastAsia"/>
                      <w:bCs/>
                      <w:color w:val="auto"/>
                      <w:kern w:val="0"/>
                      <w:sz w:val="18"/>
                      <w:szCs w:val="18"/>
                      <w:lang w:val="en-US" w:eastAsia="zh-CN" w:bidi="ar"/>
                    </w:rPr>
                  </w:pPr>
                </w:p>
              </w:tc>
              <w:tc>
                <w:tcPr>
                  <w:tcW w:w="465" w:type="pct"/>
                  <w:vMerge w:val="continue"/>
                  <w:tcBorders>
                    <w:tl2br w:val="nil"/>
                    <w:tr2bl w:val="nil"/>
                  </w:tcBorders>
                  <w:shd w:val="clear" w:color="auto" w:fill="auto"/>
                  <w:vAlign w:val="center"/>
                </w:tcPr>
                <w:p w14:paraId="114E56CC">
                  <w:pPr>
                    <w:adjustRightInd w:val="0"/>
                    <w:snapToGrid w:val="0"/>
                    <w:jc w:val="center"/>
                    <w:rPr>
                      <w:rFonts w:hint="eastAsia"/>
                      <w:bCs/>
                      <w:color w:val="auto"/>
                      <w:kern w:val="0"/>
                      <w:sz w:val="18"/>
                      <w:szCs w:val="18"/>
                      <w:lang w:val="en-US" w:eastAsia="zh-CN" w:bidi="ar"/>
                    </w:rPr>
                  </w:pPr>
                </w:p>
              </w:tc>
              <w:tc>
                <w:tcPr>
                  <w:tcW w:w="532" w:type="pct"/>
                  <w:vMerge w:val="continue"/>
                  <w:tcBorders>
                    <w:tl2br w:val="nil"/>
                    <w:tr2bl w:val="nil"/>
                  </w:tcBorders>
                  <w:shd w:val="clear" w:color="auto" w:fill="auto"/>
                  <w:vAlign w:val="center"/>
                </w:tcPr>
                <w:p w14:paraId="0B84C007">
                  <w:pPr>
                    <w:adjustRightInd w:val="0"/>
                    <w:snapToGrid w:val="0"/>
                    <w:jc w:val="center"/>
                    <w:rPr>
                      <w:rFonts w:hint="eastAsia"/>
                      <w:bCs/>
                      <w:color w:val="auto"/>
                      <w:kern w:val="0"/>
                      <w:sz w:val="18"/>
                      <w:szCs w:val="18"/>
                      <w:lang w:val="en-US" w:eastAsia="zh-CN" w:bidi="ar"/>
                    </w:rPr>
                  </w:pPr>
                </w:p>
              </w:tc>
              <w:tc>
                <w:tcPr>
                  <w:tcW w:w="405" w:type="pct"/>
                  <w:vMerge w:val="continue"/>
                  <w:tcBorders>
                    <w:tl2br w:val="nil"/>
                    <w:tr2bl w:val="nil"/>
                  </w:tcBorders>
                  <w:shd w:val="clear" w:color="auto" w:fill="auto"/>
                  <w:vAlign w:val="center"/>
                </w:tcPr>
                <w:p w14:paraId="6482D813">
                  <w:pPr>
                    <w:adjustRightInd w:val="0"/>
                    <w:snapToGrid w:val="0"/>
                    <w:jc w:val="center"/>
                    <w:rPr>
                      <w:rFonts w:hint="eastAsia"/>
                      <w:bCs/>
                      <w:color w:val="auto"/>
                      <w:kern w:val="0"/>
                      <w:sz w:val="18"/>
                      <w:szCs w:val="18"/>
                      <w:lang w:bidi="ar"/>
                    </w:rPr>
                  </w:pPr>
                </w:p>
              </w:tc>
              <w:tc>
                <w:tcPr>
                  <w:tcW w:w="1199" w:type="dxa"/>
                  <w:tcBorders>
                    <w:tl2br w:val="nil"/>
                    <w:tr2bl w:val="nil"/>
                  </w:tcBorders>
                  <w:shd w:val="clear" w:color="auto" w:fill="auto"/>
                  <w:vAlign w:val="center"/>
                </w:tcPr>
                <w:p w14:paraId="71F02DAD">
                  <w:pPr>
                    <w:pStyle w:val="656"/>
                    <w:snapToGrid w:val="0"/>
                    <w:rPr>
                      <w:rFonts w:hint="eastAsia" w:eastAsia="宋体"/>
                      <w:color w:val="auto"/>
                      <w:sz w:val="18"/>
                      <w:szCs w:val="18"/>
                      <w:lang w:val="en-US" w:eastAsia="zh-CN"/>
                    </w:rPr>
                  </w:pPr>
                  <w:r>
                    <w:rPr>
                      <w:rFonts w:hint="eastAsia" w:eastAsia="宋体"/>
                      <w:color w:val="auto"/>
                      <w:sz w:val="18"/>
                      <w:szCs w:val="18"/>
                      <w:lang w:val="en-US" w:eastAsia="zh-CN"/>
                    </w:rPr>
                    <w:t>三甲苯</w:t>
                  </w:r>
                </w:p>
              </w:tc>
              <w:tc>
                <w:tcPr>
                  <w:tcW w:w="992" w:type="dxa"/>
                  <w:tcBorders>
                    <w:tl2br w:val="nil"/>
                    <w:tr2bl w:val="nil"/>
                  </w:tcBorders>
                  <w:shd w:val="clear" w:color="auto" w:fill="auto"/>
                  <w:vAlign w:val="center"/>
                </w:tcPr>
                <w:p w14:paraId="321D569F">
                  <w:pPr>
                    <w:pStyle w:val="656"/>
                    <w:snapToGrid w:val="0"/>
                    <w:rPr>
                      <w:rFonts w:hint="eastAsia"/>
                      <w:bCs/>
                      <w:color w:val="auto"/>
                      <w:kern w:val="0"/>
                      <w:sz w:val="18"/>
                      <w:szCs w:val="18"/>
                      <w:lang w:val="en-US" w:eastAsia="zh-CN" w:bidi="ar"/>
                    </w:rPr>
                  </w:pPr>
                  <w:r>
                    <w:rPr>
                      <w:rFonts w:hint="eastAsia" w:eastAsia="宋体"/>
                      <w:color w:val="auto"/>
                      <w:sz w:val="18"/>
                      <w:szCs w:val="18"/>
                      <w:lang w:val="en-US" w:eastAsia="zh-CN"/>
                    </w:rPr>
                    <w:t>0.0033</w:t>
                  </w:r>
                </w:p>
              </w:tc>
            </w:tr>
            <w:tr w14:paraId="5EFA84D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5000" w:type="pct"/>
                  <w:gridSpan w:val="11"/>
                  <w:tcBorders>
                    <w:tl2br w:val="nil"/>
                    <w:tr2bl w:val="nil"/>
                  </w:tcBorders>
                  <w:shd w:val="clear" w:color="auto" w:fill="auto"/>
                  <w:vAlign w:val="center"/>
                </w:tcPr>
                <w:p w14:paraId="4F89552E">
                  <w:pPr>
                    <w:adjustRightInd w:val="0"/>
                    <w:snapToGrid w:val="0"/>
                    <w:jc w:val="left"/>
                    <w:rPr>
                      <w:b/>
                      <w:color w:val="auto"/>
                      <w:kern w:val="0"/>
                      <w:sz w:val="18"/>
                      <w:szCs w:val="18"/>
                      <w:lang w:bidi="ar"/>
                    </w:rPr>
                  </w:pPr>
                  <w:r>
                    <w:rPr>
                      <w:rFonts w:hint="eastAsia"/>
                      <w:b/>
                      <w:color w:val="auto"/>
                      <w:kern w:val="0"/>
                      <w:sz w:val="18"/>
                      <w:szCs w:val="18"/>
                      <w:lang w:bidi="ar"/>
                    </w:rPr>
                    <w:t>注：坐标以厂区左下角为原点（0,0）</w:t>
                  </w:r>
                  <w:r>
                    <w:rPr>
                      <w:rFonts w:hint="eastAsia"/>
                      <w:b/>
                      <w:color w:val="auto"/>
                      <w:kern w:val="0"/>
                      <w:sz w:val="18"/>
                      <w:szCs w:val="18"/>
                      <w:lang w:eastAsia="zh-CN" w:bidi="ar"/>
                    </w:rPr>
                    <w:t>，</w:t>
                  </w:r>
                  <w:r>
                    <w:rPr>
                      <w:rFonts w:hint="eastAsia"/>
                      <w:b/>
                      <w:color w:val="auto"/>
                      <w:kern w:val="0"/>
                      <w:sz w:val="18"/>
                      <w:szCs w:val="18"/>
                      <w:lang w:bidi="ar"/>
                    </w:rPr>
                    <w:t>非甲烷总烃中包含苯系物（其中包括二甲苯、乙苯、三甲苯）</w:t>
                  </w:r>
                  <w:r>
                    <w:rPr>
                      <w:rFonts w:hint="eastAsia"/>
                      <w:b/>
                      <w:color w:val="auto"/>
                      <w:kern w:val="0"/>
                      <w:sz w:val="18"/>
                      <w:szCs w:val="18"/>
                      <w:lang w:eastAsia="zh-CN" w:bidi="ar"/>
                    </w:rPr>
                    <w:t>。</w:t>
                  </w:r>
                </w:p>
              </w:tc>
            </w:tr>
          </w:tbl>
          <w:p w14:paraId="6590657A">
            <w:pPr>
              <w:adjustRightInd w:val="0"/>
              <w:snapToGrid w:val="0"/>
              <w:jc w:val="center"/>
              <w:rPr>
                <w:b/>
                <w:bCs/>
                <w:color w:val="auto"/>
                <w:kern w:val="0"/>
              </w:rPr>
            </w:pPr>
            <w:r>
              <w:rPr>
                <w:rFonts w:hint="eastAsia"/>
                <w:b/>
                <w:bCs/>
                <w:color w:val="auto"/>
                <w:kern w:val="0"/>
              </w:rPr>
              <w:t>表4-</w:t>
            </w:r>
            <w:r>
              <w:rPr>
                <w:rFonts w:hint="eastAsia"/>
                <w:b/>
                <w:bCs/>
                <w:color w:val="auto"/>
                <w:kern w:val="0"/>
                <w:lang w:val="en-US" w:eastAsia="zh-CN"/>
              </w:rPr>
              <w:t>5</w:t>
            </w:r>
            <w:r>
              <w:rPr>
                <w:rFonts w:hint="eastAsia"/>
                <w:b/>
                <w:bCs/>
                <w:color w:val="auto"/>
                <w:kern w:val="0"/>
              </w:rPr>
              <w:t xml:space="preserve">   矩形面源参数表</w:t>
            </w:r>
          </w:p>
          <w:tbl>
            <w:tblPr>
              <w:tblStyle w:val="59"/>
              <w:tblW w:w="4997"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819"/>
              <w:gridCol w:w="575"/>
              <w:gridCol w:w="634"/>
              <w:gridCol w:w="700"/>
              <w:gridCol w:w="785"/>
              <w:gridCol w:w="870"/>
              <w:gridCol w:w="962"/>
              <w:gridCol w:w="760"/>
              <w:gridCol w:w="707"/>
              <w:gridCol w:w="1141"/>
              <w:gridCol w:w="903"/>
            </w:tblGrid>
            <w:tr w14:paraId="6FE5458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06" w:hRule="atLeast"/>
                <w:jc w:val="center"/>
              </w:trPr>
              <w:tc>
                <w:tcPr>
                  <w:tcW w:w="462" w:type="pct"/>
                  <w:vMerge w:val="restart"/>
                  <w:tcBorders>
                    <w:tl2br w:val="nil"/>
                    <w:tr2bl w:val="nil"/>
                  </w:tcBorders>
                  <w:shd w:val="clear" w:color="auto" w:fill="auto"/>
                  <w:vAlign w:val="center"/>
                </w:tcPr>
                <w:p w14:paraId="436B07BF">
                  <w:pPr>
                    <w:adjustRightInd w:val="0"/>
                    <w:snapToGrid w:val="0"/>
                    <w:jc w:val="center"/>
                    <w:rPr>
                      <w:b/>
                      <w:bCs/>
                      <w:color w:val="auto"/>
                      <w:kern w:val="0"/>
                      <w:sz w:val="18"/>
                      <w:szCs w:val="18"/>
                    </w:rPr>
                  </w:pPr>
                  <w:r>
                    <w:rPr>
                      <w:b/>
                      <w:bCs/>
                      <w:color w:val="auto"/>
                      <w:kern w:val="0"/>
                      <w:sz w:val="18"/>
                      <w:szCs w:val="18"/>
                    </w:rPr>
                    <w:t>名称</w:t>
                  </w:r>
                </w:p>
              </w:tc>
              <w:tc>
                <w:tcPr>
                  <w:tcW w:w="682" w:type="pct"/>
                  <w:gridSpan w:val="2"/>
                  <w:tcBorders>
                    <w:tl2br w:val="nil"/>
                    <w:tr2bl w:val="nil"/>
                  </w:tcBorders>
                  <w:shd w:val="clear" w:color="auto" w:fill="auto"/>
                  <w:vAlign w:val="center"/>
                </w:tcPr>
                <w:p w14:paraId="2624CFAA">
                  <w:pPr>
                    <w:adjustRightInd w:val="0"/>
                    <w:snapToGrid w:val="0"/>
                    <w:jc w:val="center"/>
                    <w:rPr>
                      <w:b/>
                      <w:bCs/>
                      <w:color w:val="auto"/>
                      <w:kern w:val="0"/>
                      <w:sz w:val="18"/>
                      <w:szCs w:val="18"/>
                    </w:rPr>
                  </w:pPr>
                  <w:r>
                    <w:rPr>
                      <w:b/>
                      <w:bCs/>
                      <w:color w:val="auto"/>
                      <w:kern w:val="0"/>
                      <w:sz w:val="18"/>
                      <w:szCs w:val="18"/>
                    </w:rPr>
                    <w:t>面源起点坐标m</w:t>
                  </w:r>
                </w:p>
              </w:tc>
              <w:tc>
                <w:tcPr>
                  <w:tcW w:w="395" w:type="pct"/>
                  <w:vMerge w:val="restart"/>
                  <w:tcBorders>
                    <w:tl2br w:val="nil"/>
                    <w:tr2bl w:val="nil"/>
                  </w:tcBorders>
                  <w:shd w:val="clear" w:color="auto" w:fill="auto"/>
                  <w:vAlign w:val="center"/>
                </w:tcPr>
                <w:p w14:paraId="61875770">
                  <w:pPr>
                    <w:adjustRightInd w:val="0"/>
                    <w:snapToGrid w:val="0"/>
                    <w:jc w:val="center"/>
                    <w:rPr>
                      <w:b/>
                      <w:bCs/>
                      <w:color w:val="auto"/>
                      <w:kern w:val="0"/>
                      <w:sz w:val="18"/>
                      <w:szCs w:val="18"/>
                    </w:rPr>
                  </w:pPr>
                  <w:r>
                    <w:rPr>
                      <w:b/>
                      <w:bCs/>
                      <w:color w:val="auto"/>
                      <w:kern w:val="0"/>
                      <w:sz w:val="18"/>
                      <w:szCs w:val="18"/>
                    </w:rPr>
                    <w:t>面源长度m</w:t>
                  </w:r>
                </w:p>
              </w:tc>
              <w:tc>
                <w:tcPr>
                  <w:tcW w:w="443" w:type="pct"/>
                  <w:vMerge w:val="restart"/>
                  <w:tcBorders>
                    <w:tl2br w:val="nil"/>
                    <w:tr2bl w:val="nil"/>
                  </w:tcBorders>
                  <w:shd w:val="clear" w:color="auto" w:fill="auto"/>
                  <w:vAlign w:val="center"/>
                </w:tcPr>
                <w:p w14:paraId="6BEC1DB1">
                  <w:pPr>
                    <w:adjustRightInd w:val="0"/>
                    <w:snapToGrid w:val="0"/>
                    <w:jc w:val="center"/>
                    <w:rPr>
                      <w:b/>
                      <w:bCs/>
                      <w:color w:val="auto"/>
                      <w:kern w:val="0"/>
                      <w:sz w:val="18"/>
                      <w:szCs w:val="18"/>
                    </w:rPr>
                  </w:pPr>
                  <w:r>
                    <w:rPr>
                      <w:b/>
                      <w:bCs/>
                      <w:color w:val="auto"/>
                      <w:kern w:val="0"/>
                      <w:sz w:val="18"/>
                      <w:szCs w:val="18"/>
                    </w:rPr>
                    <w:t>面源宽度m</w:t>
                  </w:r>
                </w:p>
              </w:tc>
              <w:tc>
                <w:tcPr>
                  <w:tcW w:w="491" w:type="pct"/>
                  <w:vMerge w:val="restart"/>
                  <w:tcBorders>
                    <w:tl2br w:val="nil"/>
                    <w:tr2bl w:val="nil"/>
                  </w:tcBorders>
                  <w:shd w:val="clear" w:color="auto" w:fill="auto"/>
                  <w:vAlign w:val="center"/>
                </w:tcPr>
                <w:p w14:paraId="451692D2">
                  <w:pPr>
                    <w:adjustRightInd w:val="0"/>
                    <w:snapToGrid w:val="0"/>
                    <w:jc w:val="center"/>
                    <w:rPr>
                      <w:b/>
                      <w:bCs/>
                      <w:color w:val="auto"/>
                      <w:kern w:val="0"/>
                      <w:sz w:val="18"/>
                      <w:szCs w:val="18"/>
                    </w:rPr>
                  </w:pPr>
                  <w:r>
                    <w:rPr>
                      <w:b/>
                      <w:bCs/>
                      <w:color w:val="auto"/>
                      <w:kern w:val="0"/>
                      <w:sz w:val="18"/>
                      <w:szCs w:val="18"/>
                    </w:rPr>
                    <w:t>与正北向夹角°</w:t>
                  </w:r>
                </w:p>
              </w:tc>
              <w:tc>
                <w:tcPr>
                  <w:tcW w:w="543" w:type="pct"/>
                  <w:vMerge w:val="restart"/>
                  <w:tcBorders>
                    <w:tl2br w:val="nil"/>
                    <w:tr2bl w:val="nil"/>
                  </w:tcBorders>
                  <w:shd w:val="clear" w:color="auto" w:fill="auto"/>
                  <w:vAlign w:val="center"/>
                </w:tcPr>
                <w:p w14:paraId="1FFB7A71">
                  <w:pPr>
                    <w:adjustRightInd w:val="0"/>
                    <w:snapToGrid w:val="0"/>
                    <w:jc w:val="center"/>
                    <w:rPr>
                      <w:b/>
                      <w:bCs/>
                      <w:color w:val="auto"/>
                      <w:kern w:val="0"/>
                      <w:sz w:val="18"/>
                      <w:szCs w:val="18"/>
                    </w:rPr>
                  </w:pPr>
                  <w:r>
                    <w:rPr>
                      <w:b/>
                      <w:bCs/>
                      <w:color w:val="auto"/>
                      <w:kern w:val="0"/>
                      <w:sz w:val="18"/>
                      <w:szCs w:val="18"/>
                    </w:rPr>
                    <w:t>面源有效排放高度m</w:t>
                  </w:r>
                </w:p>
              </w:tc>
              <w:tc>
                <w:tcPr>
                  <w:tcW w:w="429" w:type="pct"/>
                  <w:vMerge w:val="restart"/>
                  <w:tcBorders>
                    <w:tl2br w:val="nil"/>
                    <w:tr2bl w:val="nil"/>
                  </w:tcBorders>
                  <w:shd w:val="clear" w:color="auto" w:fill="auto"/>
                  <w:vAlign w:val="center"/>
                </w:tcPr>
                <w:p w14:paraId="2C365A6A">
                  <w:pPr>
                    <w:adjustRightInd w:val="0"/>
                    <w:snapToGrid w:val="0"/>
                    <w:jc w:val="center"/>
                    <w:rPr>
                      <w:b/>
                      <w:bCs/>
                      <w:color w:val="auto"/>
                      <w:kern w:val="0"/>
                      <w:sz w:val="18"/>
                      <w:szCs w:val="18"/>
                    </w:rPr>
                  </w:pPr>
                  <w:r>
                    <w:rPr>
                      <w:b/>
                      <w:bCs/>
                      <w:color w:val="auto"/>
                      <w:kern w:val="0"/>
                      <w:sz w:val="18"/>
                      <w:szCs w:val="18"/>
                    </w:rPr>
                    <w:t>年排放小时数h</w:t>
                  </w:r>
                </w:p>
              </w:tc>
              <w:tc>
                <w:tcPr>
                  <w:tcW w:w="399" w:type="pct"/>
                  <w:vMerge w:val="restart"/>
                  <w:tcBorders>
                    <w:tl2br w:val="nil"/>
                    <w:tr2bl w:val="nil"/>
                  </w:tcBorders>
                  <w:shd w:val="clear" w:color="auto" w:fill="auto"/>
                  <w:vAlign w:val="center"/>
                </w:tcPr>
                <w:p w14:paraId="2F7FE135">
                  <w:pPr>
                    <w:adjustRightInd w:val="0"/>
                    <w:snapToGrid w:val="0"/>
                    <w:jc w:val="center"/>
                    <w:rPr>
                      <w:b/>
                      <w:bCs/>
                      <w:color w:val="auto"/>
                      <w:kern w:val="0"/>
                      <w:sz w:val="18"/>
                      <w:szCs w:val="18"/>
                    </w:rPr>
                  </w:pPr>
                  <w:r>
                    <w:rPr>
                      <w:b/>
                      <w:bCs/>
                      <w:color w:val="auto"/>
                      <w:kern w:val="0"/>
                      <w:sz w:val="18"/>
                      <w:szCs w:val="18"/>
                    </w:rPr>
                    <w:t>排放</w:t>
                  </w:r>
                </w:p>
                <w:p w14:paraId="608C4D2C">
                  <w:pPr>
                    <w:adjustRightInd w:val="0"/>
                    <w:snapToGrid w:val="0"/>
                    <w:jc w:val="center"/>
                    <w:rPr>
                      <w:b/>
                      <w:bCs/>
                      <w:color w:val="auto"/>
                      <w:kern w:val="0"/>
                      <w:sz w:val="18"/>
                      <w:szCs w:val="18"/>
                    </w:rPr>
                  </w:pPr>
                  <w:r>
                    <w:rPr>
                      <w:b/>
                      <w:bCs/>
                      <w:color w:val="auto"/>
                      <w:kern w:val="0"/>
                      <w:sz w:val="18"/>
                      <w:szCs w:val="18"/>
                    </w:rPr>
                    <w:t>工况</w:t>
                  </w:r>
                </w:p>
              </w:tc>
              <w:tc>
                <w:tcPr>
                  <w:tcW w:w="644" w:type="pct"/>
                  <w:vMerge w:val="restart"/>
                  <w:tcBorders>
                    <w:tl2br w:val="nil"/>
                    <w:tr2bl w:val="nil"/>
                  </w:tcBorders>
                  <w:shd w:val="clear" w:color="auto" w:fill="auto"/>
                  <w:vAlign w:val="center"/>
                </w:tcPr>
                <w:p w14:paraId="571414BC">
                  <w:pPr>
                    <w:adjustRightInd w:val="0"/>
                    <w:snapToGrid w:val="0"/>
                    <w:jc w:val="center"/>
                    <w:rPr>
                      <w:rFonts w:hint="eastAsia" w:eastAsia="宋体"/>
                      <w:b/>
                      <w:bCs/>
                      <w:color w:val="auto"/>
                      <w:kern w:val="0"/>
                      <w:sz w:val="18"/>
                      <w:szCs w:val="18"/>
                      <w:lang w:eastAsia="zh-CN"/>
                    </w:rPr>
                  </w:pPr>
                  <w:r>
                    <w:rPr>
                      <w:b/>
                      <w:bCs/>
                      <w:color w:val="auto"/>
                      <w:kern w:val="0"/>
                      <w:sz w:val="18"/>
                      <w:szCs w:val="18"/>
                    </w:rPr>
                    <w:t>污染</w:t>
                  </w:r>
                  <w:r>
                    <w:rPr>
                      <w:rFonts w:hint="eastAsia"/>
                      <w:b/>
                      <w:bCs/>
                      <w:color w:val="auto"/>
                      <w:kern w:val="0"/>
                      <w:sz w:val="18"/>
                      <w:szCs w:val="18"/>
                      <w:lang w:val="en-US" w:eastAsia="zh-CN"/>
                    </w:rPr>
                    <w:t>因子</w:t>
                  </w:r>
                </w:p>
              </w:tc>
              <w:tc>
                <w:tcPr>
                  <w:tcW w:w="509" w:type="pct"/>
                  <w:vMerge w:val="restart"/>
                  <w:tcBorders>
                    <w:tl2br w:val="nil"/>
                    <w:tr2bl w:val="nil"/>
                  </w:tcBorders>
                  <w:shd w:val="clear" w:color="auto" w:fill="auto"/>
                  <w:vAlign w:val="center"/>
                </w:tcPr>
                <w:p w14:paraId="037151FB">
                  <w:pPr>
                    <w:adjustRightInd w:val="0"/>
                    <w:snapToGrid w:val="0"/>
                    <w:jc w:val="center"/>
                    <w:rPr>
                      <w:b/>
                      <w:bCs/>
                      <w:color w:val="auto"/>
                      <w:kern w:val="0"/>
                      <w:sz w:val="18"/>
                      <w:szCs w:val="18"/>
                    </w:rPr>
                  </w:pPr>
                  <w:r>
                    <w:rPr>
                      <w:rFonts w:hint="eastAsia"/>
                      <w:b/>
                      <w:color w:val="auto"/>
                      <w:kern w:val="0"/>
                      <w:sz w:val="18"/>
                      <w:szCs w:val="18"/>
                      <w:lang w:bidi="ar"/>
                    </w:rPr>
                    <w:t>速率kg/h</w:t>
                  </w:r>
                </w:p>
              </w:tc>
            </w:tr>
            <w:tr w14:paraId="6D973E4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06" w:hRule="atLeast"/>
                <w:jc w:val="center"/>
              </w:trPr>
              <w:tc>
                <w:tcPr>
                  <w:tcW w:w="462" w:type="pct"/>
                  <w:vMerge w:val="continue"/>
                  <w:tcBorders>
                    <w:tl2br w:val="nil"/>
                    <w:tr2bl w:val="nil"/>
                  </w:tcBorders>
                  <w:shd w:val="clear" w:color="auto" w:fill="auto"/>
                  <w:vAlign w:val="center"/>
                </w:tcPr>
                <w:p w14:paraId="1F96EC9A">
                  <w:pPr>
                    <w:adjustRightInd w:val="0"/>
                    <w:snapToGrid w:val="0"/>
                    <w:jc w:val="center"/>
                    <w:rPr>
                      <w:color w:val="auto"/>
                      <w:kern w:val="0"/>
                      <w:sz w:val="18"/>
                      <w:szCs w:val="18"/>
                    </w:rPr>
                  </w:pPr>
                </w:p>
              </w:tc>
              <w:tc>
                <w:tcPr>
                  <w:tcW w:w="324" w:type="pct"/>
                  <w:tcBorders>
                    <w:tl2br w:val="nil"/>
                    <w:tr2bl w:val="nil"/>
                  </w:tcBorders>
                  <w:shd w:val="clear" w:color="auto" w:fill="auto"/>
                  <w:vAlign w:val="center"/>
                </w:tcPr>
                <w:p w14:paraId="749FB5C9">
                  <w:pPr>
                    <w:adjustRightInd w:val="0"/>
                    <w:snapToGrid w:val="0"/>
                    <w:jc w:val="center"/>
                    <w:rPr>
                      <w:b/>
                      <w:bCs/>
                      <w:color w:val="auto"/>
                      <w:kern w:val="0"/>
                      <w:sz w:val="18"/>
                      <w:szCs w:val="18"/>
                    </w:rPr>
                  </w:pPr>
                  <w:r>
                    <w:rPr>
                      <w:b/>
                      <w:bCs/>
                      <w:color w:val="auto"/>
                      <w:kern w:val="0"/>
                      <w:sz w:val="18"/>
                      <w:szCs w:val="18"/>
                    </w:rPr>
                    <w:t>x</w:t>
                  </w:r>
                </w:p>
              </w:tc>
              <w:tc>
                <w:tcPr>
                  <w:tcW w:w="357" w:type="pct"/>
                  <w:tcBorders>
                    <w:tl2br w:val="nil"/>
                    <w:tr2bl w:val="nil"/>
                  </w:tcBorders>
                  <w:shd w:val="clear" w:color="auto" w:fill="auto"/>
                  <w:vAlign w:val="center"/>
                </w:tcPr>
                <w:p w14:paraId="55B152C5">
                  <w:pPr>
                    <w:adjustRightInd w:val="0"/>
                    <w:snapToGrid w:val="0"/>
                    <w:jc w:val="center"/>
                    <w:rPr>
                      <w:b/>
                      <w:bCs/>
                      <w:color w:val="auto"/>
                      <w:kern w:val="0"/>
                      <w:sz w:val="18"/>
                      <w:szCs w:val="18"/>
                    </w:rPr>
                  </w:pPr>
                  <w:r>
                    <w:rPr>
                      <w:b/>
                      <w:bCs/>
                      <w:color w:val="auto"/>
                      <w:kern w:val="0"/>
                      <w:sz w:val="18"/>
                      <w:szCs w:val="18"/>
                    </w:rPr>
                    <w:t>y</w:t>
                  </w:r>
                </w:p>
              </w:tc>
              <w:tc>
                <w:tcPr>
                  <w:tcW w:w="395" w:type="pct"/>
                  <w:vMerge w:val="continue"/>
                  <w:tcBorders>
                    <w:tl2br w:val="nil"/>
                    <w:tr2bl w:val="nil"/>
                  </w:tcBorders>
                  <w:shd w:val="clear" w:color="auto" w:fill="auto"/>
                  <w:vAlign w:val="center"/>
                </w:tcPr>
                <w:p w14:paraId="6531DEFC">
                  <w:pPr>
                    <w:adjustRightInd w:val="0"/>
                    <w:snapToGrid w:val="0"/>
                    <w:jc w:val="center"/>
                    <w:rPr>
                      <w:b/>
                      <w:bCs/>
                      <w:color w:val="auto"/>
                      <w:kern w:val="0"/>
                      <w:sz w:val="18"/>
                      <w:szCs w:val="18"/>
                    </w:rPr>
                  </w:pPr>
                </w:p>
              </w:tc>
              <w:tc>
                <w:tcPr>
                  <w:tcW w:w="443" w:type="pct"/>
                  <w:vMerge w:val="continue"/>
                  <w:tcBorders>
                    <w:tl2br w:val="nil"/>
                    <w:tr2bl w:val="nil"/>
                  </w:tcBorders>
                  <w:shd w:val="clear" w:color="auto" w:fill="auto"/>
                  <w:vAlign w:val="center"/>
                </w:tcPr>
                <w:p w14:paraId="4363CB12">
                  <w:pPr>
                    <w:adjustRightInd w:val="0"/>
                    <w:snapToGrid w:val="0"/>
                    <w:jc w:val="center"/>
                    <w:rPr>
                      <w:b/>
                      <w:bCs/>
                      <w:color w:val="auto"/>
                      <w:kern w:val="0"/>
                      <w:sz w:val="18"/>
                      <w:szCs w:val="18"/>
                    </w:rPr>
                  </w:pPr>
                </w:p>
              </w:tc>
              <w:tc>
                <w:tcPr>
                  <w:tcW w:w="491" w:type="pct"/>
                  <w:vMerge w:val="continue"/>
                  <w:tcBorders>
                    <w:tl2br w:val="nil"/>
                    <w:tr2bl w:val="nil"/>
                  </w:tcBorders>
                  <w:shd w:val="clear" w:color="auto" w:fill="auto"/>
                  <w:vAlign w:val="center"/>
                </w:tcPr>
                <w:p w14:paraId="644095C2">
                  <w:pPr>
                    <w:adjustRightInd w:val="0"/>
                    <w:snapToGrid w:val="0"/>
                    <w:jc w:val="center"/>
                    <w:rPr>
                      <w:b/>
                      <w:bCs/>
                      <w:color w:val="auto"/>
                      <w:kern w:val="0"/>
                      <w:sz w:val="18"/>
                      <w:szCs w:val="18"/>
                    </w:rPr>
                  </w:pPr>
                </w:p>
              </w:tc>
              <w:tc>
                <w:tcPr>
                  <w:tcW w:w="543" w:type="pct"/>
                  <w:vMerge w:val="continue"/>
                  <w:tcBorders>
                    <w:tl2br w:val="nil"/>
                    <w:tr2bl w:val="nil"/>
                  </w:tcBorders>
                  <w:shd w:val="clear" w:color="auto" w:fill="auto"/>
                  <w:vAlign w:val="center"/>
                </w:tcPr>
                <w:p w14:paraId="755FF201">
                  <w:pPr>
                    <w:adjustRightInd w:val="0"/>
                    <w:snapToGrid w:val="0"/>
                    <w:jc w:val="center"/>
                    <w:rPr>
                      <w:b/>
                      <w:bCs/>
                      <w:color w:val="auto"/>
                      <w:kern w:val="0"/>
                      <w:sz w:val="18"/>
                      <w:szCs w:val="18"/>
                    </w:rPr>
                  </w:pPr>
                </w:p>
              </w:tc>
              <w:tc>
                <w:tcPr>
                  <w:tcW w:w="429" w:type="pct"/>
                  <w:vMerge w:val="continue"/>
                  <w:tcBorders>
                    <w:tl2br w:val="nil"/>
                    <w:tr2bl w:val="nil"/>
                  </w:tcBorders>
                  <w:shd w:val="clear" w:color="auto" w:fill="auto"/>
                  <w:vAlign w:val="center"/>
                </w:tcPr>
                <w:p w14:paraId="6A96E64D">
                  <w:pPr>
                    <w:adjustRightInd w:val="0"/>
                    <w:snapToGrid w:val="0"/>
                    <w:jc w:val="center"/>
                    <w:rPr>
                      <w:b/>
                      <w:bCs/>
                      <w:color w:val="auto"/>
                      <w:kern w:val="0"/>
                      <w:sz w:val="18"/>
                      <w:szCs w:val="18"/>
                    </w:rPr>
                  </w:pPr>
                </w:p>
              </w:tc>
              <w:tc>
                <w:tcPr>
                  <w:tcW w:w="399" w:type="pct"/>
                  <w:vMerge w:val="continue"/>
                  <w:tcBorders>
                    <w:tl2br w:val="nil"/>
                    <w:tr2bl w:val="nil"/>
                  </w:tcBorders>
                  <w:shd w:val="clear" w:color="auto" w:fill="auto"/>
                  <w:vAlign w:val="center"/>
                </w:tcPr>
                <w:p w14:paraId="771494A5">
                  <w:pPr>
                    <w:adjustRightInd w:val="0"/>
                    <w:snapToGrid w:val="0"/>
                    <w:jc w:val="center"/>
                    <w:rPr>
                      <w:b/>
                      <w:bCs/>
                      <w:color w:val="auto"/>
                      <w:kern w:val="0"/>
                      <w:sz w:val="18"/>
                      <w:szCs w:val="18"/>
                    </w:rPr>
                  </w:pPr>
                </w:p>
              </w:tc>
              <w:tc>
                <w:tcPr>
                  <w:tcW w:w="644" w:type="pct"/>
                  <w:vMerge w:val="continue"/>
                  <w:tcBorders>
                    <w:tl2br w:val="nil"/>
                    <w:tr2bl w:val="nil"/>
                  </w:tcBorders>
                  <w:shd w:val="clear" w:color="auto" w:fill="auto"/>
                  <w:vAlign w:val="center"/>
                </w:tcPr>
                <w:p w14:paraId="6FCEB2D2">
                  <w:pPr>
                    <w:adjustRightInd w:val="0"/>
                    <w:snapToGrid w:val="0"/>
                    <w:jc w:val="center"/>
                    <w:rPr>
                      <w:b/>
                      <w:bCs/>
                      <w:color w:val="auto"/>
                      <w:kern w:val="0"/>
                      <w:sz w:val="18"/>
                      <w:szCs w:val="18"/>
                    </w:rPr>
                  </w:pPr>
                </w:p>
              </w:tc>
              <w:tc>
                <w:tcPr>
                  <w:tcW w:w="509" w:type="pct"/>
                  <w:vMerge w:val="continue"/>
                  <w:tcBorders>
                    <w:tl2br w:val="nil"/>
                    <w:tr2bl w:val="nil"/>
                  </w:tcBorders>
                  <w:shd w:val="clear" w:color="auto" w:fill="auto"/>
                  <w:vAlign w:val="center"/>
                </w:tcPr>
                <w:p w14:paraId="571A91E5">
                  <w:pPr>
                    <w:adjustRightInd w:val="0"/>
                    <w:snapToGrid w:val="0"/>
                    <w:jc w:val="center"/>
                    <w:rPr>
                      <w:rFonts w:hint="eastAsia" w:eastAsia="宋体"/>
                      <w:b/>
                      <w:color w:val="auto"/>
                      <w:kern w:val="0"/>
                      <w:sz w:val="18"/>
                      <w:szCs w:val="18"/>
                      <w:lang w:val="en-US" w:eastAsia="zh-CN" w:bidi="ar"/>
                    </w:rPr>
                  </w:pPr>
                </w:p>
              </w:tc>
            </w:tr>
            <w:tr w14:paraId="32CF824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462" w:type="pct"/>
                  <w:vMerge w:val="restart"/>
                  <w:tcBorders>
                    <w:tl2br w:val="nil"/>
                    <w:tr2bl w:val="nil"/>
                  </w:tcBorders>
                  <w:shd w:val="clear" w:color="auto" w:fill="auto"/>
                  <w:vAlign w:val="center"/>
                </w:tcPr>
                <w:p w14:paraId="20A9424D">
                  <w:pPr>
                    <w:adjustRightInd w:val="0"/>
                    <w:snapToGrid w:val="0"/>
                    <w:jc w:val="center"/>
                    <w:rPr>
                      <w:rFonts w:hint="eastAsia" w:eastAsia="宋体"/>
                      <w:color w:val="auto"/>
                      <w:kern w:val="0"/>
                      <w:sz w:val="18"/>
                      <w:szCs w:val="18"/>
                      <w:lang w:eastAsia="zh-CN"/>
                    </w:rPr>
                  </w:pPr>
                  <w:r>
                    <w:rPr>
                      <w:rFonts w:hint="eastAsia"/>
                      <w:color w:val="auto"/>
                      <w:kern w:val="0"/>
                      <w:sz w:val="18"/>
                      <w:szCs w:val="18"/>
                      <w:lang w:val="en-US" w:eastAsia="zh-CN"/>
                    </w:rPr>
                    <w:t>生产车间</w:t>
                  </w:r>
                </w:p>
              </w:tc>
              <w:tc>
                <w:tcPr>
                  <w:tcW w:w="324" w:type="pct"/>
                  <w:vMerge w:val="restart"/>
                  <w:tcBorders>
                    <w:tl2br w:val="nil"/>
                    <w:tr2bl w:val="nil"/>
                  </w:tcBorders>
                  <w:shd w:val="clear" w:color="auto" w:fill="auto"/>
                  <w:vAlign w:val="center"/>
                </w:tcPr>
                <w:p w14:paraId="715EBAC2">
                  <w:pPr>
                    <w:adjustRightInd w:val="0"/>
                    <w:snapToGrid w:val="0"/>
                    <w:jc w:val="center"/>
                    <w:rPr>
                      <w:rFonts w:hint="default" w:eastAsia="宋体"/>
                      <w:color w:val="auto"/>
                      <w:kern w:val="0"/>
                      <w:sz w:val="18"/>
                      <w:szCs w:val="18"/>
                      <w:lang w:val="en-US" w:eastAsia="zh-CN"/>
                    </w:rPr>
                  </w:pPr>
                  <w:r>
                    <w:rPr>
                      <w:rFonts w:hint="eastAsia"/>
                      <w:color w:val="auto"/>
                      <w:kern w:val="0"/>
                      <w:sz w:val="18"/>
                      <w:szCs w:val="18"/>
                      <w:lang w:val="en-US" w:eastAsia="zh-CN"/>
                    </w:rPr>
                    <w:t>160</w:t>
                  </w:r>
                </w:p>
              </w:tc>
              <w:tc>
                <w:tcPr>
                  <w:tcW w:w="357" w:type="pct"/>
                  <w:vMerge w:val="restart"/>
                  <w:tcBorders>
                    <w:tl2br w:val="nil"/>
                    <w:tr2bl w:val="nil"/>
                  </w:tcBorders>
                  <w:shd w:val="clear" w:color="auto" w:fill="auto"/>
                  <w:vAlign w:val="center"/>
                </w:tcPr>
                <w:p w14:paraId="33AD2920">
                  <w:pPr>
                    <w:adjustRightInd w:val="0"/>
                    <w:snapToGrid w:val="0"/>
                    <w:jc w:val="center"/>
                    <w:rPr>
                      <w:rFonts w:hint="default" w:eastAsia="宋体"/>
                      <w:color w:val="auto"/>
                      <w:kern w:val="0"/>
                      <w:sz w:val="18"/>
                      <w:szCs w:val="18"/>
                      <w:lang w:val="en-US" w:eastAsia="zh-CN"/>
                    </w:rPr>
                  </w:pPr>
                  <w:r>
                    <w:rPr>
                      <w:rFonts w:hint="eastAsia"/>
                      <w:color w:val="auto"/>
                      <w:kern w:val="0"/>
                      <w:sz w:val="18"/>
                      <w:szCs w:val="18"/>
                      <w:lang w:val="en-US" w:eastAsia="zh-CN"/>
                    </w:rPr>
                    <w:t>0</w:t>
                  </w:r>
                </w:p>
              </w:tc>
              <w:tc>
                <w:tcPr>
                  <w:tcW w:w="395" w:type="pct"/>
                  <w:vMerge w:val="restart"/>
                  <w:tcBorders>
                    <w:tl2br w:val="nil"/>
                    <w:tr2bl w:val="nil"/>
                  </w:tcBorders>
                  <w:shd w:val="clear" w:color="auto" w:fill="auto"/>
                  <w:vAlign w:val="center"/>
                </w:tcPr>
                <w:p w14:paraId="4A7D16AF">
                  <w:pPr>
                    <w:adjustRightInd w:val="0"/>
                    <w:snapToGrid w:val="0"/>
                    <w:jc w:val="center"/>
                    <w:rPr>
                      <w:rFonts w:hint="default" w:eastAsia="宋体"/>
                      <w:color w:val="auto"/>
                      <w:kern w:val="0"/>
                      <w:sz w:val="18"/>
                      <w:szCs w:val="18"/>
                      <w:lang w:val="en-US" w:eastAsia="zh-CN"/>
                    </w:rPr>
                  </w:pPr>
                  <w:r>
                    <w:rPr>
                      <w:rFonts w:hint="eastAsia"/>
                      <w:color w:val="auto"/>
                      <w:kern w:val="0"/>
                      <w:sz w:val="18"/>
                      <w:szCs w:val="18"/>
                      <w:lang w:val="en-US" w:eastAsia="zh-CN"/>
                    </w:rPr>
                    <w:t>160</w:t>
                  </w:r>
                </w:p>
              </w:tc>
              <w:tc>
                <w:tcPr>
                  <w:tcW w:w="443" w:type="pct"/>
                  <w:vMerge w:val="restart"/>
                  <w:tcBorders>
                    <w:tl2br w:val="nil"/>
                    <w:tr2bl w:val="nil"/>
                  </w:tcBorders>
                  <w:shd w:val="clear" w:color="auto" w:fill="auto"/>
                  <w:vAlign w:val="center"/>
                </w:tcPr>
                <w:p w14:paraId="17A37971">
                  <w:pPr>
                    <w:adjustRightInd w:val="0"/>
                    <w:snapToGrid w:val="0"/>
                    <w:jc w:val="center"/>
                    <w:rPr>
                      <w:rFonts w:hint="default" w:eastAsia="宋体"/>
                      <w:color w:val="auto"/>
                      <w:kern w:val="0"/>
                      <w:sz w:val="18"/>
                      <w:szCs w:val="18"/>
                      <w:lang w:val="en-US" w:eastAsia="zh-CN"/>
                    </w:rPr>
                  </w:pPr>
                  <w:r>
                    <w:rPr>
                      <w:rFonts w:hint="eastAsia"/>
                      <w:color w:val="auto"/>
                      <w:kern w:val="0"/>
                      <w:sz w:val="18"/>
                      <w:szCs w:val="18"/>
                      <w:lang w:val="en-US" w:eastAsia="zh-CN"/>
                    </w:rPr>
                    <w:t>30</w:t>
                  </w:r>
                </w:p>
              </w:tc>
              <w:tc>
                <w:tcPr>
                  <w:tcW w:w="491" w:type="pct"/>
                  <w:vMerge w:val="restart"/>
                  <w:tcBorders>
                    <w:tl2br w:val="nil"/>
                    <w:tr2bl w:val="nil"/>
                  </w:tcBorders>
                  <w:shd w:val="clear" w:color="auto" w:fill="auto"/>
                  <w:vAlign w:val="center"/>
                </w:tcPr>
                <w:p w14:paraId="62815A85">
                  <w:pPr>
                    <w:adjustRightInd w:val="0"/>
                    <w:snapToGrid w:val="0"/>
                    <w:jc w:val="center"/>
                    <w:rPr>
                      <w:color w:val="auto"/>
                      <w:kern w:val="0"/>
                      <w:sz w:val="18"/>
                      <w:szCs w:val="18"/>
                    </w:rPr>
                  </w:pPr>
                  <w:r>
                    <w:rPr>
                      <w:rFonts w:hint="eastAsia"/>
                      <w:color w:val="auto"/>
                      <w:kern w:val="0"/>
                      <w:sz w:val="18"/>
                      <w:szCs w:val="18"/>
                    </w:rPr>
                    <w:t>0</w:t>
                  </w:r>
                </w:p>
              </w:tc>
              <w:tc>
                <w:tcPr>
                  <w:tcW w:w="543" w:type="pct"/>
                  <w:vMerge w:val="restart"/>
                  <w:tcBorders>
                    <w:tl2br w:val="nil"/>
                    <w:tr2bl w:val="nil"/>
                  </w:tcBorders>
                  <w:shd w:val="clear" w:color="auto" w:fill="auto"/>
                  <w:vAlign w:val="center"/>
                </w:tcPr>
                <w:p w14:paraId="391E826E">
                  <w:pPr>
                    <w:adjustRightInd w:val="0"/>
                    <w:snapToGrid w:val="0"/>
                    <w:jc w:val="center"/>
                    <w:rPr>
                      <w:rFonts w:hint="default" w:eastAsia="宋体"/>
                      <w:color w:val="auto"/>
                      <w:kern w:val="0"/>
                      <w:sz w:val="18"/>
                      <w:szCs w:val="18"/>
                      <w:lang w:val="en-US" w:eastAsia="zh-CN"/>
                    </w:rPr>
                  </w:pPr>
                  <w:r>
                    <w:rPr>
                      <w:rFonts w:hint="eastAsia"/>
                      <w:color w:val="auto"/>
                      <w:kern w:val="0"/>
                      <w:sz w:val="18"/>
                      <w:szCs w:val="18"/>
                      <w:lang w:val="en-US" w:eastAsia="zh-CN"/>
                    </w:rPr>
                    <w:t>11</w:t>
                  </w:r>
                </w:p>
              </w:tc>
              <w:tc>
                <w:tcPr>
                  <w:tcW w:w="429" w:type="pct"/>
                  <w:vMerge w:val="restart"/>
                  <w:tcBorders>
                    <w:tl2br w:val="nil"/>
                    <w:tr2bl w:val="nil"/>
                  </w:tcBorders>
                  <w:shd w:val="clear" w:color="auto" w:fill="auto"/>
                  <w:vAlign w:val="center"/>
                </w:tcPr>
                <w:p w14:paraId="51C34A90">
                  <w:pPr>
                    <w:adjustRightInd w:val="0"/>
                    <w:snapToGrid w:val="0"/>
                    <w:jc w:val="center"/>
                    <w:rPr>
                      <w:rFonts w:hint="default" w:eastAsia="宋体"/>
                      <w:color w:val="auto"/>
                      <w:kern w:val="0"/>
                      <w:sz w:val="18"/>
                      <w:szCs w:val="18"/>
                      <w:lang w:val="en-US" w:eastAsia="zh-CN"/>
                    </w:rPr>
                  </w:pPr>
                  <w:r>
                    <w:rPr>
                      <w:rFonts w:hint="eastAsia"/>
                      <w:bCs/>
                      <w:color w:val="auto"/>
                      <w:kern w:val="0"/>
                      <w:sz w:val="18"/>
                      <w:szCs w:val="18"/>
                      <w:lang w:val="en-US" w:eastAsia="zh-CN" w:bidi="ar"/>
                    </w:rPr>
                    <w:t>3000</w:t>
                  </w:r>
                </w:p>
              </w:tc>
              <w:tc>
                <w:tcPr>
                  <w:tcW w:w="399" w:type="pct"/>
                  <w:vMerge w:val="restart"/>
                  <w:tcBorders>
                    <w:tl2br w:val="nil"/>
                    <w:tr2bl w:val="nil"/>
                  </w:tcBorders>
                  <w:shd w:val="clear" w:color="auto" w:fill="auto"/>
                  <w:vAlign w:val="center"/>
                </w:tcPr>
                <w:p w14:paraId="1B6DC83D">
                  <w:pPr>
                    <w:adjustRightInd w:val="0"/>
                    <w:snapToGrid w:val="0"/>
                    <w:jc w:val="center"/>
                    <w:rPr>
                      <w:bCs/>
                      <w:color w:val="auto"/>
                      <w:kern w:val="0"/>
                      <w:sz w:val="18"/>
                      <w:szCs w:val="18"/>
                      <w:lang w:bidi="ar"/>
                    </w:rPr>
                  </w:pPr>
                  <w:r>
                    <w:rPr>
                      <w:rFonts w:hint="eastAsia"/>
                      <w:bCs/>
                      <w:color w:val="auto"/>
                      <w:kern w:val="0"/>
                      <w:sz w:val="18"/>
                      <w:szCs w:val="18"/>
                      <w:lang w:bidi="ar"/>
                    </w:rPr>
                    <w:t>连续</w:t>
                  </w:r>
                </w:p>
              </w:tc>
              <w:tc>
                <w:tcPr>
                  <w:tcW w:w="644" w:type="pct"/>
                  <w:tcBorders>
                    <w:tl2br w:val="nil"/>
                    <w:tr2bl w:val="nil"/>
                  </w:tcBorders>
                  <w:shd w:val="clear" w:color="auto" w:fill="auto"/>
                  <w:vAlign w:val="center"/>
                </w:tcPr>
                <w:p w14:paraId="3B17B4D5">
                  <w:pPr>
                    <w:adjustRightInd w:val="0"/>
                    <w:snapToGrid w:val="0"/>
                    <w:jc w:val="center"/>
                    <w:rPr>
                      <w:rFonts w:hint="default" w:eastAsia="宋体"/>
                      <w:color w:val="auto"/>
                      <w:kern w:val="0"/>
                      <w:sz w:val="18"/>
                      <w:szCs w:val="18"/>
                      <w:lang w:val="en-US" w:eastAsia="zh-CN"/>
                    </w:rPr>
                  </w:pPr>
                  <w:r>
                    <w:rPr>
                      <w:rFonts w:hint="eastAsia"/>
                      <w:color w:val="auto"/>
                      <w:kern w:val="0"/>
                      <w:sz w:val="18"/>
                      <w:szCs w:val="18"/>
                      <w:lang w:val="en-US" w:eastAsia="zh-CN"/>
                    </w:rPr>
                    <w:t>颗粒物</w:t>
                  </w:r>
                </w:p>
              </w:tc>
              <w:tc>
                <w:tcPr>
                  <w:tcW w:w="509" w:type="pct"/>
                  <w:tcBorders>
                    <w:tl2br w:val="nil"/>
                    <w:tr2bl w:val="nil"/>
                  </w:tcBorders>
                  <w:shd w:val="clear" w:color="auto" w:fill="auto"/>
                  <w:vAlign w:val="center"/>
                </w:tcPr>
                <w:p w14:paraId="441AB99C">
                  <w:pPr>
                    <w:pStyle w:val="656"/>
                    <w:snapToGrid w:val="0"/>
                    <w:rPr>
                      <w:rFonts w:hint="default" w:ascii="Times New Roman" w:hAnsi="Times New Roman" w:eastAsia="宋体" w:cs="Times New Roman"/>
                      <w:snapToGrid w:val="0"/>
                      <w:color w:val="auto"/>
                      <w:kern w:val="2"/>
                      <w:sz w:val="18"/>
                      <w:szCs w:val="18"/>
                      <w:lang w:val="en-US" w:eastAsia="zh-CN" w:bidi="ar-SA"/>
                    </w:rPr>
                  </w:pPr>
                  <w:r>
                    <w:rPr>
                      <w:rFonts w:hint="eastAsia" w:eastAsia="宋体" w:cs="Times New Roman"/>
                      <w:snapToGrid w:val="0"/>
                      <w:color w:val="auto"/>
                      <w:kern w:val="2"/>
                      <w:sz w:val="18"/>
                      <w:szCs w:val="18"/>
                      <w:lang w:val="en-US" w:eastAsia="zh-CN" w:bidi="ar-SA"/>
                    </w:rPr>
                    <w:t>0.04053</w:t>
                  </w:r>
                </w:p>
              </w:tc>
            </w:tr>
            <w:tr w14:paraId="48F2868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462" w:type="pct"/>
                  <w:vMerge w:val="continue"/>
                  <w:tcBorders>
                    <w:tl2br w:val="nil"/>
                    <w:tr2bl w:val="nil"/>
                  </w:tcBorders>
                  <w:shd w:val="clear" w:color="auto" w:fill="auto"/>
                  <w:vAlign w:val="center"/>
                </w:tcPr>
                <w:p w14:paraId="7C1A7120">
                  <w:pPr>
                    <w:adjustRightInd w:val="0"/>
                    <w:snapToGrid w:val="0"/>
                    <w:jc w:val="center"/>
                    <w:rPr>
                      <w:rFonts w:hint="eastAsia"/>
                      <w:color w:val="auto"/>
                      <w:kern w:val="0"/>
                      <w:sz w:val="18"/>
                      <w:szCs w:val="18"/>
                      <w:lang w:val="en-US" w:eastAsia="zh-CN"/>
                    </w:rPr>
                  </w:pPr>
                </w:p>
              </w:tc>
              <w:tc>
                <w:tcPr>
                  <w:tcW w:w="324" w:type="pct"/>
                  <w:vMerge w:val="continue"/>
                  <w:tcBorders>
                    <w:tl2br w:val="nil"/>
                    <w:tr2bl w:val="nil"/>
                  </w:tcBorders>
                  <w:shd w:val="clear" w:color="auto" w:fill="auto"/>
                  <w:vAlign w:val="center"/>
                </w:tcPr>
                <w:p w14:paraId="522D3DF1">
                  <w:pPr>
                    <w:adjustRightInd w:val="0"/>
                    <w:snapToGrid w:val="0"/>
                    <w:jc w:val="center"/>
                    <w:rPr>
                      <w:rFonts w:hint="eastAsia"/>
                      <w:color w:val="auto"/>
                      <w:kern w:val="0"/>
                      <w:sz w:val="18"/>
                      <w:szCs w:val="18"/>
                      <w:lang w:val="en-US" w:eastAsia="zh-CN"/>
                    </w:rPr>
                  </w:pPr>
                </w:p>
              </w:tc>
              <w:tc>
                <w:tcPr>
                  <w:tcW w:w="357" w:type="pct"/>
                  <w:vMerge w:val="continue"/>
                  <w:tcBorders>
                    <w:tl2br w:val="nil"/>
                    <w:tr2bl w:val="nil"/>
                  </w:tcBorders>
                  <w:shd w:val="clear" w:color="auto" w:fill="auto"/>
                  <w:vAlign w:val="center"/>
                </w:tcPr>
                <w:p w14:paraId="35C5E9B1">
                  <w:pPr>
                    <w:adjustRightInd w:val="0"/>
                    <w:snapToGrid w:val="0"/>
                    <w:jc w:val="center"/>
                    <w:rPr>
                      <w:rFonts w:hint="eastAsia"/>
                      <w:color w:val="auto"/>
                      <w:kern w:val="0"/>
                      <w:sz w:val="18"/>
                      <w:szCs w:val="18"/>
                    </w:rPr>
                  </w:pPr>
                </w:p>
              </w:tc>
              <w:tc>
                <w:tcPr>
                  <w:tcW w:w="395" w:type="pct"/>
                  <w:vMerge w:val="continue"/>
                  <w:tcBorders>
                    <w:tl2br w:val="nil"/>
                    <w:tr2bl w:val="nil"/>
                  </w:tcBorders>
                  <w:shd w:val="clear" w:color="auto" w:fill="auto"/>
                  <w:vAlign w:val="center"/>
                </w:tcPr>
                <w:p w14:paraId="18A5F446">
                  <w:pPr>
                    <w:adjustRightInd w:val="0"/>
                    <w:snapToGrid w:val="0"/>
                    <w:jc w:val="center"/>
                    <w:rPr>
                      <w:rFonts w:hint="eastAsia"/>
                      <w:color w:val="auto"/>
                      <w:kern w:val="0"/>
                      <w:sz w:val="18"/>
                      <w:szCs w:val="18"/>
                      <w:lang w:val="en-US" w:eastAsia="zh-CN"/>
                    </w:rPr>
                  </w:pPr>
                </w:p>
              </w:tc>
              <w:tc>
                <w:tcPr>
                  <w:tcW w:w="443" w:type="pct"/>
                  <w:vMerge w:val="continue"/>
                  <w:tcBorders>
                    <w:tl2br w:val="nil"/>
                    <w:tr2bl w:val="nil"/>
                  </w:tcBorders>
                  <w:shd w:val="clear" w:color="auto" w:fill="auto"/>
                  <w:vAlign w:val="center"/>
                </w:tcPr>
                <w:p w14:paraId="4187A4EF">
                  <w:pPr>
                    <w:adjustRightInd w:val="0"/>
                    <w:snapToGrid w:val="0"/>
                    <w:jc w:val="center"/>
                    <w:rPr>
                      <w:rFonts w:hint="eastAsia"/>
                      <w:color w:val="auto"/>
                      <w:kern w:val="0"/>
                      <w:sz w:val="18"/>
                      <w:szCs w:val="18"/>
                      <w:lang w:val="en-US" w:eastAsia="zh-CN"/>
                    </w:rPr>
                  </w:pPr>
                </w:p>
              </w:tc>
              <w:tc>
                <w:tcPr>
                  <w:tcW w:w="491" w:type="pct"/>
                  <w:vMerge w:val="continue"/>
                  <w:tcBorders>
                    <w:tl2br w:val="nil"/>
                    <w:tr2bl w:val="nil"/>
                  </w:tcBorders>
                  <w:shd w:val="clear" w:color="auto" w:fill="auto"/>
                  <w:vAlign w:val="center"/>
                </w:tcPr>
                <w:p w14:paraId="77A8597A">
                  <w:pPr>
                    <w:adjustRightInd w:val="0"/>
                    <w:snapToGrid w:val="0"/>
                    <w:jc w:val="center"/>
                    <w:rPr>
                      <w:rFonts w:hint="eastAsia"/>
                      <w:color w:val="auto"/>
                      <w:kern w:val="0"/>
                      <w:sz w:val="18"/>
                      <w:szCs w:val="18"/>
                    </w:rPr>
                  </w:pPr>
                </w:p>
              </w:tc>
              <w:tc>
                <w:tcPr>
                  <w:tcW w:w="543" w:type="pct"/>
                  <w:vMerge w:val="continue"/>
                  <w:tcBorders>
                    <w:tl2br w:val="nil"/>
                    <w:tr2bl w:val="nil"/>
                  </w:tcBorders>
                  <w:shd w:val="clear" w:color="auto" w:fill="auto"/>
                  <w:vAlign w:val="center"/>
                </w:tcPr>
                <w:p w14:paraId="1F770627">
                  <w:pPr>
                    <w:adjustRightInd w:val="0"/>
                    <w:snapToGrid w:val="0"/>
                    <w:jc w:val="center"/>
                    <w:rPr>
                      <w:rFonts w:hint="eastAsia"/>
                      <w:color w:val="auto"/>
                      <w:kern w:val="0"/>
                      <w:sz w:val="18"/>
                      <w:szCs w:val="18"/>
                      <w:lang w:val="en-US" w:eastAsia="zh-CN"/>
                    </w:rPr>
                  </w:pPr>
                </w:p>
              </w:tc>
              <w:tc>
                <w:tcPr>
                  <w:tcW w:w="429" w:type="pct"/>
                  <w:vMerge w:val="continue"/>
                  <w:tcBorders>
                    <w:tl2br w:val="nil"/>
                    <w:tr2bl w:val="nil"/>
                  </w:tcBorders>
                  <w:shd w:val="clear" w:color="auto" w:fill="auto"/>
                  <w:vAlign w:val="center"/>
                </w:tcPr>
                <w:p w14:paraId="5E5ECB95">
                  <w:pPr>
                    <w:adjustRightInd w:val="0"/>
                    <w:snapToGrid w:val="0"/>
                    <w:jc w:val="center"/>
                    <w:rPr>
                      <w:rFonts w:hint="eastAsia"/>
                      <w:bCs/>
                      <w:color w:val="auto"/>
                      <w:kern w:val="0"/>
                      <w:sz w:val="18"/>
                      <w:szCs w:val="18"/>
                      <w:lang w:val="en-US" w:eastAsia="zh-CN" w:bidi="ar"/>
                    </w:rPr>
                  </w:pPr>
                </w:p>
              </w:tc>
              <w:tc>
                <w:tcPr>
                  <w:tcW w:w="399" w:type="pct"/>
                  <w:vMerge w:val="continue"/>
                  <w:tcBorders>
                    <w:tl2br w:val="nil"/>
                    <w:tr2bl w:val="nil"/>
                  </w:tcBorders>
                  <w:shd w:val="clear" w:color="auto" w:fill="auto"/>
                  <w:vAlign w:val="center"/>
                </w:tcPr>
                <w:p w14:paraId="0A1C20C9">
                  <w:pPr>
                    <w:adjustRightInd w:val="0"/>
                    <w:snapToGrid w:val="0"/>
                    <w:jc w:val="center"/>
                    <w:rPr>
                      <w:rFonts w:hint="eastAsia"/>
                      <w:bCs/>
                      <w:color w:val="auto"/>
                      <w:kern w:val="0"/>
                      <w:sz w:val="18"/>
                      <w:szCs w:val="18"/>
                      <w:lang w:bidi="ar"/>
                    </w:rPr>
                  </w:pPr>
                </w:p>
              </w:tc>
              <w:tc>
                <w:tcPr>
                  <w:tcW w:w="644" w:type="pct"/>
                  <w:tcBorders>
                    <w:tl2br w:val="nil"/>
                    <w:tr2bl w:val="nil"/>
                  </w:tcBorders>
                  <w:shd w:val="clear" w:color="auto" w:fill="auto"/>
                  <w:vAlign w:val="center"/>
                </w:tcPr>
                <w:p w14:paraId="4839F57C">
                  <w:pPr>
                    <w:adjustRightInd w:val="0"/>
                    <w:snapToGrid w:val="0"/>
                    <w:jc w:val="center"/>
                    <w:rPr>
                      <w:rFonts w:hint="default"/>
                      <w:color w:val="auto"/>
                      <w:kern w:val="0"/>
                      <w:sz w:val="18"/>
                      <w:szCs w:val="18"/>
                      <w:lang w:val="en-US" w:eastAsia="zh-CN"/>
                    </w:rPr>
                  </w:pPr>
                  <w:r>
                    <w:rPr>
                      <w:rFonts w:hint="eastAsia"/>
                      <w:color w:val="auto"/>
                      <w:kern w:val="0"/>
                      <w:sz w:val="18"/>
                      <w:szCs w:val="18"/>
                      <w:lang w:val="en-US" w:eastAsia="zh-CN"/>
                    </w:rPr>
                    <w:t>非甲烷总烃</w:t>
                  </w:r>
                </w:p>
              </w:tc>
              <w:tc>
                <w:tcPr>
                  <w:tcW w:w="509" w:type="pct"/>
                  <w:tcBorders>
                    <w:tl2br w:val="nil"/>
                    <w:tr2bl w:val="nil"/>
                  </w:tcBorders>
                  <w:shd w:val="clear" w:color="auto" w:fill="auto"/>
                  <w:vAlign w:val="center"/>
                </w:tcPr>
                <w:p w14:paraId="45C2EEA1">
                  <w:pPr>
                    <w:pStyle w:val="656"/>
                    <w:snapToGrid w:val="0"/>
                    <w:rPr>
                      <w:rFonts w:hint="default" w:ascii="Times New Roman" w:hAnsi="Times New Roman" w:eastAsia="宋体" w:cs="Times New Roman"/>
                      <w:snapToGrid w:val="0"/>
                      <w:color w:val="auto"/>
                      <w:kern w:val="2"/>
                      <w:sz w:val="18"/>
                      <w:szCs w:val="18"/>
                      <w:lang w:val="en-US" w:eastAsia="zh-CN" w:bidi="ar-SA"/>
                    </w:rPr>
                  </w:pPr>
                  <w:r>
                    <w:rPr>
                      <w:rFonts w:hint="eastAsia" w:eastAsia="宋体" w:cs="Times New Roman"/>
                      <w:snapToGrid w:val="0"/>
                      <w:color w:val="auto"/>
                      <w:kern w:val="2"/>
                      <w:sz w:val="18"/>
                      <w:szCs w:val="18"/>
                      <w:lang w:val="en-US" w:eastAsia="zh-CN" w:bidi="ar-SA"/>
                    </w:rPr>
                    <w:t>0.007767</w:t>
                  </w:r>
                </w:p>
              </w:tc>
            </w:tr>
            <w:tr w14:paraId="39942E37">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462" w:type="pct"/>
                  <w:vMerge w:val="continue"/>
                  <w:tcBorders>
                    <w:tl2br w:val="nil"/>
                    <w:tr2bl w:val="nil"/>
                  </w:tcBorders>
                  <w:shd w:val="clear" w:color="auto" w:fill="auto"/>
                  <w:vAlign w:val="center"/>
                </w:tcPr>
                <w:p w14:paraId="1040AA5B">
                  <w:pPr>
                    <w:adjustRightInd w:val="0"/>
                    <w:snapToGrid w:val="0"/>
                    <w:jc w:val="center"/>
                    <w:rPr>
                      <w:rFonts w:hint="eastAsia"/>
                      <w:color w:val="auto"/>
                      <w:kern w:val="0"/>
                      <w:sz w:val="18"/>
                      <w:szCs w:val="18"/>
                      <w:lang w:val="en-US" w:eastAsia="zh-CN"/>
                    </w:rPr>
                  </w:pPr>
                </w:p>
              </w:tc>
              <w:tc>
                <w:tcPr>
                  <w:tcW w:w="324" w:type="pct"/>
                  <w:vMerge w:val="continue"/>
                  <w:tcBorders>
                    <w:tl2br w:val="nil"/>
                    <w:tr2bl w:val="nil"/>
                  </w:tcBorders>
                  <w:shd w:val="clear" w:color="auto" w:fill="auto"/>
                  <w:vAlign w:val="center"/>
                </w:tcPr>
                <w:p w14:paraId="4698A0CC">
                  <w:pPr>
                    <w:adjustRightInd w:val="0"/>
                    <w:snapToGrid w:val="0"/>
                    <w:jc w:val="center"/>
                    <w:rPr>
                      <w:rFonts w:hint="eastAsia"/>
                      <w:color w:val="auto"/>
                      <w:kern w:val="0"/>
                      <w:sz w:val="18"/>
                      <w:szCs w:val="18"/>
                      <w:lang w:val="en-US" w:eastAsia="zh-CN"/>
                    </w:rPr>
                  </w:pPr>
                </w:p>
              </w:tc>
              <w:tc>
                <w:tcPr>
                  <w:tcW w:w="357" w:type="pct"/>
                  <w:vMerge w:val="continue"/>
                  <w:tcBorders>
                    <w:tl2br w:val="nil"/>
                    <w:tr2bl w:val="nil"/>
                  </w:tcBorders>
                  <w:shd w:val="clear" w:color="auto" w:fill="auto"/>
                  <w:vAlign w:val="center"/>
                </w:tcPr>
                <w:p w14:paraId="31EC18A8">
                  <w:pPr>
                    <w:adjustRightInd w:val="0"/>
                    <w:snapToGrid w:val="0"/>
                    <w:jc w:val="center"/>
                    <w:rPr>
                      <w:rFonts w:hint="eastAsia"/>
                      <w:color w:val="auto"/>
                      <w:kern w:val="0"/>
                      <w:sz w:val="18"/>
                      <w:szCs w:val="18"/>
                    </w:rPr>
                  </w:pPr>
                </w:p>
              </w:tc>
              <w:tc>
                <w:tcPr>
                  <w:tcW w:w="395" w:type="pct"/>
                  <w:vMerge w:val="continue"/>
                  <w:tcBorders>
                    <w:tl2br w:val="nil"/>
                    <w:tr2bl w:val="nil"/>
                  </w:tcBorders>
                  <w:shd w:val="clear" w:color="auto" w:fill="auto"/>
                  <w:vAlign w:val="center"/>
                </w:tcPr>
                <w:p w14:paraId="3377C14E">
                  <w:pPr>
                    <w:adjustRightInd w:val="0"/>
                    <w:snapToGrid w:val="0"/>
                    <w:jc w:val="center"/>
                    <w:rPr>
                      <w:rFonts w:hint="eastAsia"/>
                      <w:color w:val="auto"/>
                      <w:kern w:val="0"/>
                      <w:sz w:val="18"/>
                      <w:szCs w:val="18"/>
                      <w:lang w:val="en-US" w:eastAsia="zh-CN"/>
                    </w:rPr>
                  </w:pPr>
                </w:p>
              </w:tc>
              <w:tc>
                <w:tcPr>
                  <w:tcW w:w="443" w:type="pct"/>
                  <w:vMerge w:val="continue"/>
                  <w:tcBorders>
                    <w:tl2br w:val="nil"/>
                    <w:tr2bl w:val="nil"/>
                  </w:tcBorders>
                  <w:shd w:val="clear" w:color="auto" w:fill="auto"/>
                  <w:vAlign w:val="center"/>
                </w:tcPr>
                <w:p w14:paraId="1946B7F5">
                  <w:pPr>
                    <w:adjustRightInd w:val="0"/>
                    <w:snapToGrid w:val="0"/>
                    <w:jc w:val="center"/>
                    <w:rPr>
                      <w:rFonts w:hint="eastAsia"/>
                      <w:color w:val="auto"/>
                      <w:kern w:val="0"/>
                      <w:sz w:val="18"/>
                      <w:szCs w:val="18"/>
                      <w:lang w:val="en-US" w:eastAsia="zh-CN"/>
                    </w:rPr>
                  </w:pPr>
                </w:p>
              </w:tc>
              <w:tc>
                <w:tcPr>
                  <w:tcW w:w="491" w:type="pct"/>
                  <w:vMerge w:val="continue"/>
                  <w:tcBorders>
                    <w:tl2br w:val="nil"/>
                    <w:tr2bl w:val="nil"/>
                  </w:tcBorders>
                  <w:shd w:val="clear" w:color="auto" w:fill="auto"/>
                  <w:vAlign w:val="center"/>
                </w:tcPr>
                <w:p w14:paraId="6F82EB27">
                  <w:pPr>
                    <w:adjustRightInd w:val="0"/>
                    <w:snapToGrid w:val="0"/>
                    <w:jc w:val="center"/>
                    <w:rPr>
                      <w:rFonts w:hint="eastAsia"/>
                      <w:color w:val="auto"/>
                      <w:kern w:val="0"/>
                      <w:sz w:val="18"/>
                      <w:szCs w:val="18"/>
                    </w:rPr>
                  </w:pPr>
                </w:p>
              </w:tc>
              <w:tc>
                <w:tcPr>
                  <w:tcW w:w="543" w:type="pct"/>
                  <w:vMerge w:val="continue"/>
                  <w:tcBorders>
                    <w:tl2br w:val="nil"/>
                    <w:tr2bl w:val="nil"/>
                  </w:tcBorders>
                  <w:shd w:val="clear" w:color="auto" w:fill="auto"/>
                  <w:vAlign w:val="center"/>
                </w:tcPr>
                <w:p w14:paraId="0713BFB2">
                  <w:pPr>
                    <w:adjustRightInd w:val="0"/>
                    <w:snapToGrid w:val="0"/>
                    <w:jc w:val="center"/>
                    <w:rPr>
                      <w:rFonts w:hint="eastAsia"/>
                      <w:color w:val="auto"/>
                      <w:kern w:val="0"/>
                      <w:sz w:val="18"/>
                      <w:szCs w:val="18"/>
                      <w:lang w:val="en-US" w:eastAsia="zh-CN"/>
                    </w:rPr>
                  </w:pPr>
                </w:p>
              </w:tc>
              <w:tc>
                <w:tcPr>
                  <w:tcW w:w="429" w:type="pct"/>
                  <w:vMerge w:val="continue"/>
                  <w:tcBorders>
                    <w:tl2br w:val="nil"/>
                    <w:tr2bl w:val="nil"/>
                  </w:tcBorders>
                  <w:shd w:val="clear" w:color="auto" w:fill="auto"/>
                  <w:vAlign w:val="center"/>
                </w:tcPr>
                <w:p w14:paraId="42BAFA98">
                  <w:pPr>
                    <w:adjustRightInd w:val="0"/>
                    <w:snapToGrid w:val="0"/>
                    <w:jc w:val="center"/>
                    <w:rPr>
                      <w:rFonts w:hint="eastAsia"/>
                      <w:bCs/>
                      <w:color w:val="auto"/>
                      <w:kern w:val="0"/>
                      <w:sz w:val="18"/>
                      <w:szCs w:val="18"/>
                      <w:lang w:val="en-US" w:eastAsia="zh-CN" w:bidi="ar"/>
                    </w:rPr>
                  </w:pPr>
                </w:p>
              </w:tc>
              <w:tc>
                <w:tcPr>
                  <w:tcW w:w="399" w:type="pct"/>
                  <w:vMerge w:val="continue"/>
                  <w:tcBorders>
                    <w:tl2br w:val="nil"/>
                    <w:tr2bl w:val="nil"/>
                  </w:tcBorders>
                  <w:shd w:val="clear" w:color="auto" w:fill="auto"/>
                  <w:vAlign w:val="center"/>
                </w:tcPr>
                <w:p w14:paraId="4405ABE3">
                  <w:pPr>
                    <w:adjustRightInd w:val="0"/>
                    <w:snapToGrid w:val="0"/>
                    <w:jc w:val="center"/>
                    <w:rPr>
                      <w:rFonts w:hint="eastAsia"/>
                      <w:bCs/>
                      <w:color w:val="auto"/>
                      <w:kern w:val="0"/>
                      <w:sz w:val="18"/>
                      <w:szCs w:val="18"/>
                      <w:lang w:bidi="ar"/>
                    </w:rPr>
                  </w:pPr>
                </w:p>
              </w:tc>
              <w:tc>
                <w:tcPr>
                  <w:tcW w:w="1141" w:type="dxa"/>
                  <w:tcBorders>
                    <w:tl2br w:val="nil"/>
                    <w:tr2bl w:val="nil"/>
                  </w:tcBorders>
                  <w:shd w:val="clear" w:color="auto" w:fill="auto"/>
                  <w:vAlign w:val="center"/>
                </w:tcPr>
                <w:p w14:paraId="5ECE65D7">
                  <w:pPr>
                    <w:pStyle w:val="656"/>
                    <w:snapToGrid w:val="0"/>
                    <w:rPr>
                      <w:rFonts w:hint="default"/>
                      <w:color w:val="auto"/>
                      <w:kern w:val="0"/>
                      <w:sz w:val="18"/>
                      <w:szCs w:val="18"/>
                      <w:lang w:val="en-US" w:eastAsia="zh-CN"/>
                    </w:rPr>
                  </w:pPr>
                  <w:r>
                    <w:rPr>
                      <w:rFonts w:hint="eastAsia" w:eastAsia="宋体"/>
                      <w:color w:val="auto"/>
                      <w:sz w:val="18"/>
                      <w:szCs w:val="18"/>
                      <w:lang w:val="en-US" w:eastAsia="zh-CN"/>
                    </w:rPr>
                    <w:t>苯系物</w:t>
                  </w:r>
                </w:p>
              </w:tc>
              <w:tc>
                <w:tcPr>
                  <w:tcW w:w="903" w:type="dxa"/>
                  <w:tcBorders>
                    <w:tl2br w:val="nil"/>
                    <w:tr2bl w:val="nil"/>
                  </w:tcBorders>
                  <w:shd w:val="clear" w:color="auto" w:fill="auto"/>
                  <w:vAlign w:val="center"/>
                </w:tcPr>
                <w:p w14:paraId="3D77FB75">
                  <w:pPr>
                    <w:pStyle w:val="656"/>
                    <w:snapToGrid w:val="0"/>
                    <w:rPr>
                      <w:rFonts w:hint="default" w:eastAsia="宋体"/>
                      <w:color w:val="auto"/>
                      <w:sz w:val="18"/>
                      <w:szCs w:val="18"/>
                      <w:lang w:val="en-US" w:eastAsia="zh-CN"/>
                    </w:rPr>
                  </w:pPr>
                  <w:r>
                    <w:rPr>
                      <w:rFonts w:hint="eastAsia" w:eastAsia="宋体" w:cs="Times New Roman"/>
                      <w:snapToGrid w:val="0"/>
                      <w:color w:val="auto"/>
                      <w:kern w:val="2"/>
                      <w:sz w:val="18"/>
                      <w:szCs w:val="18"/>
                      <w:lang w:val="en-US" w:eastAsia="zh-CN" w:bidi="ar-SA"/>
                    </w:rPr>
                    <w:t>0.0041</w:t>
                  </w:r>
                </w:p>
              </w:tc>
            </w:tr>
            <w:tr w14:paraId="293F4C5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462" w:type="pct"/>
                  <w:vMerge w:val="continue"/>
                  <w:tcBorders>
                    <w:tl2br w:val="nil"/>
                    <w:tr2bl w:val="nil"/>
                  </w:tcBorders>
                  <w:shd w:val="clear" w:color="auto" w:fill="auto"/>
                  <w:vAlign w:val="center"/>
                </w:tcPr>
                <w:p w14:paraId="3B976B26">
                  <w:pPr>
                    <w:adjustRightInd w:val="0"/>
                    <w:snapToGrid w:val="0"/>
                    <w:jc w:val="center"/>
                    <w:rPr>
                      <w:rFonts w:hint="eastAsia"/>
                      <w:color w:val="auto"/>
                      <w:kern w:val="0"/>
                      <w:sz w:val="18"/>
                      <w:szCs w:val="18"/>
                      <w:lang w:val="en-US" w:eastAsia="zh-CN"/>
                    </w:rPr>
                  </w:pPr>
                </w:p>
              </w:tc>
              <w:tc>
                <w:tcPr>
                  <w:tcW w:w="324" w:type="pct"/>
                  <w:vMerge w:val="continue"/>
                  <w:tcBorders>
                    <w:tl2br w:val="nil"/>
                    <w:tr2bl w:val="nil"/>
                  </w:tcBorders>
                  <w:shd w:val="clear" w:color="auto" w:fill="auto"/>
                  <w:vAlign w:val="center"/>
                </w:tcPr>
                <w:p w14:paraId="5597ED4A">
                  <w:pPr>
                    <w:adjustRightInd w:val="0"/>
                    <w:snapToGrid w:val="0"/>
                    <w:jc w:val="center"/>
                    <w:rPr>
                      <w:rFonts w:hint="eastAsia"/>
                      <w:color w:val="auto"/>
                      <w:kern w:val="0"/>
                      <w:sz w:val="18"/>
                      <w:szCs w:val="18"/>
                      <w:lang w:val="en-US" w:eastAsia="zh-CN"/>
                    </w:rPr>
                  </w:pPr>
                </w:p>
              </w:tc>
              <w:tc>
                <w:tcPr>
                  <w:tcW w:w="357" w:type="pct"/>
                  <w:vMerge w:val="continue"/>
                  <w:tcBorders>
                    <w:tl2br w:val="nil"/>
                    <w:tr2bl w:val="nil"/>
                  </w:tcBorders>
                  <w:shd w:val="clear" w:color="auto" w:fill="auto"/>
                  <w:vAlign w:val="center"/>
                </w:tcPr>
                <w:p w14:paraId="480B570E">
                  <w:pPr>
                    <w:adjustRightInd w:val="0"/>
                    <w:snapToGrid w:val="0"/>
                    <w:jc w:val="center"/>
                    <w:rPr>
                      <w:rFonts w:hint="eastAsia"/>
                      <w:color w:val="auto"/>
                      <w:kern w:val="0"/>
                      <w:sz w:val="18"/>
                      <w:szCs w:val="18"/>
                    </w:rPr>
                  </w:pPr>
                </w:p>
              </w:tc>
              <w:tc>
                <w:tcPr>
                  <w:tcW w:w="395" w:type="pct"/>
                  <w:vMerge w:val="continue"/>
                  <w:tcBorders>
                    <w:tl2br w:val="nil"/>
                    <w:tr2bl w:val="nil"/>
                  </w:tcBorders>
                  <w:shd w:val="clear" w:color="auto" w:fill="auto"/>
                  <w:vAlign w:val="center"/>
                </w:tcPr>
                <w:p w14:paraId="3051DDC5">
                  <w:pPr>
                    <w:adjustRightInd w:val="0"/>
                    <w:snapToGrid w:val="0"/>
                    <w:jc w:val="center"/>
                    <w:rPr>
                      <w:rFonts w:hint="eastAsia"/>
                      <w:color w:val="auto"/>
                      <w:kern w:val="0"/>
                      <w:sz w:val="18"/>
                      <w:szCs w:val="18"/>
                      <w:lang w:val="en-US" w:eastAsia="zh-CN"/>
                    </w:rPr>
                  </w:pPr>
                </w:p>
              </w:tc>
              <w:tc>
                <w:tcPr>
                  <w:tcW w:w="443" w:type="pct"/>
                  <w:vMerge w:val="continue"/>
                  <w:tcBorders>
                    <w:tl2br w:val="nil"/>
                    <w:tr2bl w:val="nil"/>
                  </w:tcBorders>
                  <w:shd w:val="clear" w:color="auto" w:fill="auto"/>
                  <w:vAlign w:val="center"/>
                </w:tcPr>
                <w:p w14:paraId="60F00654">
                  <w:pPr>
                    <w:adjustRightInd w:val="0"/>
                    <w:snapToGrid w:val="0"/>
                    <w:jc w:val="center"/>
                    <w:rPr>
                      <w:rFonts w:hint="eastAsia"/>
                      <w:color w:val="auto"/>
                      <w:kern w:val="0"/>
                      <w:sz w:val="18"/>
                      <w:szCs w:val="18"/>
                      <w:lang w:val="en-US" w:eastAsia="zh-CN"/>
                    </w:rPr>
                  </w:pPr>
                </w:p>
              </w:tc>
              <w:tc>
                <w:tcPr>
                  <w:tcW w:w="491" w:type="pct"/>
                  <w:vMerge w:val="continue"/>
                  <w:tcBorders>
                    <w:tl2br w:val="nil"/>
                    <w:tr2bl w:val="nil"/>
                  </w:tcBorders>
                  <w:shd w:val="clear" w:color="auto" w:fill="auto"/>
                  <w:vAlign w:val="center"/>
                </w:tcPr>
                <w:p w14:paraId="0701210F">
                  <w:pPr>
                    <w:adjustRightInd w:val="0"/>
                    <w:snapToGrid w:val="0"/>
                    <w:jc w:val="center"/>
                    <w:rPr>
                      <w:rFonts w:hint="eastAsia"/>
                      <w:color w:val="auto"/>
                      <w:kern w:val="0"/>
                      <w:sz w:val="18"/>
                      <w:szCs w:val="18"/>
                    </w:rPr>
                  </w:pPr>
                </w:p>
              </w:tc>
              <w:tc>
                <w:tcPr>
                  <w:tcW w:w="543" w:type="pct"/>
                  <w:vMerge w:val="continue"/>
                  <w:tcBorders>
                    <w:tl2br w:val="nil"/>
                    <w:tr2bl w:val="nil"/>
                  </w:tcBorders>
                  <w:shd w:val="clear" w:color="auto" w:fill="auto"/>
                  <w:vAlign w:val="center"/>
                </w:tcPr>
                <w:p w14:paraId="6D1D28A3">
                  <w:pPr>
                    <w:adjustRightInd w:val="0"/>
                    <w:snapToGrid w:val="0"/>
                    <w:jc w:val="center"/>
                    <w:rPr>
                      <w:rFonts w:hint="eastAsia"/>
                      <w:color w:val="auto"/>
                      <w:kern w:val="0"/>
                      <w:sz w:val="18"/>
                      <w:szCs w:val="18"/>
                      <w:lang w:val="en-US" w:eastAsia="zh-CN"/>
                    </w:rPr>
                  </w:pPr>
                </w:p>
              </w:tc>
              <w:tc>
                <w:tcPr>
                  <w:tcW w:w="429" w:type="pct"/>
                  <w:vMerge w:val="continue"/>
                  <w:tcBorders>
                    <w:tl2br w:val="nil"/>
                    <w:tr2bl w:val="nil"/>
                  </w:tcBorders>
                  <w:shd w:val="clear" w:color="auto" w:fill="auto"/>
                  <w:vAlign w:val="center"/>
                </w:tcPr>
                <w:p w14:paraId="53B1C6CB">
                  <w:pPr>
                    <w:adjustRightInd w:val="0"/>
                    <w:snapToGrid w:val="0"/>
                    <w:jc w:val="center"/>
                    <w:rPr>
                      <w:rFonts w:hint="eastAsia"/>
                      <w:bCs/>
                      <w:color w:val="auto"/>
                      <w:kern w:val="0"/>
                      <w:sz w:val="18"/>
                      <w:szCs w:val="18"/>
                      <w:lang w:val="en-US" w:eastAsia="zh-CN" w:bidi="ar"/>
                    </w:rPr>
                  </w:pPr>
                </w:p>
              </w:tc>
              <w:tc>
                <w:tcPr>
                  <w:tcW w:w="399" w:type="pct"/>
                  <w:vMerge w:val="continue"/>
                  <w:tcBorders>
                    <w:tl2br w:val="nil"/>
                    <w:tr2bl w:val="nil"/>
                  </w:tcBorders>
                  <w:shd w:val="clear" w:color="auto" w:fill="auto"/>
                  <w:vAlign w:val="center"/>
                </w:tcPr>
                <w:p w14:paraId="7C633327">
                  <w:pPr>
                    <w:adjustRightInd w:val="0"/>
                    <w:snapToGrid w:val="0"/>
                    <w:jc w:val="center"/>
                    <w:rPr>
                      <w:rFonts w:hint="eastAsia"/>
                      <w:bCs/>
                      <w:color w:val="auto"/>
                      <w:kern w:val="0"/>
                      <w:sz w:val="18"/>
                      <w:szCs w:val="18"/>
                      <w:lang w:bidi="ar"/>
                    </w:rPr>
                  </w:pPr>
                </w:p>
              </w:tc>
              <w:tc>
                <w:tcPr>
                  <w:tcW w:w="1141" w:type="dxa"/>
                  <w:tcBorders>
                    <w:tl2br w:val="nil"/>
                    <w:tr2bl w:val="nil"/>
                  </w:tcBorders>
                  <w:shd w:val="clear" w:color="auto" w:fill="auto"/>
                  <w:vAlign w:val="center"/>
                </w:tcPr>
                <w:p w14:paraId="2EA39A28">
                  <w:pPr>
                    <w:pStyle w:val="656"/>
                    <w:snapToGrid w:val="0"/>
                    <w:rPr>
                      <w:rFonts w:hint="eastAsia"/>
                      <w:color w:val="auto"/>
                      <w:kern w:val="0"/>
                      <w:sz w:val="18"/>
                      <w:szCs w:val="18"/>
                      <w:lang w:val="en-US" w:eastAsia="zh-CN"/>
                    </w:rPr>
                  </w:pPr>
                  <w:r>
                    <w:rPr>
                      <w:rFonts w:hint="eastAsia" w:eastAsia="宋体"/>
                      <w:color w:val="auto"/>
                      <w:sz w:val="18"/>
                      <w:szCs w:val="18"/>
                      <w:lang w:val="en-US" w:eastAsia="zh-CN"/>
                    </w:rPr>
                    <w:t>二甲苯</w:t>
                  </w:r>
                </w:p>
              </w:tc>
              <w:tc>
                <w:tcPr>
                  <w:tcW w:w="903" w:type="dxa"/>
                  <w:tcBorders>
                    <w:tl2br w:val="nil"/>
                    <w:tr2bl w:val="nil"/>
                  </w:tcBorders>
                  <w:shd w:val="clear" w:color="auto" w:fill="auto"/>
                  <w:vAlign w:val="center"/>
                </w:tcPr>
                <w:p w14:paraId="3061C8D8">
                  <w:pPr>
                    <w:pStyle w:val="656"/>
                    <w:snapToGrid w:val="0"/>
                    <w:rPr>
                      <w:rFonts w:hint="eastAsia" w:eastAsia="宋体"/>
                      <w:color w:val="auto"/>
                      <w:sz w:val="18"/>
                      <w:szCs w:val="18"/>
                      <w:lang w:val="en-US" w:eastAsia="zh-CN"/>
                    </w:rPr>
                  </w:pPr>
                  <w:r>
                    <w:rPr>
                      <w:rFonts w:hint="eastAsia" w:eastAsia="宋体"/>
                      <w:color w:val="auto"/>
                      <w:sz w:val="18"/>
                      <w:szCs w:val="18"/>
                      <w:lang w:val="en-US" w:eastAsia="zh-CN"/>
                    </w:rPr>
                    <w:t>0.0027</w:t>
                  </w:r>
                </w:p>
              </w:tc>
            </w:tr>
            <w:tr w14:paraId="4DDDE127">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462" w:type="pct"/>
                  <w:vMerge w:val="continue"/>
                  <w:tcBorders>
                    <w:tl2br w:val="nil"/>
                    <w:tr2bl w:val="nil"/>
                  </w:tcBorders>
                  <w:shd w:val="clear" w:color="auto" w:fill="auto"/>
                  <w:vAlign w:val="center"/>
                </w:tcPr>
                <w:p w14:paraId="5948091C">
                  <w:pPr>
                    <w:adjustRightInd w:val="0"/>
                    <w:snapToGrid w:val="0"/>
                    <w:jc w:val="center"/>
                    <w:rPr>
                      <w:rFonts w:hint="eastAsia"/>
                      <w:color w:val="auto"/>
                      <w:kern w:val="0"/>
                      <w:sz w:val="18"/>
                      <w:szCs w:val="18"/>
                      <w:lang w:val="en-US" w:eastAsia="zh-CN"/>
                    </w:rPr>
                  </w:pPr>
                </w:p>
              </w:tc>
              <w:tc>
                <w:tcPr>
                  <w:tcW w:w="324" w:type="pct"/>
                  <w:vMerge w:val="continue"/>
                  <w:tcBorders>
                    <w:tl2br w:val="nil"/>
                    <w:tr2bl w:val="nil"/>
                  </w:tcBorders>
                  <w:shd w:val="clear" w:color="auto" w:fill="auto"/>
                  <w:vAlign w:val="center"/>
                </w:tcPr>
                <w:p w14:paraId="1143BC1A">
                  <w:pPr>
                    <w:adjustRightInd w:val="0"/>
                    <w:snapToGrid w:val="0"/>
                    <w:jc w:val="center"/>
                    <w:rPr>
                      <w:rFonts w:hint="eastAsia"/>
                      <w:color w:val="auto"/>
                      <w:kern w:val="0"/>
                      <w:sz w:val="18"/>
                      <w:szCs w:val="18"/>
                      <w:lang w:val="en-US" w:eastAsia="zh-CN"/>
                    </w:rPr>
                  </w:pPr>
                </w:p>
              </w:tc>
              <w:tc>
                <w:tcPr>
                  <w:tcW w:w="357" w:type="pct"/>
                  <w:vMerge w:val="continue"/>
                  <w:tcBorders>
                    <w:tl2br w:val="nil"/>
                    <w:tr2bl w:val="nil"/>
                  </w:tcBorders>
                  <w:shd w:val="clear" w:color="auto" w:fill="auto"/>
                  <w:vAlign w:val="center"/>
                </w:tcPr>
                <w:p w14:paraId="750F670C">
                  <w:pPr>
                    <w:adjustRightInd w:val="0"/>
                    <w:snapToGrid w:val="0"/>
                    <w:jc w:val="center"/>
                    <w:rPr>
                      <w:rFonts w:hint="eastAsia"/>
                      <w:color w:val="auto"/>
                      <w:kern w:val="0"/>
                      <w:sz w:val="18"/>
                      <w:szCs w:val="18"/>
                    </w:rPr>
                  </w:pPr>
                </w:p>
              </w:tc>
              <w:tc>
                <w:tcPr>
                  <w:tcW w:w="395" w:type="pct"/>
                  <w:vMerge w:val="continue"/>
                  <w:tcBorders>
                    <w:tl2br w:val="nil"/>
                    <w:tr2bl w:val="nil"/>
                  </w:tcBorders>
                  <w:shd w:val="clear" w:color="auto" w:fill="auto"/>
                  <w:vAlign w:val="center"/>
                </w:tcPr>
                <w:p w14:paraId="4885CB20">
                  <w:pPr>
                    <w:adjustRightInd w:val="0"/>
                    <w:snapToGrid w:val="0"/>
                    <w:jc w:val="center"/>
                    <w:rPr>
                      <w:rFonts w:hint="eastAsia"/>
                      <w:color w:val="auto"/>
                      <w:kern w:val="0"/>
                      <w:sz w:val="18"/>
                      <w:szCs w:val="18"/>
                      <w:lang w:val="en-US" w:eastAsia="zh-CN"/>
                    </w:rPr>
                  </w:pPr>
                </w:p>
              </w:tc>
              <w:tc>
                <w:tcPr>
                  <w:tcW w:w="443" w:type="pct"/>
                  <w:vMerge w:val="continue"/>
                  <w:tcBorders>
                    <w:tl2br w:val="nil"/>
                    <w:tr2bl w:val="nil"/>
                  </w:tcBorders>
                  <w:shd w:val="clear" w:color="auto" w:fill="auto"/>
                  <w:vAlign w:val="center"/>
                </w:tcPr>
                <w:p w14:paraId="511EB833">
                  <w:pPr>
                    <w:adjustRightInd w:val="0"/>
                    <w:snapToGrid w:val="0"/>
                    <w:jc w:val="center"/>
                    <w:rPr>
                      <w:rFonts w:hint="eastAsia"/>
                      <w:color w:val="auto"/>
                      <w:kern w:val="0"/>
                      <w:sz w:val="18"/>
                      <w:szCs w:val="18"/>
                      <w:lang w:val="en-US" w:eastAsia="zh-CN"/>
                    </w:rPr>
                  </w:pPr>
                </w:p>
              </w:tc>
              <w:tc>
                <w:tcPr>
                  <w:tcW w:w="491" w:type="pct"/>
                  <w:vMerge w:val="continue"/>
                  <w:tcBorders>
                    <w:tl2br w:val="nil"/>
                    <w:tr2bl w:val="nil"/>
                  </w:tcBorders>
                  <w:shd w:val="clear" w:color="auto" w:fill="auto"/>
                  <w:vAlign w:val="center"/>
                </w:tcPr>
                <w:p w14:paraId="2A329E68">
                  <w:pPr>
                    <w:adjustRightInd w:val="0"/>
                    <w:snapToGrid w:val="0"/>
                    <w:jc w:val="center"/>
                    <w:rPr>
                      <w:rFonts w:hint="eastAsia"/>
                      <w:color w:val="auto"/>
                      <w:kern w:val="0"/>
                      <w:sz w:val="18"/>
                      <w:szCs w:val="18"/>
                    </w:rPr>
                  </w:pPr>
                </w:p>
              </w:tc>
              <w:tc>
                <w:tcPr>
                  <w:tcW w:w="543" w:type="pct"/>
                  <w:vMerge w:val="continue"/>
                  <w:tcBorders>
                    <w:tl2br w:val="nil"/>
                    <w:tr2bl w:val="nil"/>
                  </w:tcBorders>
                  <w:shd w:val="clear" w:color="auto" w:fill="auto"/>
                  <w:vAlign w:val="center"/>
                </w:tcPr>
                <w:p w14:paraId="378E1745">
                  <w:pPr>
                    <w:adjustRightInd w:val="0"/>
                    <w:snapToGrid w:val="0"/>
                    <w:jc w:val="center"/>
                    <w:rPr>
                      <w:rFonts w:hint="eastAsia"/>
                      <w:color w:val="auto"/>
                      <w:kern w:val="0"/>
                      <w:sz w:val="18"/>
                      <w:szCs w:val="18"/>
                      <w:lang w:val="en-US" w:eastAsia="zh-CN"/>
                    </w:rPr>
                  </w:pPr>
                </w:p>
              </w:tc>
              <w:tc>
                <w:tcPr>
                  <w:tcW w:w="429" w:type="pct"/>
                  <w:vMerge w:val="continue"/>
                  <w:tcBorders>
                    <w:tl2br w:val="nil"/>
                    <w:tr2bl w:val="nil"/>
                  </w:tcBorders>
                  <w:shd w:val="clear" w:color="auto" w:fill="auto"/>
                  <w:vAlign w:val="center"/>
                </w:tcPr>
                <w:p w14:paraId="253135AB">
                  <w:pPr>
                    <w:adjustRightInd w:val="0"/>
                    <w:snapToGrid w:val="0"/>
                    <w:jc w:val="center"/>
                    <w:rPr>
                      <w:rFonts w:hint="eastAsia"/>
                      <w:bCs/>
                      <w:color w:val="auto"/>
                      <w:kern w:val="0"/>
                      <w:sz w:val="18"/>
                      <w:szCs w:val="18"/>
                      <w:lang w:val="en-US" w:eastAsia="zh-CN" w:bidi="ar"/>
                    </w:rPr>
                  </w:pPr>
                </w:p>
              </w:tc>
              <w:tc>
                <w:tcPr>
                  <w:tcW w:w="399" w:type="pct"/>
                  <w:vMerge w:val="continue"/>
                  <w:tcBorders>
                    <w:tl2br w:val="nil"/>
                    <w:tr2bl w:val="nil"/>
                  </w:tcBorders>
                  <w:shd w:val="clear" w:color="auto" w:fill="auto"/>
                  <w:vAlign w:val="center"/>
                </w:tcPr>
                <w:p w14:paraId="2EA4FC71">
                  <w:pPr>
                    <w:adjustRightInd w:val="0"/>
                    <w:snapToGrid w:val="0"/>
                    <w:jc w:val="center"/>
                    <w:rPr>
                      <w:rFonts w:hint="eastAsia"/>
                      <w:bCs/>
                      <w:color w:val="auto"/>
                      <w:kern w:val="0"/>
                      <w:sz w:val="18"/>
                      <w:szCs w:val="18"/>
                      <w:lang w:bidi="ar"/>
                    </w:rPr>
                  </w:pPr>
                </w:p>
              </w:tc>
              <w:tc>
                <w:tcPr>
                  <w:tcW w:w="1141" w:type="dxa"/>
                  <w:tcBorders>
                    <w:tl2br w:val="nil"/>
                    <w:tr2bl w:val="nil"/>
                  </w:tcBorders>
                  <w:shd w:val="clear" w:color="auto" w:fill="auto"/>
                  <w:vAlign w:val="center"/>
                </w:tcPr>
                <w:p w14:paraId="60AB54DB">
                  <w:pPr>
                    <w:pStyle w:val="656"/>
                    <w:snapToGrid w:val="0"/>
                    <w:rPr>
                      <w:rFonts w:hint="eastAsia"/>
                      <w:color w:val="auto"/>
                      <w:kern w:val="0"/>
                      <w:sz w:val="18"/>
                      <w:szCs w:val="18"/>
                      <w:lang w:val="en-US" w:eastAsia="zh-CN"/>
                    </w:rPr>
                  </w:pPr>
                  <w:r>
                    <w:rPr>
                      <w:rFonts w:hint="eastAsia" w:eastAsia="宋体"/>
                      <w:color w:val="auto"/>
                      <w:sz w:val="18"/>
                      <w:szCs w:val="18"/>
                      <w:lang w:val="en-US" w:eastAsia="zh-CN"/>
                    </w:rPr>
                    <w:t>乙苯</w:t>
                  </w:r>
                </w:p>
              </w:tc>
              <w:tc>
                <w:tcPr>
                  <w:tcW w:w="903" w:type="dxa"/>
                  <w:tcBorders>
                    <w:tl2br w:val="nil"/>
                    <w:tr2bl w:val="nil"/>
                  </w:tcBorders>
                  <w:shd w:val="clear" w:color="auto" w:fill="auto"/>
                  <w:vAlign w:val="center"/>
                </w:tcPr>
                <w:p w14:paraId="0B347DE7">
                  <w:pPr>
                    <w:pStyle w:val="656"/>
                    <w:snapToGrid w:val="0"/>
                    <w:rPr>
                      <w:rFonts w:hint="eastAsia" w:eastAsia="宋体"/>
                      <w:color w:val="auto"/>
                      <w:sz w:val="18"/>
                      <w:szCs w:val="18"/>
                      <w:lang w:val="en-US" w:eastAsia="zh-CN"/>
                    </w:rPr>
                  </w:pPr>
                  <w:r>
                    <w:rPr>
                      <w:rFonts w:hint="eastAsia" w:eastAsia="宋体"/>
                      <w:color w:val="auto"/>
                      <w:sz w:val="18"/>
                      <w:szCs w:val="18"/>
                      <w:lang w:val="en-US" w:eastAsia="zh-CN"/>
                    </w:rPr>
                    <w:t>0.00063</w:t>
                  </w:r>
                </w:p>
              </w:tc>
            </w:tr>
            <w:tr w14:paraId="52910D2F">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462" w:type="pct"/>
                  <w:vMerge w:val="continue"/>
                  <w:tcBorders>
                    <w:tl2br w:val="nil"/>
                    <w:tr2bl w:val="nil"/>
                  </w:tcBorders>
                  <w:shd w:val="clear" w:color="auto" w:fill="auto"/>
                  <w:vAlign w:val="center"/>
                </w:tcPr>
                <w:p w14:paraId="48D163DE">
                  <w:pPr>
                    <w:adjustRightInd w:val="0"/>
                    <w:snapToGrid w:val="0"/>
                    <w:jc w:val="center"/>
                    <w:rPr>
                      <w:rFonts w:hint="eastAsia"/>
                      <w:color w:val="auto"/>
                      <w:kern w:val="0"/>
                      <w:sz w:val="18"/>
                      <w:szCs w:val="18"/>
                      <w:lang w:val="en-US" w:eastAsia="zh-CN"/>
                    </w:rPr>
                  </w:pPr>
                </w:p>
              </w:tc>
              <w:tc>
                <w:tcPr>
                  <w:tcW w:w="324" w:type="pct"/>
                  <w:vMerge w:val="continue"/>
                  <w:tcBorders>
                    <w:tl2br w:val="nil"/>
                    <w:tr2bl w:val="nil"/>
                  </w:tcBorders>
                  <w:shd w:val="clear" w:color="auto" w:fill="auto"/>
                  <w:vAlign w:val="center"/>
                </w:tcPr>
                <w:p w14:paraId="2DFD21B9">
                  <w:pPr>
                    <w:adjustRightInd w:val="0"/>
                    <w:snapToGrid w:val="0"/>
                    <w:jc w:val="center"/>
                    <w:rPr>
                      <w:rFonts w:hint="eastAsia"/>
                      <w:color w:val="auto"/>
                      <w:kern w:val="0"/>
                      <w:sz w:val="18"/>
                      <w:szCs w:val="18"/>
                      <w:lang w:val="en-US" w:eastAsia="zh-CN"/>
                    </w:rPr>
                  </w:pPr>
                </w:p>
              </w:tc>
              <w:tc>
                <w:tcPr>
                  <w:tcW w:w="357" w:type="pct"/>
                  <w:vMerge w:val="continue"/>
                  <w:tcBorders>
                    <w:tl2br w:val="nil"/>
                    <w:tr2bl w:val="nil"/>
                  </w:tcBorders>
                  <w:shd w:val="clear" w:color="auto" w:fill="auto"/>
                  <w:vAlign w:val="center"/>
                </w:tcPr>
                <w:p w14:paraId="18466596">
                  <w:pPr>
                    <w:adjustRightInd w:val="0"/>
                    <w:snapToGrid w:val="0"/>
                    <w:jc w:val="center"/>
                    <w:rPr>
                      <w:rFonts w:hint="eastAsia"/>
                      <w:color w:val="auto"/>
                      <w:kern w:val="0"/>
                      <w:sz w:val="18"/>
                      <w:szCs w:val="18"/>
                    </w:rPr>
                  </w:pPr>
                </w:p>
              </w:tc>
              <w:tc>
                <w:tcPr>
                  <w:tcW w:w="395" w:type="pct"/>
                  <w:vMerge w:val="continue"/>
                  <w:tcBorders>
                    <w:tl2br w:val="nil"/>
                    <w:tr2bl w:val="nil"/>
                  </w:tcBorders>
                  <w:shd w:val="clear" w:color="auto" w:fill="auto"/>
                  <w:vAlign w:val="center"/>
                </w:tcPr>
                <w:p w14:paraId="4D230718">
                  <w:pPr>
                    <w:adjustRightInd w:val="0"/>
                    <w:snapToGrid w:val="0"/>
                    <w:jc w:val="center"/>
                    <w:rPr>
                      <w:rFonts w:hint="eastAsia"/>
                      <w:color w:val="auto"/>
                      <w:kern w:val="0"/>
                      <w:sz w:val="18"/>
                      <w:szCs w:val="18"/>
                      <w:lang w:val="en-US" w:eastAsia="zh-CN"/>
                    </w:rPr>
                  </w:pPr>
                </w:p>
              </w:tc>
              <w:tc>
                <w:tcPr>
                  <w:tcW w:w="443" w:type="pct"/>
                  <w:vMerge w:val="continue"/>
                  <w:tcBorders>
                    <w:tl2br w:val="nil"/>
                    <w:tr2bl w:val="nil"/>
                  </w:tcBorders>
                  <w:shd w:val="clear" w:color="auto" w:fill="auto"/>
                  <w:vAlign w:val="center"/>
                </w:tcPr>
                <w:p w14:paraId="74A3629B">
                  <w:pPr>
                    <w:adjustRightInd w:val="0"/>
                    <w:snapToGrid w:val="0"/>
                    <w:jc w:val="center"/>
                    <w:rPr>
                      <w:rFonts w:hint="eastAsia"/>
                      <w:color w:val="auto"/>
                      <w:kern w:val="0"/>
                      <w:sz w:val="18"/>
                      <w:szCs w:val="18"/>
                      <w:lang w:val="en-US" w:eastAsia="zh-CN"/>
                    </w:rPr>
                  </w:pPr>
                </w:p>
              </w:tc>
              <w:tc>
                <w:tcPr>
                  <w:tcW w:w="491" w:type="pct"/>
                  <w:vMerge w:val="continue"/>
                  <w:tcBorders>
                    <w:tl2br w:val="nil"/>
                    <w:tr2bl w:val="nil"/>
                  </w:tcBorders>
                  <w:shd w:val="clear" w:color="auto" w:fill="auto"/>
                  <w:vAlign w:val="center"/>
                </w:tcPr>
                <w:p w14:paraId="7A0830A1">
                  <w:pPr>
                    <w:adjustRightInd w:val="0"/>
                    <w:snapToGrid w:val="0"/>
                    <w:jc w:val="center"/>
                    <w:rPr>
                      <w:rFonts w:hint="eastAsia"/>
                      <w:color w:val="auto"/>
                      <w:kern w:val="0"/>
                      <w:sz w:val="18"/>
                      <w:szCs w:val="18"/>
                    </w:rPr>
                  </w:pPr>
                </w:p>
              </w:tc>
              <w:tc>
                <w:tcPr>
                  <w:tcW w:w="543" w:type="pct"/>
                  <w:vMerge w:val="continue"/>
                  <w:tcBorders>
                    <w:tl2br w:val="nil"/>
                    <w:tr2bl w:val="nil"/>
                  </w:tcBorders>
                  <w:shd w:val="clear" w:color="auto" w:fill="auto"/>
                  <w:vAlign w:val="center"/>
                </w:tcPr>
                <w:p w14:paraId="681CE8DE">
                  <w:pPr>
                    <w:adjustRightInd w:val="0"/>
                    <w:snapToGrid w:val="0"/>
                    <w:jc w:val="center"/>
                    <w:rPr>
                      <w:rFonts w:hint="eastAsia"/>
                      <w:color w:val="auto"/>
                      <w:kern w:val="0"/>
                      <w:sz w:val="18"/>
                      <w:szCs w:val="18"/>
                      <w:lang w:val="en-US" w:eastAsia="zh-CN"/>
                    </w:rPr>
                  </w:pPr>
                </w:p>
              </w:tc>
              <w:tc>
                <w:tcPr>
                  <w:tcW w:w="429" w:type="pct"/>
                  <w:vMerge w:val="continue"/>
                  <w:tcBorders>
                    <w:tl2br w:val="nil"/>
                    <w:tr2bl w:val="nil"/>
                  </w:tcBorders>
                  <w:shd w:val="clear" w:color="auto" w:fill="auto"/>
                  <w:vAlign w:val="center"/>
                </w:tcPr>
                <w:p w14:paraId="000E36C3">
                  <w:pPr>
                    <w:adjustRightInd w:val="0"/>
                    <w:snapToGrid w:val="0"/>
                    <w:jc w:val="center"/>
                    <w:rPr>
                      <w:rFonts w:hint="eastAsia"/>
                      <w:bCs/>
                      <w:color w:val="auto"/>
                      <w:kern w:val="0"/>
                      <w:sz w:val="18"/>
                      <w:szCs w:val="18"/>
                      <w:lang w:val="en-US" w:eastAsia="zh-CN" w:bidi="ar"/>
                    </w:rPr>
                  </w:pPr>
                </w:p>
              </w:tc>
              <w:tc>
                <w:tcPr>
                  <w:tcW w:w="399" w:type="pct"/>
                  <w:vMerge w:val="continue"/>
                  <w:tcBorders>
                    <w:tl2br w:val="nil"/>
                    <w:tr2bl w:val="nil"/>
                  </w:tcBorders>
                  <w:shd w:val="clear" w:color="auto" w:fill="auto"/>
                  <w:vAlign w:val="center"/>
                </w:tcPr>
                <w:p w14:paraId="315231E6">
                  <w:pPr>
                    <w:adjustRightInd w:val="0"/>
                    <w:snapToGrid w:val="0"/>
                    <w:jc w:val="center"/>
                    <w:rPr>
                      <w:rFonts w:hint="eastAsia"/>
                      <w:bCs/>
                      <w:color w:val="auto"/>
                      <w:kern w:val="0"/>
                      <w:sz w:val="18"/>
                      <w:szCs w:val="18"/>
                      <w:lang w:bidi="ar"/>
                    </w:rPr>
                  </w:pPr>
                </w:p>
              </w:tc>
              <w:tc>
                <w:tcPr>
                  <w:tcW w:w="1141" w:type="dxa"/>
                  <w:tcBorders>
                    <w:tl2br w:val="nil"/>
                    <w:tr2bl w:val="nil"/>
                  </w:tcBorders>
                  <w:shd w:val="clear" w:color="auto" w:fill="auto"/>
                  <w:vAlign w:val="center"/>
                </w:tcPr>
                <w:p w14:paraId="4DB886AE">
                  <w:pPr>
                    <w:pStyle w:val="656"/>
                    <w:snapToGrid w:val="0"/>
                    <w:rPr>
                      <w:rFonts w:hint="eastAsia"/>
                      <w:color w:val="auto"/>
                      <w:kern w:val="0"/>
                      <w:sz w:val="18"/>
                      <w:szCs w:val="18"/>
                      <w:lang w:val="en-US" w:eastAsia="zh-CN"/>
                    </w:rPr>
                  </w:pPr>
                  <w:r>
                    <w:rPr>
                      <w:rFonts w:hint="eastAsia" w:eastAsia="宋体"/>
                      <w:color w:val="auto"/>
                      <w:sz w:val="18"/>
                      <w:szCs w:val="18"/>
                      <w:lang w:val="en-US" w:eastAsia="zh-CN"/>
                    </w:rPr>
                    <w:t>三甲苯</w:t>
                  </w:r>
                </w:p>
              </w:tc>
              <w:tc>
                <w:tcPr>
                  <w:tcW w:w="903" w:type="dxa"/>
                  <w:tcBorders>
                    <w:tl2br w:val="nil"/>
                    <w:tr2bl w:val="nil"/>
                  </w:tcBorders>
                  <w:shd w:val="clear" w:color="auto" w:fill="auto"/>
                  <w:vAlign w:val="center"/>
                </w:tcPr>
                <w:p w14:paraId="01924E49">
                  <w:pPr>
                    <w:pStyle w:val="656"/>
                    <w:snapToGrid w:val="0"/>
                    <w:rPr>
                      <w:rFonts w:hint="eastAsia" w:eastAsia="宋体"/>
                      <w:color w:val="auto"/>
                      <w:sz w:val="18"/>
                      <w:szCs w:val="18"/>
                      <w:lang w:val="en-US" w:eastAsia="zh-CN"/>
                    </w:rPr>
                  </w:pPr>
                  <w:r>
                    <w:rPr>
                      <w:rFonts w:hint="eastAsia" w:eastAsia="宋体"/>
                      <w:color w:val="auto"/>
                      <w:sz w:val="18"/>
                      <w:szCs w:val="18"/>
                      <w:lang w:val="en-US" w:eastAsia="zh-CN"/>
                    </w:rPr>
                    <w:t>0.00067</w:t>
                  </w:r>
                </w:p>
              </w:tc>
            </w:tr>
            <w:tr w14:paraId="510655B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5000" w:type="pct"/>
                  <w:gridSpan w:val="11"/>
                  <w:tcBorders>
                    <w:tl2br w:val="nil"/>
                    <w:tr2bl w:val="nil"/>
                  </w:tcBorders>
                  <w:shd w:val="clear" w:color="auto" w:fill="auto"/>
                  <w:vAlign w:val="center"/>
                </w:tcPr>
                <w:p w14:paraId="074CC894">
                  <w:pPr>
                    <w:adjustRightInd w:val="0"/>
                    <w:snapToGrid w:val="0"/>
                    <w:jc w:val="left"/>
                    <w:rPr>
                      <w:b/>
                      <w:color w:val="auto"/>
                      <w:kern w:val="0"/>
                      <w:sz w:val="18"/>
                      <w:szCs w:val="18"/>
                      <w:lang w:bidi="ar"/>
                    </w:rPr>
                  </w:pPr>
                  <w:r>
                    <w:rPr>
                      <w:b/>
                      <w:color w:val="auto"/>
                      <w:kern w:val="0"/>
                      <w:sz w:val="18"/>
                      <w:szCs w:val="18"/>
                      <w:lang w:bidi="ar"/>
                    </w:rPr>
                    <w:t>注：坐标以厂区</w:t>
                  </w:r>
                  <w:r>
                    <w:rPr>
                      <w:rFonts w:hint="eastAsia"/>
                      <w:b/>
                      <w:color w:val="auto"/>
                      <w:kern w:val="0"/>
                      <w:sz w:val="18"/>
                      <w:szCs w:val="18"/>
                      <w:lang w:bidi="ar"/>
                    </w:rPr>
                    <w:t>左</w:t>
                  </w:r>
                  <w:r>
                    <w:rPr>
                      <w:b/>
                      <w:color w:val="auto"/>
                      <w:kern w:val="0"/>
                      <w:sz w:val="18"/>
                      <w:szCs w:val="18"/>
                      <w:lang w:bidi="ar"/>
                    </w:rPr>
                    <w:t>下角为原点（0,0）</w:t>
                  </w:r>
                  <w:r>
                    <w:rPr>
                      <w:rFonts w:hint="eastAsia"/>
                      <w:b/>
                      <w:color w:val="auto"/>
                      <w:kern w:val="0"/>
                      <w:sz w:val="18"/>
                      <w:szCs w:val="18"/>
                      <w:lang w:eastAsia="zh-CN" w:bidi="ar"/>
                    </w:rPr>
                    <w:t>，</w:t>
                  </w:r>
                  <w:r>
                    <w:rPr>
                      <w:rFonts w:hint="eastAsia"/>
                      <w:b/>
                      <w:color w:val="auto"/>
                      <w:kern w:val="0"/>
                      <w:sz w:val="18"/>
                      <w:szCs w:val="18"/>
                      <w:lang w:bidi="ar"/>
                    </w:rPr>
                    <w:t>非甲烷总烃中包含苯系物（其中包括二甲苯、乙苯、三甲苯）</w:t>
                  </w:r>
                  <w:r>
                    <w:rPr>
                      <w:rFonts w:hint="eastAsia"/>
                      <w:b/>
                      <w:color w:val="auto"/>
                      <w:kern w:val="0"/>
                      <w:sz w:val="18"/>
                      <w:szCs w:val="18"/>
                      <w:lang w:eastAsia="zh-CN" w:bidi="ar"/>
                    </w:rPr>
                    <w:t>。</w:t>
                  </w:r>
                </w:p>
              </w:tc>
            </w:tr>
          </w:tbl>
          <w:p w14:paraId="5F10075C">
            <w:pPr>
              <w:pStyle w:val="5"/>
              <w:adjustRightInd w:val="0"/>
              <w:snapToGrid w:val="0"/>
              <w:spacing w:line="360" w:lineRule="auto"/>
              <w:ind w:firstLine="422" w:firstLineChars="200"/>
              <w:rPr>
                <w:b/>
                <w:color w:val="auto"/>
                <w:kern w:val="0"/>
                <w:szCs w:val="21"/>
              </w:rPr>
            </w:pPr>
            <w:r>
              <w:rPr>
                <w:rFonts w:hint="eastAsia"/>
                <w:b/>
                <w:color w:val="auto"/>
                <w:kern w:val="0"/>
                <w:szCs w:val="21"/>
              </w:rPr>
              <w:t>（4）污染治理措施可行性分析</w:t>
            </w:r>
          </w:p>
          <w:p w14:paraId="0525C8B8">
            <w:pPr>
              <w:pStyle w:val="5"/>
              <w:adjustRightInd w:val="0"/>
              <w:snapToGrid w:val="0"/>
              <w:spacing w:line="360" w:lineRule="auto"/>
              <w:ind w:firstLine="422" w:firstLineChars="200"/>
              <w:rPr>
                <w:b/>
                <w:color w:val="auto"/>
                <w:kern w:val="0"/>
                <w:szCs w:val="21"/>
              </w:rPr>
            </w:pPr>
            <w:r>
              <w:rPr>
                <w:rFonts w:hint="eastAsia"/>
                <w:b/>
                <w:color w:val="auto"/>
                <w:kern w:val="0"/>
                <w:szCs w:val="21"/>
              </w:rPr>
              <w:t>①废气治理措施简述</w:t>
            </w:r>
          </w:p>
          <w:p w14:paraId="5D93C52F">
            <w:pPr>
              <w:adjustRightInd w:val="0"/>
              <w:snapToGrid w:val="0"/>
              <w:spacing w:line="360" w:lineRule="auto"/>
              <w:ind w:firstLine="420" w:firstLineChars="200"/>
              <w:rPr>
                <w:color w:val="auto"/>
                <w:kern w:val="0"/>
                <w:shd w:val="clear" w:color="auto" w:fill="FFFFFF"/>
              </w:rPr>
            </w:pPr>
            <w:r>
              <w:rPr>
                <w:rFonts w:hint="eastAsia"/>
                <w:color w:val="auto"/>
                <w:kern w:val="0"/>
              </w:rPr>
              <w:t>本</w:t>
            </w:r>
            <w:r>
              <w:rPr>
                <w:rFonts w:hint="eastAsia"/>
                <w:bCs/>
                <w:color w:val="auto"/>
                <w:kern w:val="0"/>
                <w:lang w:eastAsia="zh-CN"/>
              </w:rPr>
              <w:t>项目</w:t>
            </w:r>
            <w:r>
              <w:rPr>
                <w:rFonts w:hint="eastAsia"/>
                <w:bCs/>
                <w:color w:val="auto"/>
                <w:kern w:val="0"/>
                <w:lang w:val="en-US" w:eastAsia="zh-CN"/>
              </w:rPr>
              <w:t>喷砂、喷锌</w:t>
            </w:r>
            <w:r>
              <w:rPr>
                <w:rFonts w:hint="eastAsia"/>
                <w:bCs/>
                <w:color w:val="auto"/>
                <w:kern w:val="0"/>
                <w:lang w:eastAsia="zh-CN"/>
              </w:rPr>
              <w:t>产生的</w:t>
            </w:r>
            <w:r>
              <w:rPr>
                <w:rFonts w:hint="eastAsia"/>
                <w:bCs/>
                <w:color w:val="auto"/>
                <w:kern w:val="0"/>
                <w:lang w:val="en-US" w:eastAsia="zh-CN"/>
              </w:rPr>
              <w:t>颗粒物</w:t>
            </w:r>
            <w:r>
              <w:rPr>
                <w:rFonts w:hint="eastAsia"/>
                <w:bCs/>
                <w:color w:val="auto"/>
                <w:kern w:val="0"/>
                <w:lang w:eastAsia="zh-CN"/>
              </w:rPr>
              <w:t>经</w:t>
            </w:r>
            <w:r>
              <w:rPr>
                <w:rFonts w:hint="eastAsia"/>
                <w:bCs/>
                <w:color w:val="auto"/>
                <w:kern w:val="0"/>
                <w:lang w:val="en-US" w:eastAsia="zh-CN"/>
              </w:rPr>
              <w:t>喷砂房、喷锌房密闭</w:t>
            </w:r>
            <w:r>
              <w:rPr>
                <w:rFonts w:hint="eastAsia"/>
                <w:bCs/>
                <w:color w:val="auto"/>
                <w:kern w:val="0"/>
                <w:lang w:eastAsia="zh-CN"/>
              </w:rPr>
              <w:t>收集，收集后的</w:t>
            </w:r>
            <w:r>
              <w:rPr>
                <w:rFonts w:hint="eastAsia"/>
                <w:bCs/>
                <w:color w:val="auto"/>
                <w:kern w:val="0"/>
                <w:lang w:val="en-US" w:eastAsia="zh-CN"/>
              </w:rPr>
              <w:t>颗粒物</w:t>
            </w:r>
            <w:r>
              <w:rPr>
                <w:rFonts w:hint="eastAsia"/>
                <w:bCs/>
                <w:color w:val="auto"/>
                <w:kern w:val="0"/>
                <w:lang w:eastAsia="zh-CN"/>
              </w:rPr>
              <w:t>进入1套“</w:t>
            </w:r>
            <w:r>
              <w:rPr>
                <w:rFonts w:hint="eastAsia"/>
                <w:bCs/>
                <w:color w:val="auto"/>
                <w:kern w:val="0"/>
                <w:lang w:val="en-US" w:eastAsia="zh-CN"/>
              </w:rPr>
              <w:t>袋式除尘装置</w:t>
            </w:r>
            <w:r>
              <w:rPr>
                <w:rFonts w:hint="eastAsia"/>
                <w:bCs/>
                <w:color w:val="auto"/>
                <w:kern w:val="0"/>
                <w:lang w:eastAsia="zh-CN"/>
              </w:rPr>
              <w:t>”处理后通过1根15m高的排气筒DA001排放；</w:t>
            </w:r>
            <w:r>
              <w:rPr>
                <w:rFonts w:hint="eastAsia"/>
                <w:bCs/>
                <w:color w:val="auto"/>
                <w:kern w:val="0"/>
                <w:lang w:val="en-US" w:eastAsia="zh-CN"/>
              </w:rPr>
              <w:t>喷漆产生的颗粒物、非甲烷总烃；喷枪清洗产生的非甲烷总烃经喷漆房密闭收集，收集后的颗粒物、有机废气进入1套“过滤棉+二级活性炭装置”处理后通过1根15m高的排气筒DA002排放、危废仓库非甲烷总烃经危废仓库密闭收集，收集后的有机废气进入活性炭装置处理达标后无组织排放</w:t>
            </w:r>
            <w:r>
              <w:rPr>
                <w:rFonts w:hint="eastAsia"/>
                <w:color w:val="auto"/>
                <w:kern w:val="0"/>
                <w:shd w:val="clear" w:color="auto" w:fill="FFFFFF"/>
              </w:rPr>
              <w:t>。</w:t>
            </w:r>
          </w:p>
          <w:p w14:paraId="324C16E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b/>
                <w:bCs/>
                <w:color w:val="auto"/>
                <w:kern w:val="0"/>
              </w:rPr>
            </w:pPr>
            <w:r>
              <w:rPr>
                <w:b/>
                <w:bCs/>
                <w:color w:val="auto"/>
                <w:kern w:val="0"/>
              </w:rPr>
              <w:object>
                <v:shape id="_x0000_i1030" o:spt="75" type="#_x0000_t75" style="height:201.25pt;width:402.15pt;" o:ole="t" filled="f" o:preferrelative="t" stroked="f" coordsize="21600,21600">
                  <v:path/>
                  <v:fill on="f" focussize="0,0"/>
                  <v:stroke on="f"/>
                  <v:imagedata r:id="rId22" o:title=""/>
                  <o:lock v:ext="edit" aspectratio="f"/>
                  <w10:wrap type="none"/>
                  <w10:anchorlock/>
                </v:shape>
                <o:OLEObject Type="Embed" ProgID="Visio.Drawing.11" ShapeID="_x0000_i1030" DrawAspect="Content" ObjectID="_1468075730" r:id="rId21">
                  <o:LockedField>false</o:LockedField>
                </o:OLEObject>
              </w:object>
            </w:r>
          </w:p>
          <w:p w14:paraId="093A080B">
            <w:pPr>
              <w:pStyle w:val="2"/>
              <w:adjustRightInd w:val="0"/>
              <w:snapToGrid w:val="0"/>
              <w:spacing w:before="0" w:after="0" w:line="360" w:lineRule="auto"/>
              <w:jc w:val="center"/>
              <w:rPr>
                <w:color w:val="auto"/>
                <w:kern w:val="0"/>
                <w:sz w:val="21"/>
                <w:szCs w:val="21"/>
              </w:rPr>
            </w:pPr>
            <w:r>
              <w:rPr>
                <w:rFonts w:hint="eastAsia"/>
                <w:color w:val="auto"/>
                <w:kern w:val="0"/>
                <w:sz w:val="21"/>
                <w:szCs w:val="21"/>
              </w:rPr>
              <w:t>图4-1   废气处置方案</w:t>
            </w:r>
          </w:p>
          <w:p w14:paraId="016AA2F4">
            <w:pPr>
              <w:adjustRightInd w:val="0"/>
              <w:snapToGrid w:val="0"/>
              <w:spacing w:line="360" w:lineRule="auto"/>
              <w:ind w:firstLine="422" w:firstLineChars="200"/>
              <w:rPr>
                <w:b/>
                <w:bCs/>
                <w:color w:val="auto"/>
                <w:kern w:val="0"/>
              </w:rPr>
            </w:pPr>
            <w:r>
              <w:rPr>
                <w:rFonts w:hint="eastAsia"/>
                <w:b/>
                <w:bCs/>
                <w:color w:val="auto"/>
                <w:kern w:val="0"/>
                <w:lang w:val="en-US" w:eastAsia="zh-CN"/>
              </w:rPr>
              <w:t>②</w:t>
            </w:r>
            <w:r>
              <w:rPr>
                <w:rFonts w:hint="eastAsia"/>
                <w:b/>
                <w:bCs/>
                <w:color w:val="auto"/>
                <w:kern w:val="0"/>
              </w:rPr>
              <w:t>技术可行性分析</w:t>
            </w:r>
          </w:p>
          <w:p w14:paraId="6FCEAB69">
            <w:pPr>
              <w:autoSpaceDE w:val="0"/>
              <w:autoSpaceDN w:val="0"/>
              <w:adjustRightInd w:val="0"/>
              <w:snapToGrid w:val="0"/>
              <w:spacing w:line="360" w:lineRule="auto"/>
              <w:ind w:firstLine="422" w:firstLineChars="200"/>
              <w:rPr>
                <w:b/>
                <w:color w:val="auto"/>
                <w:kern w:val="0"/>
              </w:rPr>
            </w:pPr>
            <w:r>
              <w:rPr>
                <w:rFonts w:hint="eastAsia"/>
                <w:b/>
                <w:color w:val="auto"/>
                <w:kern w:val="0"/>
                <w:lang w:val="en-US" w:eastAsia="zh-CN"/>
              </w:rPr>
              <w:t>1）</w:t>
            </w:r>
            <w:r>
              <w:rPr>
                <w:rFonts w:hint="eastAsia"/>
                <w:b/>
                <w:color w:val="auto"/>
                <w:kern w:val="0"/>
              </w:rPr>
              <w:t>废气处理装置运行原理</w:t>
            </w:r>
          </w:p>
          <w:p w14:paraId="3DD9FEC3">
            <w:pPr>
              <w:adjustRightInd w:val="0"/>
              <w:snapToGrid w:val="0"/>
              <w:jc w:val="center"/>
              <w:rPr>
                <w:bCs/>
                <w:color w:val="auto"/>
                <w:kern w:val="0"/>
              </w:rPr>
            </w:pPr>
            <w:r>
              <w:rPr>
                <w:b/>
                <w:bCs/>
                <w:color w:val="auto"/>
                <w:kern w:val="0"/>
              </w:rPr>
              <w:t>表4</w:t>
            </w:r>
            <w:r>
              <w:rPr>
                <w:rFonts w:hint="eastAsia"/>
                <w:b/>
                <w:bCs/>
                <w:color w:val="auto"/>
                <w:kern w:val="0"/>
              </w:rPr>
              <w:t>-</w:t>
            </w:r>
            <w:r>
              <w:rPr>
                <w:rFonts w:hint="eastAsia"/>
                <w:b/>
                <w:bCs/>
                <w:color w:val="auto"/>
                <w:kern w:val="0"/>
                <w:lang w:val="en-US" w:eastAsia="zh-CN"/>
              </w:rPr>
              <w:t>6.1</w:t>
            </w:r>
            <w:r>
              <w:rPr>
                <w:rFonts w:hint="eastAsia"/>
                <w:b/>
                <w:bCs/>
                <w:color w:val="auto"/>
                <w:kern w:val="0"/>
              </w:rPr>
              <w:t xml:space="preserve">   </w:t>
            </w:r>
            <w:r>
              <w:rPr>
                <w:b/>
                <w:bCs/>
                <w:color w:val="auto"/>
                <w:kern w:val="0"/>
              </w:rPr>
              <w:t>活性炭技术参数</w:t>
            </w:r>
          </w:p>
          <w:tbl>
            <w:tblPr>
              <w:tblStyle w:val="59"/>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
            <w:tblGrid>
              <w:gridCol w:w="1040"/>
              <w:gridCol w:w="3010"/>
              <w:gridCol w:w="1634"/>
              <w:gridCol w:w="3173"/>
            </w:tblGrid>
            <w:tr w14:paraId="3FC827D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jc w:val="center"/>
              </w:trPr>
              <w:tc>
                <w:tcPr>
                  <w:tcW w:w="587" w:type="pct"/>
                  <w:tcBorders>
                    <w:tl2br w:val="nil"/>
                    <w:tr2bl w:val="nil"/>
                  </w:tcBorders>
                  <w:tcMar>
                    <w:top w:w="0" w:type="dxa"/>
                    <w:left w:w="0" w:type="dxa"/>
                    <w:bottom w:w="0" w:type="dxa"/>
                    <w:right w:w="0" w:type="dxa"/>
                  </w:tcMar>
                  <w:vAlign w:val="center"/>
                </w:tcPr>
                <w:p w14:paraId="31E5146B">
                  <w:pPr>
                    <w:adjustRightInd w:val="0"/>
                    <w:snapToGrid w:val="0"/>
                    <w:jc w:val="center"/>
                    <w:rPr>
                      <w:b/>
                      <w:color w:val="auto"/>
                      <w:kern w:val="0"/>
                    </w:rPr>
                  </w:pPr>
                  <w:r>
                    <w:rPr>
                      <w:b/>
                      <w:color w:val="auto"/>
                      <w:kern w:val="0"/>
                    </w:rPr>
                    <w:t>序号</w:t>
                  </w:r>
                </w:p>
              </w:tc>
              <w:tc>
                <w:tcPr>
                  <w:tcW w:w="1698" w:type="pct"/>
                  <w:tcBorders>
                    <w:tl2br w:val="nil"/>
                    <w:tr2bl w:val="nil"/>
                  </w:tcBorders>
                  <w:tcMar>
                    <w:top w:w="0" w:type="dxa"/>
                    <w:left w:w="0" w:type="dxa"/>
                    <w:bottom w:w="0" w:type="dxa"/>
                    <w:right w:w="0" w:type="dxa"/>
                  </w:tcMar>
                  <w:vAlign w:val="center"/>
                </w:tcPr>
                <w:p w14:paraId="782D7278">
                  <w:pPr>
                    <w:adjustRightInd w:val="0"/>
                    <w:snapToGrid w:val="0"/>
                    <w:jc w:val="center"/>
                    <w:rPr>
                      <w:b/>
                      <w:color w:val="auto"/>
                      <w:kern w:val="0"/>
                    </w:rPr>
                  </w:pPr>
                  <w:r>
                    <w:rPr>
                      <w:b/>
                      <w:color w:val="auto"/>
                      <w:kern w:val="0"/>
                    </w:rPr>
                    <w:t>项目</w:t>
                  </w:r>
                </w:p>
              </w:tc>
              <w:tc>
                <w:tcPr>
                  <w:tcW w:w="922" w:type="pct"/>
                  <w:tcBorders>
                    <w:tl2br w:val="nil"/>
                    <w:tr2bl w:val="nil"/>
                  </w:tcBorders>
                  <w:tcMar>
                    <w:top w:w="0" w:type="dxa"/>
                    <w:left w:w="0" w:type="dxa"/>
                    <w:bottom w:w="0" w:type="dxa"/>
                    <w:right w:w="0" w:type="dxa"/>
                  </w:tcMar>
                  <w:vAlign w:val="center"/>
                </w:tcPr>
                <w:p w14:paraId="19490141">
                  <w:pPr>
                    <w:adjustRightInd w:val="0"/>
                    <w:snapToGrid w:val="0"/>
                    <w:jc w:val="center"/>
                    <w:rPr>
                      <w:b/>
                      <w:color w:val="auto"/>
                      <w:kern w:val="0"/>
                    </w:rPr>
                  </w:pPr>
                  <w:r>
                    <w:rPr>
                      <w:b/>
                      <w:color w:val="auto"/>
                      <w:kern w:val="0"/>
                    </w:rPr>
                    <w:t>单位</w:t>
                  </w:r>
                </w:p>
              </w:tc>
              <w:tc>
                <w:tcPr>
                  <w:tcW w:w="1790" w:type="pct"/>
                  <w:tcBorders>
                    <w:tl2br w:val="nil"/>
                    <w:tr2bl w:val="nil"/>
                  </w:tcBorders>
                  <w:tcMar>
                    <w:top w:w="0" w:type="dxa"/>
                    <w:left w:w="0" w:type="dxa"/>
                    <w:bottom w:w="0" w:type="dxa"/>
                    <w:right w:w="0" w:type="dxa"/>
                  </w:tcMar>
                  <w:vAlign w:val="center"/>
                </w:tcPr>
                <w:p w14:paraId="709643B7">
                  <w:pPr>
                    <w:adjustRightInd w:val="0"/>
                    <w:snapToGrid w:val="0"/>
                    <w:jc w:val="center"/>
                    <w:rPr>
                      <w:b/>
                      <w:color w:val="auto"/>
                      <w:kern w:val="0"/>
                    </w:rPr>
                  </w:pPr>
                  <w:r>
                    <w:rPr>
                      <w:b/>
                      <w:color w:val="auto"/>
                      <w:kern w:val="0"/>
                    </w:rPr>
                    <w:t>技术指标</w:t>
                  </w:r>
                </w:p>
              </w:tc>
            </w:tr>
            <w:tr w14:paraId="4670A25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jc w:val="center"/>
              </w:trPr>
              <w:tc>
                <w:tcPr>
                  <w:tcW w:w="587" w:type="pct"/>
                  <w:tcBorders>
                    <w:tl2br w:val="nil"/>
                    <w:tr2bl w:val="nil"/>
                  </w:tcBorders>
                  <w:tcMar>
                    <w:top w:w="0" w:type="dxa"/>
                    <w:left w:w="0" w:type="dxa"/>
                    <w:bottom w:w="0" w:type="dxa"/>
                    <w:right w:w="0" w:type="dxa"/>
                  </w:tcMar>
                  <w:vAlign w:val="center"/>
                </w:tcPr>
                <w:p w14:paraId="57D6C210">
                  <w:pPr>
                    <w:adjustRightInd w:val="0"/>
                    <w:snapToGrid w:val="0"/>
                    <w:jc w:val="center"/>
                    <w:rPr>
                      <w:color w:val="auto"/>
                      <w:kern w:val="0"/>
                    </w:rPr>
                  </w:pPr>
                  <w:r>
                    <w:rPr>
                      <w:color w:val="auto"/>
                      <w:kern w:val="0"/>
                    </w:rPr>
                    <w:t>1</w:t>
                  </w:r>
                </w:p>
              </w:tc>
              <w:tc>
                <w:tcPr>
                  <w:tcW w:w="1698" w:type="pct"/>
                  <w:tcBorders>
                    <w:tl2br w:val="nil"/>
                    <w:tr2bl w:val="nil"/>
                  </w:tcBorders>
                  <w:tcMar>
                    <w:top w:w="0" w:type="dxa"/>
                    <w:left w:w="0" w:type="dxa"/>
                    <w:bottom w:w="0" w:type="dxa"/>
                    <w:right w:w="0" w:type="dxa"/>
                  </w:tcMar>
                  <w:vAlign w:val="center"/>
                </w:tcPr>
                <w:p w14:paraId="4FC52466">
                  <w:pPr>
                    <w:adjustRightInd w:val="0"/>
                    <w:snapToGrid w:val="0"/>
                    <w:jc w:val="center"/>
                    <w:rPr>
                      <w:color w:val="auto"/>
                      <w:kern w:val="0"/>
                    </w:rPr>
                  </w:pPr>
                  <w:r>
                    <w:rPr>
                      <w:color w:val="auto"/>
                      <w:kern w:val="0"/>
                    </w:rPr>
                    <w:t>单级活性炭吸附箱尺寸</w:t>
                  </w:r>
                </w:p>
              </w:tc>
              <w:tc>
                <w:tcPr>
                  <w:tcW w:w="922" w:type="pct"/>
                  <w:tcBorders>
                    <w:tl2br w:val="nil"/>
                    <w:tr2bl w:val="nil"/>
                  </w:tcBorders>
                  <w:tcMar>
                    <w:top w:w="0" w:type="dxa"/>
                    <w:left w:w="0" w:type="dxa"/>
                    <w:bottom w:w="0" w:type="dxa"/>
                    <w:right w:w="0" w:type="dxa"/>
                  </w:tcMar>
                  <w:vAlign w:val="center"/>
                </w:tcPr>
                <w:p w14:paraId="43F6187A">
                  <w:pPr>
                    <w:adjustRightInd w:val="0"/>
                    <w:snapToGrid w:val="0"/>
                    <w:jc w:val="center"/>
                    <w:rPr>
                      <w:color w:val="auto"/>
                      <w:kern w:val="0"/>
                    </w:rPr>
                  </w:pPr>
                  <w:r>
                    <w:rPr>
                      <w:color w:val="auto"/>
                      <w:kern w:val="0"/>
                    </w:rPr>
                    <w:t>m</w:t>
                  </w:r>
                </w:p>
              </w:tc>
              <w:tc>
                <w:tcPr>
                  <w:tcW w:w="1790" w:type="pct"/>
                  <w:tcBorders>
                    <w:tl2br w:val="nil"/>
                    <w:tr2bl w:val="nil"/>
                  </w:tcBorders>
                  <w:tcMar>
                    <w:top w:w="0" w:type="dxa"/>
                    <w:left w:w="0" w:type="dxa"/>
                    <w:bottom w:w="0" w:type="dxa"/>
                    <w:right w:w="0" w:type="dxa"/>
                  </w:tcMar>
                  <w:vAlign w:val="center"/>
                </w:tcPr>
                <w:p w14:paraId="2849E45F">
                  <w:pPr>
                    <w:adjustRightInd w:val="0"/>
                    <w:snapToGrid w:val="0"/>
                    <w:jc w:val="center"/>
                    <w:rPr>
                      <w:color w:val="auto"/>
                      <w:kern w:val="0"/>
                    </w:rPr>
                  </w:pPr>
                  <w:r>
                    <w:rPr>
                      <w:rFonts w:hint="eastAsia"/>
                      <w:color w:val="auto"/>
                      <w:kern w:val="0"/>
                    </w:rPr>
                    <w:t>2</w:t>
                  </w:r>
                  <w:r>
                    <w:rPr>
                      <w:rFonts w:hint="eastAsia"/>
                      <w:color w:val="auto"/>
                      <w:kern w:val="0"/>
                      <w:lang w:val="en-US" w:eastAsia="zh-CN"/>
                    </w:rPr>
                    <w:t>.5</w:t>
                  </w:r>
                  <w:r>
                    <w:rPr>
                      <w:color w:val="auto"/>
                      <w:kern w:val="0"/>
                    </w:rPr>
                    <w:t>m*</w:t>
                  </w:r>
                  <w:r>
                    <w:rPr>
                      <w:rFonts w:hint="eastAsia"/>
                      <w:color w:val="auto"/>
                      <w:kern w:val="0"/>
                    </w:rPr>
                    <w:t>2</w:t>
                  </w:r>
                  <w:r>
                    <w:rPr>
                      <w:rFonts w:hint="eastAsia"/>
                      <w:color w:val="auto"/>
                      <w:kern w:val="0"/>
                      <w:lang w:val="en-US" w:eastAsia="zh-CN"/>
                    </w:rPr>
                    <w:t>.5</w:t>
                  </w:r>
                  <w:r>
                    <w:rPr>
                      <w:color w:val="auto"/>
                      <w:kern w:val="0"/>
                    </w:rPr>
                    <w:t>m*</w:t>
                  </w:r>
                  <w:r>
                    <w:rPr>
                      <w:rFonts w:hint="eastAsia"/>
                      <w:color w:val="auto"/>
                      <w:kern w:val="0"/>
                    </w:rPr>
                    <w:t>1.5</w:t>
                  </w:r>
                  <w:r>
                    <w:rPr>
                      <w:color w:val="auto"/>
                      <w:kern w:val="0"/>
                    </w:rPr>
                    <w:t>m</w:t>
                  </w:r>
                </w:p>
              </w:tc>
            </w:tr>
            <w:tr w14:paraId="46AB11F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jc w:val="center"/>
              </w:trPr>
              <w:tc>
                <w:tcPr>
                  <w:tcW w:w="587" w:type="pct"/>
                  <w:tcBorders>
                    <w:tl2br w:val="nil"/>
                    <w:tr2bl w:val="nil"/>
                  </w:tcBorders>
                  <w:tcMar>
                    <w:top w:w="0" w:type="dxa"/>
                    <w:left w:w="0" w:type="dxa"/>
                    <w:bottom w:w="0" w:type="dxa"/>
                    <w:right w:w="0" w:type="dxa"/>
                  </w:tcMar>
                  <w:vAlign w:val="center"/>
                </w:tcPr>
                <w:p w14:paraId="292881D8">
                  <w:pPr>
                    <w:adjustRightInd w:val="0"/>
                    <w:snapToGrid w:val="0"/>
                    <w:jc w:val="center"/>
                    <w:rPr>
                      <w:color w:val="auto"/>
                      <w:kern w:val="0"/>
                    </w:rPr>
                  </w:pPr>
                  <w:r>
                    <w:rPr>
                      <w:color w:val="auto"/>
                      <w:kern w:val="0"/>
                    </w:rPr>
                    <w:t>2</w:t>
                  </w:r>
                </w:p>
              </w:tc>
              <w:tc>
                <w:tcPr>
                  <w:tcW w:w="1698" w:type="pct"/>
                  <w:tcBorders>
                    <w:tl2br w:val="nil"/>
                    <w:tr2bl w:val="nil"/>
                  </w:tcBorders>
                  <w:tcMar>
                    <w:top w:w="0" w:type="dxa"/>
                    <w:left w:w="0" w:type="dxa"/>
                    <w:bottom w:w="0" w:type="dxa"/>
                    <w:right w:w="0" w:type="dxa"/>
                  </w:tcMar>
                  <w:vAlign w:val="center"/>
                </w:tcPr>
                <w:p w14:paraId="12FA5BA3">
                  <w:pPr>
                    <w:adjustRightInd w:val="0"/>
                    <w:snapToGrid w:val="0"/>
                    <w:jc w:val="center"/>
                    <w:rPr>
                      <w:color w:val="auto"/>
                      <w:kern w:val="0"/>
                    </w:rPr>
                  </w:pPr>
                  <w:r>
                    <w:rPr>
                      <w:color w:val="auto"/>
                      <w:kern w:val="0"/>
                    </w:rPr>
                    <w:t>填充物</w:t>
                  </w:r>
                </w:p>
              </w:tc>
              <w:tc>
                <w:tcPr>
                  <w:tcW w:w="922" w:type="pct"/>
                  <w:tcBorders>
                    <w:tl2br w:val="nil"/>
                    <w:tr2bl w:val="nil"/>
                  </w:tcBorders>
                  <w:tcMar>
                    <w:top w:w="0" w:type="dxa"/>
                    <w:left w:w="0" w:type="dxa"/>
                    <w:bottom w:w="0" w:type="dxa"/>
                    <w:right w:w="0" w:type="dxa"/>
                  </w:tcMar>
                  <w:vAlign w:val="center"/>
                </w:tcPr>
                <w:p w14:paraId="69C7E738">
                  <w:pPr>
                    <w:adjustRightInd w:val="0"/>
                    <w:snapToGrid w:val="0"/>
                    <w:jc w:val="center"/>
                    <w:rPr>
                      <w:color w:val="auto"/>
                      <w:kern w:val="0"/>
                    </w:rPr>
                  </w:pPr>
                  <w:r>
                    <w:rPr>
                      <w:color w:val="auto"/>
                      <w:kern w:val="0"/>
                    </w:rPr>
                    <w:t>—</w:t>
                  </w:r>
                </w:p>
              </w:tc>
              <w:tc>
                <w:tcPr>
                  <w:tcW w:w="1790" w:type="pct"/>
                  <w:tcBorders>
                    <w:tl2br w:val="nil"/>
                    <w:tr2bl w:val="nil"/>
                  </w:tcBorders>
                  <w:tcMar>
                    <w:top w:w="0" w:type="dxa"/>
                    <w:left w:w="0" w:type="dxa"/>
                    <w:bottom w:w="0" w:type="dxa"/>
                    <w:right w:w="0" w:type="dxa"/>
                  </w:tcMar>
                  <w:vAlign w:val="center"/>
                </w:tcPr>
                <w:p w14:paraId="3BD2FACD">
                  <w:pPr>
                    <w:adjustRightInd w:val="0"/>
                    <w:snapToGrid w:val="0"/>
                    <w:jc w:val="center"/>
                    <w:rPr>
                      <w:color w:val="auto"/>
                      <w:kern w:val="0"/>
                    </w:rPr>
                  </w:pPr>
                  <w:r>
                    <w:rPr>
                      <w:color w:val="auto"/>
                      <w:kern w:val="0"/>
                    </w:rPr>
                    <w:t>蜂窝式活性炭</w:t>
                  </w:r>
                </w:p>
              </w:tc>
            </w:tr>
            <w:tr w14:paraId="3E1046D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jc w:val="center"/>
              </w:trPr>
              <w:tc>
                <w:tcPr>
                  <w:tcW w:w="587" w:type="pct"/>
                  <w:tcBorders>
                    <w:tl2br w:val="nil"/>
                    <w:tr2bl w:val="nil"/>
                  </w:tcBorders>
                  <w:tcMar>
                    <w:top w:w="0" w:type="dxa"/>
                    <w:left w:w="0" w:type="dxa"/>
                    <w:bottom w:w="0" w:type="dxa"/>
                    <w:right w:w="0" w:type="dxa"/>
                  </w:tcMar>
                  <w:vAlign w:val="center"/>
                </w:tcPr>
                <w:p w14:paraId="1379B8FF">
                  <w:pPr>
                    <w:adjustRightInd w:val="0"/>
                    <w:snapToGrid w:val="0"/>
                    <w:jc w:val="center"/>
                    <w:rPr>
                      <w:color w:val="auto"/>
                      <w:kern w:val="0"/>
                    </w:rPr>
                  </w:pPr>
                  <w:r>
                    <w:rPr>
                      <w:color w:val="auto"/>
                      <w:kern w:val="0"/>
                    </w:rPr>
                    <w:t>3</w:t>
                  </w:r>
                </w:p>
              </w:tc>
              <w:tc>
                <w:tcPr>
                  <w:tcW w:w="1698" w:type="pct"/>
                  <w:tcBorders>
                    <w:tl2br w:val="nil"/>
                    <w:tr2bl w:val="nil"/>
                  </w:tcBorders>
                  <w:tcMar>
                    <w:top w:w="0" w:type="dxa"/>
                    <w:left w:w="0" w:type="dxa"/>
                    <w:bottom w:w="0" w:type="dxa"/>
                    <w:right w:w="0" w:type="dxa"/>
                  </w:tcMar>
                  <w:vAlign w:val="center"/>
                </w:tcPr>
                <w:p w14:paraId="7C678627">
                  <w:pPr>
                    <w:adjustRightInd w:val="0"/>
                    <w:snapToGrid w:val="0"/>
                    <w:jc w:val="center"/>
                    <w:rPr>
                      <w:color w:val="auto"/>
                      <w:kern w:val="0"/>
                    </w:rPr>
                  </w:pPr>
                  <w:r>
                    <w:rPr>
                      <w:color w:val="auto"/>
                      <w:kern w:val="0"/>
                    </w:rPr>
                    <w:t>活性炭碘值</w:t>
                  </w:r>
                </w:p>
              </w:tc>
              <w:tc>
                <w:tcPr>
                  <w:tcW w:w="922" w:type="pct"/>
                  <w:tcBorders>
                    <w:tl2br w:val="nil"/>
                    <w:tr2bl w:val="nil"/>
                  </w:tcBorders>
                  <w:tcMar>
                    <w:top w:w="0" w:type="dxa"/>
                    <w:left w:w="0" w:type="dxa"/>
                    <w:bottom w:w="0" w:type="dxa"/>
                    <w:right w:w="0" w:type="dxa"/>
                  </w:tcMar>
                  <w:vAlign w:val="center"/>
                </w:tcPr>
                <w:p w14:paraId="0E83D04D">
                  <w:pPr>
                    <w:adjustRightInd w:val="0"/>
                    <w:snapToGrid w:val="0"/>
                    <w:jc w:val="center"/>
                    <w:rPr>
                      <w:color w:val="auto"/>
                      <w:kern w:val="0"/>
                    </w:rPr>
                  </w:pPr>
                  <w:r>
                    <w:rPr>
                      <w:color w:val="auto"/>
                      <w:kern w:val="0"/>
                    </w:rPr>
                    <w:t>mg/g</w:t>
                  </w:r>
                </w:p>
              </w:tc>
              <w:tc>
                <w:tcPr>
                  <w:tcW w:w="1790" w:type="pct"/>
                  <w:tcBorders>
                    <w:tl2br w:val="nil"/>
                    <w:tr2bl w:val="nil"/>
                  </w:tcBorders>
                  <w:tcMar>
                    <w:top w:w="0" w:type="dxa"/>
                    <w:left w:w="0" w:type="dxa"/>
                    <w:bottom w:w="0" w:type="dxa"/>
                    <w:right w:w="0" w:type="dxa"/>
                  </w:tcMar>
                  <w:vAlign w:val="center"/>
                </w:tcPr>
                <w:p w14:paraId="45EC5BB3">
                  <w:pPr>
                    <w:adjustRightInd w:val="0"/>
                    <w:snapToGrid w:val="0"/>
                    <w:jc w:val="center"/>
                    <w:rPr>
                      <w:color w:val="auto"/>
                      <w:kern w:val="0"/>
                    </w:rPr>
                  </w:pPr>
                  <w:r>
                    <w:rPr>
                      <w:rFonts w:hint="eastAsia"/>
                      <w:color w:val="auto"/>
                      <w:kern w:val="0"/>
                    </w:rPr>
                    <w:t>650</w:t>
                  </w:r>
                </w:p>
              </w:tc>
            </w:tr>
            <w:tr w14:paraId="3545EAB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jc w:val="center"/>
              </w:trPr>
              <w:tc>
                <w:tcPr>
                  <w:tcW w:w="587" w:type="pct"/>
                  <w:tcBorders>
                    <w:tl2br w:val="nil"/>
                    <w:tr2bl w:val="nil"/>
                  </w:tcBorders>
                  <w:tcMar>
                    <w:top w:w="0" w:type="dxa"/>
                    <w:left w:w="0" w:type="dxa"/>
                    <w:bottom w:w="0" w:type="dxa"/>
                    <w:right w:w="0" w:type="dxa"/>
                  </w:tcMar>
                  <w:vAlign w:val="center"/>
                </w:tcPr>
                <w:p w14:paraId="5D2CDB9A">
                  <w:pPr>
                    <w:adjustRightInd w:val="0"/>
                    <w:snapToGrid w:val="0"/>
                    <w:jc w:val="center"/>
                    <w:rPr>
                      <w:color w:val="auto"/>
                      <w:kern w:val="0"/>
                    </w:rPr>
                  </w:pPr>
                  <w:r>
                    <w:rPr>
                      <w:color w:val="auto"/>
                      <w:kern w:val="0"/>
                    </w:rPr>
                    <w:t>4</w:t>
                  </w:r>
                </w:p>
              </w:tc>
              <w:tc>
                <w:tcPr>
                  <w:tcW w:w="1698" w:type="pct"/>
                  <w:tcBorders>
                    <w:tl2br w:val="nil"/>
                    <w:tr2bl w:val="nil"/>
                  </w:tcBorders>
                  <w:tcMar>
                    <w:top w:w="0" w:type="dxa"/>
                    <w:left w:w="0" w:type="dxa"/>
                    <w:bottom w:w="0" w:type="dxa"/>
                    <w:right w:w="0" w:type="dxa"/>
                  </w:tcMar>
                  <w:vAlign w:val="center"/>
                </w:tcPr>
                <w:p w14:paraId="7689A7B7">
                  <w:pPr>
                    <w:adjustRightInd w:val="0"/>
                    <w:snapToGrid w:val="0"/>
                    <w:jc w:val="center"/>
                    <w:rPr>
                      <w:color w:val="auto"/>
                      <w:kern w:val="0"/>
                    </w:rPr>
                  </w:pPr>
                  <w:r>
                    <w:rPr>
                      <w:color w:val="auto"/>
                      <w:kern w:val="0"/>
                    </w:rPr>
                    <w:t>活性炭密度</w:t>
                  </w:r>
                </w:p>
              </w:tc>
              <w:tc>
                <w:tcPr>
                  <w:tcW w:w="922" w:type="pct"/>
                  <w:tcBorders>
                    <w:tl2br w:val="nil"/>
                    <w:tr2bl w:val="nil"/>
                  </w:tcBorders>
                  <w:tcMar>
                    <w:top w:w="0" w:type="dxa"/>
                    <w:left w:w="0" w:type="dxa"/>
                    <w:bottom w:w="0" w:type="dxa"/>
                    <w:right w:w="0" w:type="dxa"/>
                  </w:tcMar>
                  <w:vAlign w:val="center"/>
                </w:tcPr>
                <w:p w14:paraId="65C4F11B">
                  <w:pPr>
                    <w:adjustRightInd w:val="0"/>
                    <w:snapToGrid w:val="0"/>
                    <w:jc w:val="center"/>
                    <w:rPr>
                      <w:color w:val="auto"/>
                      <w:kern w:val="0"/>
                    </w:rPr>
                  </w:pPr>
                  <w:r>
                    <w:rPr>
                      <w:color w:val="auto"/>
                      <w:kern w:val="0"/>
                    </w:rPr>
                    <w:t>g/cm</w:t>
                  </w:r>
                  <w:r>
                    <w:rPr>
                      <w:color w:val="auto"/>
                      <w:kern w:val="0"/>
                      <w:vertAlign w:val="superscript"/>
                    </w:rPr>
                    <w:t>3</w:t>
                  </w:r>
                </w:p>
              </w:tc>
              <w:tc>
                <w:tcPr>
                  <w:tcW w:w="1790" w:type="pct"/>
                  <w:tcBorders>
                    <w:tl2br w:val="nil"/>
                    <w:tr2bl w:val="nil"/>
                  </w:tcBorders>
                  <w:tcMar>
                    <w:top w:w="0" w:type="dxa"/>
                    <w:left w:w="0" w:type="dxa"/>
                    <w:bottom w:w="0" w:type="dxa"/>
                    <w:right w:w="0" w:type="dxa"/>
                  </w:tcMar>
                  <w:vAlign w:val="center"/>
                </w:tcPr>
                <w:p w14:paraId="22AF3DE8">
                  <w:pPr>
                    <w:adjustRightInd w:val="0"/>
                    <w:snapToGrid w:val="0"/>
                    <w:jc w:val="center"/>
                    <w:rPr>
                      <w:color w:val="auto"/>
                      <w:kern w:val="0"/>
                    </w:rPr>
                  </w:pPr>
                  <w:r>
                    <w:rPr>
                      <w:rFonts w:hint="eastAsia"/>
                      <w:color w:val="auto"/>
                      <w:kern w:val="0"/>
                    </w:rPr>
                    <w:t>0.4</w:t>
                  </w:r>
                </w:p>
              </w:tc>
            </w:tr>
            <w:tr w14:paraId="7010D7C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jc w:val="center"/>
              </w:trPr>
              <w:tc>
                <w:tcPr>
                  <w:tcW w:w="587" w:type="pct"/>
                  <w:tcBorders>
                    <w:tl2br w:val="nil"/>
                    <w:tr2bl w:val="nil"/>
                  </w:tcBorders>
                  <w:tcMar>
                    <w:top w:w="0" w:type="dxa"/>
                    <w:left w:w="0" w:type="dxa"/>
                    <w:bottom w:w="0" w:type="dxa"/>
                    <w:right w:w="0" w:type="dxa"/>
                  </w:tcMar>
                  <w:vAlign w:val="center"/>
                </w:tcPr>
                <w:p w14:paraId="0B1D9B6A">
                  <w:pPr>
                    <w:adjustRightInd w:val="0"/>
                    <w:snapToGrid w:val="0"/>
                    <w:jc w:val="center"/>
                    <w:rPr>
                      <w:color w:val="auto"/>
                      <w:kern w:val="0"/>
                    </w:rPr>
                  </w:pPr>
                  <w:r>
                    <w:rPr>
                      <w:color w:val="auto"/>
                      <w:kern w:val="0"/>
                    </w:rPr>
                    <w:t>5</w:t>
                  </w:r>
                </w:p>
              </w:tc>
              <w:tc>
                <w:tcPr>
                  <w:tcW w:w="1698" w:type="pct"/>
                  <w:tcBorders>
                    <w:tl2br w:val="nil"/>
                    <w:tr2bl w:val="nil"/>
                  </w:tcBorders>
                  <w:tcMar>
                    <w:top w:w="0" w:type="dxa"/>
                    <w:left w:w="0" w:type="dxa"/>
                    <w:bottom w:w="0" w:type="dxa"/>
                    <w:right w:w="0" w:type="dxa"/>
                  </w:tcMar>
                  <w:vAlign w:val="center"/>
                </w:tcPr>
                <w:p w14:paraId="5E66A9A8">
                  <w:pPr>
                    <w:adjustRightInd w:val="0"/>
                    <w:snapToGrid w:val="0"/>
                    <w:jc w:val="center"/>
                    <w:rPr>
                      <w:color w:val="auto"/>
                      <w:kern w:val="0"/>
                    </w:rPr>
                  </w:pPr>
                  <w:r>
                    <w:rPr>
                      <w:color w:val="auto"/>
                      <w:kern w:val="0"/>
                    </w:rPr>
                    <w:t>过滤风速</w:t>
                  </w:r>
                </w:p>
              </w:tc>
              <w:tc>
                <w:tcPr>
                  <w:tcW w:w="922" w:type="pct"/>
                  <w:tcBorders>
                    <w:tl2br w:val="nil"/>
                    <w:tr2bl w:val="nil"/>
                  </w:tcBorders>
                  <w:tcMar>
                    <w:top w:w="0" w:type="dxa"/>
                    <w:left w:w="0" w:type="dxa"/>
                    <w:bottom w:w="0" w:type="dxa"/>
                    <w:right w:w="0" w:type="dxa"/>
                  </w:tcMar>
                  <w:vAlign w:val="center"/>
                </w:tcPr>
                <w:p w14:paraId="00F7A03F">
                  <w:pPr>
                    <w:adjustRightInd w:val="0"/>
                    <w:snapToGrid w:val="0"/>
                    <w:jc w:val="center"/>
                    <w:rPr>
                      <w:color w:val="auto"/>
                      <w:kern w:val="0"/>
                    </w:rPr>
                  </w:pPr>
                  <w:r>
                    <w:rPr>
                      <w:color w:val="auto"/>
                      <w:kern w:val="0"/>
                    </w:rPr>
                    <w:t>m/s</w:t>
                  </w:r>
                </w:p>
              </w:tc>
              <w:tc>
                <w:tcPr>
                  <w:tcW w:w="1790" w:type="pct"/>
                  <w:tcBorders>
                    <w:tl2br w:val="nil"/>
                    <w:tr2bl w:val="nil"/>
                  </w:tcBorders>
                  <w:tcMar>
                    <w:top w:w="0" w:type="dxa"/>
                    <w:left w:w="0" w:type="dxa"/>
                    <w:bottom w:w="0" w:type="dxa"/>
                    <w:right w:w="0" w:type="dxa"/>
                  </w:tcMar>
                  <w:vAlign w:val="center"/>
                </w:tcPr>
                <w:p w14:paraId="63B7BB1D">
                  <w:pPr>
                    <w:adjustRightInd w:val="0"/>
                    <w:snapToGrid w:val="0"/>
                    <w:jc w:val="center"/>
                    <w:rPr>
                      <w:color w:val="auto"/>
                      <w:kern w:val="0"/>
                    </w:rPr>
                  </w:pPr>
                  <w:r>
                    <w:rPr>
                      <w:rFonts w:hint="eastAsia"/>
                      <w:color w:val="auto"/>
                      <w:kern w:val="0"/>
                    </w:rPr>
                    <w:t>1.04</w:t>
                  </w:r>
                </w:p>
              </w:tc>
            </w:tr>
            <w:tr w14:paraId="17D3CAC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jc w:val="center"/>
              </w:trPr>
              <w:tc>
                <w:tcPr>
                  <w:tcW w:w="587" w:type="pct"/>
                  <w:tcBorders>
                    <w:tl2br w:val="nil"/>
                    <w:tr2bl w:val="nil"/>
                  </w:tcBorders>
                  <w:tcMar>
                    <w:top w:w="0" w:type="dxa"/>
                    <w:left w:w="0" w:type="dxa"/>
                    <w:bottom w:w="0" w:type="dxa"/>
                    <w:right w:w="0" w:type="dxa"/>
                  </w:tcMar>
                  <w:vAlign w:val="center"/>
                </w:tcPr>
                <w:p w14:paraId="05A95C83">
                  <w:pPr>
                    <w:adjustRightInd w:val="0"/>
                    <w:snapToGrid w:val="0"/>
                    <w:jc w:val="center"/>
                    <w:rPr>
                      <w:color w:val="auto"/>
                      <w:kern w:val="0"/>
                    </w:rPr>
                  </w:pPr>
                  <w:r>
                    <w:rPr>
                      <w:color w:val="auto"/>
                      <w:kern w:val="0"/>
                    </w:rPr>
                    <w:t>6</w:t>
                  </w:r>
                </w:p>
              </w:tc>
              <w:tc>
                <w:tcPr>
                  <w:tcW w:w="1698" w:type="pct"/>
                  <w:tcBorders>
                    <w:tl2br w:val="nil"/>
                    <w:tr2bl w:val="nil"/>
                  </w:tcBorders>
                  <w:tcMar>
                    <w:top w:w="0" w:type="dxa"/>
                    <w:left w:w="0" w:type="dxa"/>
                    <w:bottom w:w="0" w:type="dxa"/>
                    <w:right w:w="0" w:type="dxa"/>
                  </w:tcMar>
                  <w:vAlign w:val="center"/>
                </w:tcPr>
                <w:p w14:paraId="6D473B93">
                  <w:pPr>
                    <w:adjustRightInd w:val="0"/>
                    <w:snapToGrid w:val="0"/>
                    <w:jc w:val="center"/>
                    <w:rPr>
                      <w:color w:val="auto"/>
                      <w:kern w:val="0"/>
                    </w:rPr>
                  </w:pPr>
                  <w:r>
                    <w:rPr>
                      <w:color w:val="auto"/>
                      <w:kern w:val="0"/>
                    </w:rPr>
                    <w:t>设备数量</w:t>
                  </w:r>
                </w:p>
              </w:tc>
              <w:tc>
                <w:tcPr>
                  <w:tcW w:w="922" w:type="pct"/>
                  <w:tcBorders>
                    <w:tl2br w:val="nil"/>
                    <w:tr2bl w:val="nil"/>
                  </w:tcBorders>
                  <w:tcMar>
                    <w:top w:w="0" w:type="dxa"/>
                    <w:left w:w="0" w:type="dxa"/>
                    <w:bottom w:w="0" w:type="dxa"/>
                    <w:right w:w="0" w:type="dxa"/>
                  </w:tcMar>
                  <w:vAlign w:val="center"/>
                </w:tcPr>
                <w:p w14:paraId="71972193">
                  <w:pPr>
                    <w:adjustRightInd w:val="0"/>
                    <w:snapToGrid w:val="0"/>
                    <w:jc w:val="center"/>
                    <w:rPr>
                      <w:color w:val="auto"/>
                      <w:kern w:val="0"/>
                    </w:rPr>
                  </w:pPr>
                  <w:r>
                    <w:rPr>
                      <w:color w:val="auto"/>
                      <w:kern w:val="0"/>
                    </w:rPr>
                    <w:t>台</w:t>
                  </w:r>
                </w:p>
              </w:tc>
              <w:tc>
                <w:tcPr>
                  <w:tcW w:w="1790" w:type="pct"/>
                  <w:tcBorders>
                    <w:tl2br w:val="nil"/>
                    <w:tr2bl w:val="nil"/>
                  </w:tcBorders>
                  <w:tcMar>
                    <w:top w:w="0" w:type="dxa"/>
                    <w:left w:w="0" w:type="dxa"/>
                    <w:bottom w:w="0" w:type="dxa"/>
                    <w:right w:w="0" w:type="dxa"/>
                  </w:tcMar>
                  <w:vAlign w:val="center"/>
                </w:tcPr>
                <w:p w14:paraId="41E76BCF">
                  <w:pPr>
                    <w:adjustRightInd w:val="0"/>
                    <w:snapToGrid w:val="0"/>
                    <w:jc w:val="center"/>
                    <w:rPr>
                      <w:color w:val="auto"/>
                      <w:kern w:val="0"/>
                    </w:rPr>
                  </w:pPr>
                  <w:r>
                    <w:rPr>
                      <w:color w:val="auto"/>
                      <w:kern w:val="0"/>
                    </w:rPr>
                    <w:t>2</w:t>
                  </w:r>
                </w:p>
              </w:tc>
            </w:tr>
            <w:tr w14:paraId="2516ED1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jc w:val="center"/>
              </w:trPr>
              <w:tc>
                <w:tcPr>
                  <w:tcW w:w="587" w:type="pct"/>
                  <w:tcBorders>
                    <w:tl2br w:val="nil"/>
                    <w:tr2bl w:val="nil"/>
                  </w:tcBorders>
                  <w:tcMar>
                    <w:top w:w="0" w:type="dxa"/>
                    <w:left w:w="0" w:type="dxa"/>
                    <w:bottom w:w="0" w:type="dxa"/>
                    <w:right w:w="0" w:type="dxa"/>
                  </w:tcMar>
                  <w:vAlign w:val="center"/>
                </w:tcPr>
                <w:p w14:paraId="32FD1B5E">
                  <w:pPr>
                    <w:adjustRightInd w:val="0"/>
                    <w:snapToGrid w:val="0"/>
                    <w:jc w:val="center"/>
                    <w:rPr>
                      <w:color w:val="auto"/>
                      <w:kern w:val="0"/>
                    </w:rPr>
                  </w:pPr>
                  <w:r>
                    <w:rPr>
                      <w:color w:val="auto"/>
                      <w:kern w:val="0"/>
                    </w:rPr>
                    <w:t>7</w:t>
                  </w:r>
                </w:p>
              </w:tc>
              <w:tc>
                <w:tcPr>
                  <w:tcW w:w="1698" w:type="pct"/>
                  <w:tcBorders>
                    <w:tl2br w:val="nil"/>
                    <w:tr2bl w:val="nil"/>
                  </w:tcBorders>
                  <w:tcMar>
                    <w:top w:w="0" w:type="dxa"/>
                    <w:left w:w="0" w:type="dxa"/>
                    <w:bottom w:w="0" w:type="dxa"/>
                    <w:right w:w="0" w:type="dxa"/>
                  </w:tcMar>
                  <w:vAlign w:val="center"/>
                </w:tcPr>
                <w:p w14:paraId="004DDDDD">
                  <w:pPr>
                    <w:adjustRightInd w:val="0"/>
                    <w:snapToGrid w:val="0"/>
                    <w:jc w:val="center"/>
                    <w:rPr>
                      <w:color w:val="auto"/>
                      <w:kern w:val="0"/>
                    </w:rPr>
                  </w:pPr>
                  <w:r>
                    <w:rPr>
                      <w:color w:val="auto"/>
                      <w:kern w:val="0"/>
                    </w:rPr>
                    <w:t>填充量</w:t>
                  </w:r>
                </w:p>
              </w:tc>
              <w:tc>
                <w:tcPr>
                  <w:tcW w:w="922" w:type="pct"/>
                  <w:tcBorders>
                    <w:tl2br w:val="nil"/>
                    <w:tr2bl w:val="nil"/>
                  </w:tcBorders>
                  <w:tcMar>
                    <w:top w:w="0" w:type="dxa"/>
                    <w:left w:w="0" w:type="dxa"/>
                    <w:bottom w:w="0" w:type="dxa"/>
                    <w:right w:w="0" w:type="dxa"/>
                  </w:tcMar>
                  <w:vAlign w:val="center"/>
                </w:tcPr>
                <w:p w14:paraId="26C2C013">
                  <w:pPr>
                    <w:adjustRightInd w:val="0"/>
                    <w:snapToGrid w:val="0"/>
                    <w:jc w:val="center"/>
                    <w:rPr>
                      <w:color w:val="auto"/>
                      <w:kern w:val="0"/>
                    </w:rPr>
                  </w:pPr>
                  <w:r>
                    <w:rPr>
                      <w:rFonts w:hint="eastAsia"/>
                      <w:color w:val="auto"/>
                      <w:kern w:val="0"/>
                    </w:rPr>
                    <w:t>kg</w:t>
                  </w:r>
                </w:p>
              </w:tc>
              <w:tc>
                <w:tcPr>
                  <w:tcW w:w="1790" w:type="pct"/>
                  <w:tcBorders>
                    <w:tl2br w:val="nil"/>
                    <w:tr2bl w:val="nil"/>
                  </w:tcBorders>
                  <w:tcMar>
                    <w:top w:w="0" w:type="dxa"/>
                    <w:left w:w="0" w:type="dxa"/>
                    <w:bottom w:w="0" w:type="dxa"/>
                    <w:right w:w="0" w:type="dxa"/>
                  </w:tcMar>
                  <w:vAlign w:val="center"/>
                </w:tcPr>
                <w:p w14:paraId="26CD08B6">
                  <w:pPr>
                    <w:adjustRightInd w:val="0"/>
                    <w:snapToGrid w:val="0"/>
                    <w:jc w:val="center"/>
                    <w:rPr>
                      <w:color w:val="auto"/>
                      <w:kern w:val="0"/>
                    </w:rPr>
                  </w:pPr>
                  <w:r>
                    <w:rPr>
                      <w:color w:val="auto"/>
                      <w:kern w:val="0"/>
                    </w:rPr>
                    <w:t>二级，每级</w:t>
                  </w:r>
                  <w:r>
                    <w:rPr>
                      <w:rFonts w:hint="eastAsia"/>
                      <w:color w:val="auto"/>
                      <w:kern w:val="0"/>
                      <w:lang w:val="en-US" w:eastAsia="zh-CN"/>
                    </w:rPr>
                    <w:t>300</w:t>
                  </w:r>
                  <w:r>
                    <w:rPr>
                      <w:rFonts w:hint="eastAsia"/>
                      <w:color w:val="auto"/>
                      <w:kern w:val="0"/>
                    </w:rPr>
                    <w:t>kg</w:t>
                  </w:r>
                </w:p>
              </w:tc>
            </w:tr>
            <w:tr w14:paraId="7DF67CC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jc w:val="center"/>
              </w:trPr>
              <w:tc>
                <w:tcPr>
                  <w:tcW w:w="587" w:type="pct"/>
                  <w:tcBorders>
                    <w:tl2br w:val="nil"/>
                    <w:tr2bl w:val="nil"/>
                  </w:tcBorders>
                  <w:tcMar>
                    <w:top w:w="0" w:type="dxa"/>
                    <w:left w:w="0" w:type="dxa"/>
                    <w:bottom w:w="0" w:type="dxa"/>
                    <w:right w:w="0" w:type="dxa"/>
                  </w:tcMar>
                  <w:vAlign w:val="center"/>
                </w:tcPr>
                <w:p w14:paraId="31FD31D2">
                  <w:pPr>
                    <w:adjustRightInd w:val="0"/>
                    <w:snapToGrid w:val="0"/>
                    <w:jc w:val="center"/>
                    <w:rPr>
                      <w:color w:val="auto"/>
                      <w:kern w:val="0"/>
                    </w:rPr>
                  </w:pPr>
                  <w:r>
                    <w:rPr>
                      <w:color w:val="auto"/>
                      <w:kern w:val="0"/>
                    </w:rPr>
                    <w:t>8</w:t>
                  </w:r>
                </w:p>
              </w:tc>
              <w:tc>
                <w:tcPr>
                  <w:tcW w:w="1698" w:type="pct"/>
                  <w:tcBorders>
                    <w:tl2br w:val="nil"/>
                    <w:tr2bl w:val="nil"/>
                  </w:tcBorders>
                  <w:tcMar>
                    <w:top w:w="0" w:type="dxa"/>
                    <w:left w:w="0" w:type="dxa"/>
                    <w:bottom w:w="0" w:type="dxa"/>
                    <w:right w:w="0" w:type="dxa"/>
                  </w:tcMar>
                  <w:vAlign w:val="center"/>
                </w:tcPr>
                <w:p w14:paraId="7582204F">
                  <w:pPr>
                    <w:adjustRightInd w:val="0"/>
                    <w:snapToGrid w:val="0"/>
                    <w:jc w:val="center"/>
                    <w:rPr>
                      <w:color w:val="auto"/>
                      <w:kern w:val="0"/>
                    </w:rPr>
                  </w:pPr>
                  <w:r>
                    <w:rPr>
                      <w:color w:val="auto"/>
                      <w:kern w:val="0"/>
                    </w:rPr>
                    <w:t>填充层</w:t>
                  </w:r>
                </w:p>
              </w:tc>
              <w:tc>
                <w:tcPr>
                  <w:tcW w:w="922" w:type="pct"/>
                  <w:tcBorders>
                    <w:tl2br w:val="nil"/>
                    <w:tr2bl w:val="nil"/>
                  </w:tcBorders>
                  <w:tcMar>
                    <w:top w:w="0" w:type="dxa"/>
                    <w:left w:w="0" w:type="dxa"/>
                    <w:bottom w:w="0" w:type="dxa"/>
                    <w:right w:w="0" w:type="dxa"/>
                  </w:tcMar>
                  <w:vAlign w:val="center"/>
                </w:tcPr>
                <w:p w14:paraId="7AED9DA4">
                  <w:pPr>
                    <w:adjustRightInd w:val="0"/>
                    <w:snapToGrid w:val="0"/>
                    <w:jc w:val="center"/>
                    <w:rPr>
                      <w:color w:val="auto"/>
                      <w:kern w:val="0"/>
                    </w:rPr>
                  </w:pPr>
                  <w:r>
                    <w:rPr>
                      <w:color w:val="auto"/>
                      <w:kern w:val="0"/>
                    </w:rPr>
                    <w:t>层</w:t>
                  </w:r>
                </w:p>
              </w:tc>
              <w:tc>
                <w:tcPr>
                  <w:tcW w:w="1790" w:type="pct"/>
                  <w:tcBorders>
                    <w:tl2br w:val="nil"/>
                    <w:tr2bl w:val="nil"/>
                  </w:tcBorders>
                  <w:tcMar>
                    <w:top w:w="0" w:type="dxa"/>
                    <w:left w:w="0" w:type="dxa"/>
                    <w:bottom w:w="0" w:type="dxa"/>
                    <w:right w:w="0" w:type="dxa"/>
                  </w:tcMar>
                  <w:vAlign w:val="center"/>
                </w:tcPr>
                <w:p w14:paraId="144BD149">
                  <w:pPr>
                    <w:adjustRightInd w:val="0"/>
                    <w:snapToGrid w:val="0"/>
                    <w:jc w:val="center"/>
                    <w:rPr>
                      <w:color w:val="auto"/>
                      <w:kern w:val="0"/>
                    </w:rPr>
                  </w:pPr>
                  <w:r>
                    <w:rPr>
                      <w:color w:val="auto"/>
                      <w:kern w:val="0"/>
                    </w:rPr>
                    <w:t>2</w:t>
                  </w:r>
                </w:p>
              </w:tc>
            </w:tr>
            <w:tr w14:paraId="06E18D3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jc w:val="center"/>
              </w:trPr>
              <w:tc>
                <w:tcPr>
                  <w:tcW w:w="587" w:type="pct"/>
                  <w:tcBorders>
                    <w:tl2br w:val="nil"/>
                    <w:tr2bl w:val="nil"/>
                  </w:tcBorders>
                  <w:tcMar>
                    <w:top w:w="0" w:type="dxa"/>
                    <w:left w:w="0" w:type="dxa"/>
                    <w:bottom w:w="0" w:type="dxa"/>
                    <w:right w:w="0" w:type="dxa"/>
                  </w:tcMar>
                  <w:vAlign w:val="center"/>
                </w:tcPr>
                <w:p w14:paraId="65518AF5">
                  <w:pPr>
                    <w:adjustRightInd w:val="0"/>
                    <w:snapToGrid w:val="0"/>
                    <w:jc w:val="center"/>
                    <w:rPr>
                      <w:color w:val="auto"/>
                      <w:kern w:val="0"/>
                    </w:rPr>
                  </w:pPr>
                  <w:r>
                    <w:rPr>
                      <w:color w:val="auto"/>
                      <w:kern w:val="0"/>
                    </w:rPr>
                    <w:t>9</w:t>
                  </w:r>
                </w:p>
              </w:tc>
              <w:tc>
                <w:tcPr>
                  <w:tcW w:w="1698" w:type="pct"/>
                  <w:tcBorders>
                    <w:tl2br w:val="nil"/>
                    <w:tr2bl w:val="nil"/>
                  </w:tcBorders>
                  <w:tcMar>
                    <w:top w:w="0" w:type="dxa"/>
                    <w:left w:w="0" w:type="dxa"/>
                    <w:bottom w:w="0" w:type="dxa"/>
                    <w:right w:w="0" w:type="dxa"/>
                  </w:tcMar>
                  <w:vAlign w:val="center"/>
                </w:tcPr>
                <w:p w14:paraId="58021729">
                  <w:pPr>
                    <w:adjustRightInd w:val="0"/>
                    <w:snapToGrid w:val="0"/>
                    <w:jc w:val="center"/>
                    <w:rPr>
                      <w:color w:val="auto"/>
                      <w:kern w:val="0"/>
                    </w:rPr>
                  </w:pPr>
                  <w:r>
                    <w:rPr>
                      <w:color w:val="auto"/>
                      <w:kern w:val="0"/>
                    </w:rPr>
                    <w:t>更换周期</w:t>
                  </w:r>
                </w:p>
              </w:tc>
              <w:tc>
                <w:tcPr>
                  <w:tcW w:w="922" w:type="pct"/>
                  <w:tcBorders>
                    <w:tl2br w:val="nil"/>
                    <w:tr2bl w:val="nil"/>
                  </w:tcBorders>
                  <w:tcMar>
                    <w:top w:w="0" w:type="dxa"/>
                    <w:left w:w="0" w:type="dxa"/>
                    <w:bottom w:w="0" w:type="dxa"/>
                    <w:right w:w="0" w:type="dxa"/>
                  </w:tcMar>
                  <w:vAlign w:val="center"/>
                </w:tcPr>
                <w:p w14:paraId="5431BEB5">
                  <w:pPr>
                    <w:adjustRightInd w:val="0"/>
                    <w:snapToGrid w:val="0"/>
                    <w:jc w:val="center"/>
                    <w:rPr>
                      <w:color w:val="auto"/>
                      <w:kern w:val="0"/>
                    </w:rPr>
                  </w:pPr>
                  <w:r>
                    <w:rPr>
                      <w:color w:val="auto"/>
                      <w:kern w:val="0"/>
                    </w:rPr>
                    <w:t>—</w:t>
                  </w:r>
                </w:p>
              </w:tc>
              <w:tc>
                <w:tcPr>
                  <w:tcW w:w="1790" w:type="pct"/>
                  <w:tcBorders>
                    <w:tl2br w:val="nil"/>
                    <w:tr2bl w:val="nil"/>
                  </w:tcBorders>
                  <w:tcMar>
                    <w:top w:w="0" w:type="dxa"/>
                    <w:left w:w="0" w:type="dxa"/>
                    <w:bottom w:w="0" w:type="dxa"/>
                    <w:right w:w="0" w:type="dxa"/>
                  </w:tcMar>
                  <w:vAlign w:val="center"/>
                </w:tcPr>
                <w:p w14:paraId="12839700">
                  <w:pPr>
                    <w:adjustRightInd w:val="0"/>
                    <w:snapToGrid w:val="0"/>
                    <w:jc w:val="center"/>
                    <w:rPr>
                      <w:rFonts w:hint="default" w:eastAsia="宋体"/>
                      <w:color w:val="auto"/>
                      <w:kern w:val="0"/>
                      <w:lang w:val="en-US" w:eastAsia="zh-CN"/>
                    </w:rPr>
                  </w:pPr>
                  <w:r>
                    <w:rPr>
                      <w:color w:val="auto"/>
                      <w:kern w:val="0"/>
                    </w:rPr>
                    <w:t>每</w:t>
                  </w:r>
                  <w:r>
                    <w:rPr>
                      <w:rFonts w:hint="eastAsia"/>
                      <w:color w:val="auto"/>
                      <w:kern w:val="0"/>
                      <w:lang w:val="en-US" w:eastAsia="zh-CN"/>
                    </w:rPr>
                    <w:t>40d更换1次</w:t>
                  </w:r>
                </w:p>
              </w:tc>
            </w:tr>
            <w:tr w14:paraId="3C6F159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jc w:val="center"/>
              </w:trPr>
              <w:tc>
                <w:tcPr>
                  <w:tcW w:w="587" w:type="pct"/>
                  <w:tcBorders>
                    <w:tl2br w:val="nil"/>
                    <w:tr2bl w:val="nil"/>
                  </w:tcBorders>
                  <w:tcMar>
                    <w:top w:w="0" w:type="dxa"/>
                    <w:left w:w="0" w:type="dxa"/>
                    <w:bottom w:w="0" w:type="dxa"/>
                    <w:right w:w="0" w:type="dxa"/>
                  </w:tcMar>
                  <w:vAlign w:val="center"/>
                </w:tcPr>
                <w:p w14:paraId="51486E8E">
                  <w:pPr>
                    <w:adjustRightInd w:val="0"/>
                    <w:snapToGrid w:val="0"/>
                    <w:jc w:val="center"/>
                    <w:rPr>
                      <w:color w:val="auto"/>
                      <w:kern w:val="0"/>
                    </w:rPr>
                  </w:pPr>
                  <w:r>
                    <w:rPr>
                      <w:color w:val="auto"/>
                      <w:kern w:val="0"/>
                    </w:rPr>
                    <w:t>10</w:t>
                  </w:r>
                </w:p>
              </w:tc>
              <w:tc>
                <w:tcPr>
                  <w:tcW w:w="1698" w:type="pct"/>
                  <w:vMerge w:val="restart"/>
                  <w:tcBorders>
                    <w:tl2br w:val="nil"/>
                    <w:tr2bl w:val="nil"/>
                  </w:tcBorders>
                  <w:tcMar>
                    <w:top w:w="0" w:type="dxa"/>
                    <w:left w:w="0" w:type="dxa"/>
                    <w:bottom w:w="0" w:type="dxa"/>
                    <w:right w:w="0" w:type="dxa"/>
                  </w:tcMar>
                  <w:vAlign w:val="center"/>
                </w:tcPr>
                <w:p w14:paraId="3CF0A0A4">
                  <w:pPr>
                    <w:adjustRightInd w:val="0"/>
                    <w:snapToGrid w:val="0"/>
                    <w:jc w:val="center"/>
                    <w:rPr>
                      <w:color w:val="auto"/>
                      <w:kern w:val="0"/>
                    </w:rPr>
                  </w:pPr>
                  <w:r>
                    <w:rPr>
                      <w:color w:val="auto"/>
                      <w:kern w:val="0"/>
                    </w:rPr>
                    <w:t>排气筒参数</w:t>
                  </w:r>
                </w:p>
              </w:tc>
              <w:tc>
                <w:tcPr>
                  <w:tcW w:w="922" w:type="pct"/>
                  <w:tcBorders>
                    <w:tl2br w:val="nil"/>
                    <w:tr2bl w:val="nil"/>
                  </w:tcBorders>
                  <w:tcMar>
                    <w:top w:w="0" w:type="dxa"/>
                    <w:left w:w="0" w:type="dxa"/>
                    <w:bottom w:w="0" w:type="dxa"/>
                    <w:right w:w="0" w:type="dxa"/>
                  </w:tcMar>
                  <w:vAlign w:val="center"/>
                </w:tcPr>
                <w:p w14:paraId="3623EE12">
                  <w:pPr>
                    <w:adjustRightInd w:val="0"/>
                    <w:snapToGrid w:val="0"/>
                    <w:jc w:val="center"/>
                    <w:rPr>
                      <w:color w:val="auto"/>
                      <w:kern w:val="0"/>
                    </w:rPr>
                  </w:pPr>
                  <w:r>
                    <w:rPr>
                      <w:color w:val="auto"/>
                      <w:kern w:val="0"/>
                    </w:rPr>
                    <w:t>高度</w:t>
                  </w:r>
                </w:p>
              </w:tc>
              <w:tc>
                <w:tcPr>
                  <w:tcW w:w="1790" w:type="pct"/>
                  <w:tcBorders>
                    <w:tl2br w:val="nil"/>
                    <w:tr2bl w:val="nil"/>
                  </w:tcBorders>
                  <w:tcMar>
                    <w:top w:w="0" w:type="dxa"/>
                    <w:left w:w="0" w:type="dxa"/>
                    <w:bottom w:w="0" w:type="dxa"/>
                    <w:right w:w="0" w:type="dxa"/>
                  </w:tcMar>
                  <w:vAlign w:val="center"/>
                </w:tcPr>
                <w:p w14:paraId="073B1237">
                  <w:pPr>
                    <w:adjustRightInd w:val="0"/>
                    <w:snapToGrid w:val="0"/>
                    <w:jc w:val="center"/>
                    <w:rPr>
                      <w:rFonts w:hint="default" w:eastAsia="宋体"/>
                      <w:color w:val="auto"/>
                      <w:kern w:val="0"/>
                      <w:lang w:val="en-US" w:eastAsia="zh-CN"/>
                    </w:rPr>
                  </w:pPr>
                  <w:r>
                    <w:rPr>
                      <w:rFonts w:hint="eastAsia"/>
                      <w:color w:val="auto"/>
                      <w:kern w:val="0"/>
                      <w:lang w:val="en-US" w:eastAsia="zh-CN"/>
                    </w:rPr>
                    <w:t>15</w:t>
                  </w:r>
                </w:p>
              </w:tc>
            </w:tr>
            <w:tr w14:paraId="5D592EC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jc w:val="center"/>
              </w:trPr>
              <w:tc>
                <w:tcPr>
                  <w:tcW w:w="587" w:type="pct"/>
                  <w:tcBorders>
                    <w:tl2br w:val="nil"/>
                    <w:tr2bl w:val="nil"/>
                  </w:tcBorders>
                  <w:tcMar>
                    <w:top w:w="0" w:type="dxa"/>
                    <w:left w:w="0" w:type="dxa"/>
                    <w:bottom w:w="0" w:type="dxa"/>
                    <w:right w:w="0" w:type="dxa"/>
                  </w:tcMar>
                  <w:vAlign w:val="center"/>
                </w:tcPr>
                <w:p w14:paraId="0ECA624F">
                  <w:pPr>
                    <w:adjustRightInd w:val="0"/>
                    <w:snapToGrid w:val="0"/>
                    <w:jc w:val="center"/>
                    <w:rPr>
                      <w:color w:val="auto"/>
                      <w:kern w:val="0"/>
                    </w:rPr>
                  </w:pPr>
                  <w:r>
                    <w:rPr>
                      <w:color w:val="auto"/>
                      <w:kern w:val="0"/>
                    </w:rPr>
                    <w:t>11</w:t>
                  </w:r>
                </w:p>
              </w:tc>
              <w:tc>
                <w:tcPr>
                  <w:tcW w:w="1698" w:type="pct"/>
                  <w:vMerge w:val="continue"/>
                  <w:tcBorders>
                    <w:tl2br w:val="nil"/>
                    <w:tr2bl w:val="nil"/>
                  </w:tcBorders>
                  <w:tcMar>
                    <w:top w:w="0" w:type="dxa"/>
                    <w:left w:w="0" w:type="dxa"/>
                    <w:bottom w:w="0" w:type="dxa"/>
                    <w:right w:w="0" w:type="dxa"/>
                  </w:tcMar>
                  <w:vAlign w:val="center"/>
                </w:tcPr>
                <w:p w14:paraId="233449F4">
                  <w:pPr>
                    <w:adjustRightInd w:val="0"/>
                    <w:snapToGrid w:val="0"/>
                    <w:jc w:val="center"/>
                    <w:rPr>
                      <w:color w:val="auto"/>
                      <w:kern w:val="0"/>
                    </w:rPr>
                  </w:pPr>
                </w:p>
              </w:tc>
              <w:tc>
                <w:tcPr>
                  <w:tcW w:w="922" w:type="pct"/>
                  <w:tcBorders>
                    <w:tl2br w:val="nil"/>
                    <w:tr2bl w:val="nil"/>
                  </w:tcBorders>
                  <w:tcMar>
                    <w:top w:w="0" w:type="dxa"/>
                    <w:left w:w="0" w:type="dxa"/>
                    <w:bottom w:w="0" w:type="dxa"/>
                    <w:right w:w="0" w:type="dxa"/>
                  </w:tcMar>
                  <w:vAlign w:val="center"/>
                </w:tcPr>
                <w:p w14:paraId="4CF8D937">
                  <w:pPr>
                    <w:adjustRightInd w:val="0"/>
                    <w:snapToGrid w:val="0"/>
                    <w:jc w:val="center"/>
                    <w:rPr>
                      <w:color w:val="auto"/>
                      <w:kern w:val="0"/>
                    </w:rPr>
                  </w:pPr>
                  <w:r>
                    <w:rPr>
                      <w:color w:val="auto"/>
                      <w:kern w:val="0"/>
                    </w:rPr>
                    <w:t>直径</w:t>
                  </w:r>
                </w:p>
              </w:tc>
              <w:tc>
                <w:tcPr>
                  <w:tcW w:w="1790" w:type="pct"/>
                  <w:tcBorders>
                    <w:tl2br w:val="nil"/>
                    <w:tr2bl w:val="nil"/>
                  </w:tcBorders>
                  <w:tcMar>
                    <w:top w:w="0" w:type="dxa"/>
                    <w:left w:w="0" w:type="dxa"/>
                    <w:bottom w:w="0" w:type="dxa"/>
                    <w:right w:w="0" w:type="dxa"/>
                  </w:tcMar>
                  <w:vAlign w:val="center"/>
                </w:tcPr>
                <w:p w14:paraId="30981E33">
                  <w:pPr>
                    <w:adjustRightInd w:val="0"/>
                    <w:snapToGrid w:val="0"/>
                    <w:jc w:val="center"/>
                    <w:rPr>
                      <w:color w:val="auto"/>
                      <w:kern w:val="0"/>
                    </w:rPr>
                  </w:pPr>
                  <w:r>
                    <w:rPr>
                      <w:rFonts w:hint="eastAsia"/>
                      <w:color w:val="auto"/>
                      <w:kern w:val="0"/>
                    </w:rPr>
                    <w:t>0.</w:t>
                  </w:r>
                  <w:r>
                    <w:rPr>
                      <w:rFonts w:hint="eastAsia"/>
                      <w:color w:val="auto"/>
                      <w:kern w:val="0"/>
                      <w:lang w:val="en-US" w:eastAsia="zh-CN"/>
                    </w:rPr>
                    <w:t>7</w:t>
                  </w:r>
                  <w:r>
                    <w:rPr>
                      <w:color w:val="auto"/>
                      <w:kern w:val="0"/>
                    </w:rPr>
                    <w:t>m</w:t>
                  </w:r>
                </w:p>
              </w:tc>
            </w:tr>
            <w:tr w14:paraId="43722DA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jc w:val="center"/>
              </w:trPr>
              <w:tc>
                <w:tcPr>
                  <w:tcW w:w="587" w:type="pct"/>
                  <w:tcBorders>
                    <w:tl2br w:val="nil"/>
                    <w:tr2bl w:val="nil"/>
                  </w:tcBorders>
                  <w:tcMar>
                    <w:top w:w="0" w:type="dxa"/>
                    <w:left w:w="0" w:type="dxa"/>
                    <w:bottom w:w="0" w:type="dxa"/>
                    <w:right w:w="0" w:type="dxa"/>
                  </w:tcMar>
                  <w:vAlign w:val="center"/>
                </w:tcPr>
                <w:p w14:paraId="26072A52">
                  <w:pPr>
                    <w:adjustRightInd w:val="0"/>
                    <w:snapToGrid w:val="0"/>
                    <w:jc w:val="center"/>
                    <w:rPr>
                      <w:color w:val="auto"/>
                      <w:kern w:val="0"/>
                    </w:rPr>
                  </w:pPr>
                  <w:r>
                    <w:rPr>
                      <w:color w:val="auto"/>
                      <w:kern w:val="0"/>
                    </w:rPr>
                    <w:t>12</w:t>
                  </w:r>
                </w:p>
              </w:tc>
              <w:tc>
                <w:tcPr>
                  <w:tcW w:w="1698" w:type="pct"/>
                  <w:vMerge w:val="continue"/>
                  <w:tcBorders>
                    <w:tl2br w:val="nil"/>
                    <w:tr2bl w:val="nil"/>
                  </w:tcBorders>
                  <w:tcMar>
                    <w:top w:w="0" w:type="dxa"/>
                    <w:left w:w="0" w:type="dxa"/>
                    <w:bottom w:w="0" w:type="dxa"/>
                    <w:right w:w="0" w:type="dxa"/>
                  </w:tcMar>
                  <w:vAlign w:val="center"/>
                </w:tcPr>
                <w:p w14:paraId="280183B2">
                  <w:pPr>
                    <w:adjustRightInd w:val="0"/>
                    <w:snapToGrid w:val="0"/>
                    <w:jc w:val="center"/>
                    <w:rPr>
                      <w:color w:val="auto"/>
                      <w:kern w:val="0"/>
                    </w:rPr>
                  </w:pPr>
                </w:p>
              </w:tc>
              <w:tc>
                <w:tcPr>
                  <w:tcW w:w="922" w:type="pct"/>
                  <w:tcBorders>
                    <w:tl2br w:val="nil"/>
                    <w:tr2bl w:val="nil"/>
                  </w:tcBorders>
                  <w:tcMar>
                    <w:top w:w="0" w:type="dxa"/>
                    <w:left w:w="0" w:type="dxa"/>
                    <w:bottom w:w="0" w:type="dxa"/>
                    <w:right w:w="0" w:type="dxa"/>
                  </w:tcMar>
                  <w:vAlign w:val="center"/>
                </w:tcPr>
                <w:p w14:paraId="227BDE4D">
                  <w:pPr>
                    <w:adjustRightInd w:val="0"/>
                    <w:snapToGrid w:val="0"/>
                    <w:jc w:val="center"/>
                    <w:rPr>
                      <w:color w:val="auto"/>
                      <w:kern w:val="0"/>
                    </w:rPr>
                  </w:pPr>
                  <w:r>
                    <w:rPr>
                      <w:color w:val="auto"/>
                      <w:kern w:val="0"/>
                    </w:rPr>
                    <w:t>风量</w:t>
                  </w:r>
                </w:p>
              </w:tc>
              <w:tc>
                <w:tcPr>
                  <w:tcW w:w="1790" w:type="pct"/>
                  <w:tcBorders>
                    <w:tl2br w:val="nil"/>
                    <w:tr2bl w:val="nil"/>
                  </w:tcBorders>
                  <w:tcMar>
                    <w:top w:w="0" w:type="dxa"/>
                    <w:left w:w="0" w:type="dxa"/>
                    <w:bottom w:w="0" w:type="dxa"/>
                    <w:right w:w="0" w:type="dxa"/>
                  </w:tcMar>
                  <w:vAlign w:val="center"/>
                </w:tcPr>
                <w:p w14:paraId="76EAC477">
                  <w:pPr>
                    <w:adjustRightInd w:val="0"/>
                    <w:snapToGrid w:val="0"/>
                    <w:jc w:val="center"/>
                    <w:rPr>
                      <w:color w:val="auto"/>
                      <w:kern w:val="0"/>
                    </w:rPr>
                  </w:pPr>
                  <w:r>
                    <w:rPr>
                      <w:rFonts w:hint="eastAsia"/>
                      <w:color w:val="auto"/>
                      <w:kern w:val="0"/>
                      <w:lang w:val="en-US" w:eastAsia="zh-CN"/>
                    </w:rPr>
                    <w:t>2</w:t>
                  </w:r>
                  <w:r>
                    <w:rPr>
                      <w:rFonts w:hint="eastAsia"/>
                      <w:color w:val="auto"/>
                      <w:kern w:val="0"/>
                      <w:lang w:eastAsia="zh-CN"/>
                    </w:rPr>
                    <w:t>5000</w:t>
                  </w:r>
                  <w:r>
                    <w:rPr>
                      <w:color w:val="auto"/>
                      <w:kern w:val="0"/>
                    </w:rPr>
                    <w:t>m</w:t>
                  </w:r>
                  <w:r>
                    <w:rPr>
                      <w:color w:val="auto"/>
                      <w:kern w:val="0"/>
                      <w:vertAlign w:val="superscript"/>
                    </w:rPr>
                    <w:t>3</w:t>
                  </w:r>
                  <w:r>
                    <w:rPr>
                      <w:color w:val="auto"/>
                      <w:kern w:val="0"/>
                    </w:rPr>
                    <w:t>/h</w:t>
                  </w:r>
                </w:p>
              </w:tc>
            </w:tr>
          </w:tbl>
          <w:p w14:paraId="48F8CB76">
            <w:pPr>
              <w:adjustRightInd w:val="0"/>
              <w:snapToGrid w:val="0"/>
              <w:spacing w:line="360" w:lineRule="auto"/>
              <w:ind w:firstLine="420" w:firstLineChars="200"/>
              <w:rPr>
                <w:bCs/>
                <w:color w:val="auto"/>
                <w:kern w:val="0"/>
                <w:sz w:val="21"/>
              </w:rPr>
            </w:pPr>
            <w:r>
              <w:rPr>
                <w:bCs/>
                <w:color w:val="auto"/>
                <w:kern w:val="0"/>
                <w:sz w:val="21"/>
              </w:rPr>
              <w:t>根据《材料研究与应用》2010年12月第4卷第4期，余倩等人《活性炭吸附技术对VOCs净化处理的研究进展》一文，采用吸附法能够使VOCs的去除率高达90-95%，本项目非甲烷总烃去除率保守估计取</w:t>
            </w:r>
            <w:r>
              <w:rPr>
                <w:rFonts w:hint="eastAsia"/>
                <w:bCs/>
                <w:color w:val="auto"/>
                <w:kern w:val="0"/>
                <w:sz w:val="21"/>
              </w:rPr>
              <w:t>90</w:t>
            </w:r>
            <w:r>
              <w:rPr>
                <w:bCs/>
                <w:color w:val="auto"/>
                <w:kern w:val="0"/>
                <w:sz w:val="21"/>
              </w:rPr>
              <w:t>%。根据</w:t>
            </w:r>
            <w:r>
              <w:rPr>
                <w:color w:val="auto"/>
                <w:kern w:val="0"/>
                <w:sz w:val="21"/>
              </w:rPr>
              <w:t>《省生态环境厅关于深入开展涉VOCs治理重点工作核查的通知》（苏环办【2022】218号）相关要求，采用蜂窝活性炭时，气体流速宜低于1.20m/s</w:t>
            </w:r>
            <w:r>
              <w:rPr>
                <w:rFonts w:hint="eastAsia"/>
                <w:color w:val="auto"/>
                <w:kern w:val="0"/>
                <w:sz w:val="21"/>
              </w:rPr>
              <w:t>，</w:t>
            </w:r>
            <w:r>
              <w:rPr>
                <w:color w:val="auto"/>
                <w:kern w:val="0"/>
                <w:sz w:val="21"/>
                <w:shd w:val="clear" w:color="auto" w:fill="FFFFFF"/>
              </w:rPr>
              <w:t>蜂窝活性炭碘吸附值≥650mg/g，活性炭更换周期一般不应超过累计运行500小时或3个月，进入吸附设备的废气温度应低于40℃，</w:t>
            </w:r>
            <w:r>
              <w:rPr>
                <w:color w:val="auto"/>
                <w:kern w:val="0"/>
                <w:sz w:val="21"/>
              </w:rPr>
              <w:t>本项目设计活性炭过滤风速为</w:t>
            </w:r>
            <w:r>
              <w:rPr>
                <w:rFonts w:hint="eastAsia"/>
                <w:color w:val="auto"/>
                <w:kern w:val="0"/>
                <w:sz w:val="21"/>
              </w:rPr>
              <w:t>1.04</w:t>
            </w:r>
            <w:r>
              <w:rPr>
                <w:color w:val="auto"/>
                <w:kern w:val="0"/>
                <w:sz w:val="21"/>
              </w:rPr>
              <w:t>m/s，</w:t>
            </w:r>
            <w:r>
              <w:rPr>
                <w:color w:val="auto"/>
                <w:kern w:val="0"/>
                <w:sz w:val="21"/>
                <w:shd w:val="clear" w:color="auto" w:fill="FFFFFF"/>
              </w:rPr>
              <w:t>碘吸附值为650mg/g，活性炭设计</w:t>
            </w:r>
            <w:r>
              <w:rPr>
                <w:rFonts w:hint="eastAsia"/>
                <w:color w:val="auto"/>
                <w:kern w:val="0"/>
                <w:sz w:val="21"/>
                <w:shd w:val="clear" w:color="auto" w:fill="FFFFFF"/>
                <w:lang w:val="en-US" w:eastAsia="zh-CN"/>
              </w:rPr>
              <w:t>每33d更换1次</w:t>
            </w:r>
            <w:r>
              <w:rPr>
                <w:color w:val="auto"/>
                <w:kern w:val="0"/>
                <w:sz w:val="21"/>
                <w:shd w:val="clear" w:color="auto" w:fill="FFFFFF"/>
              </w:rPr>
              <w:t>，项目有机废气产生温度较低，经过风机管道等</w:t>
            </w:r>
            <w:r>
              <w:rPr>
                <w:rFonts w:hint="eastAsia"/>
                <w:color w:val="auto"/>
                <w:kern w:val="0"/>
                <w:sz w:val="21"/>
                <w:shd w:val="clear" w:color="auto" w:fill="FFFFFF"/>
              </w:rPr>
              <w:t>冷却后</w:t>
            </w:r>
            <w:r>
              <w:rPr>
                <w:color w:val="auto"/>
                <w:kern w:val="0"/>
                <w:sz w:val="21"/>
                <w:shd w:val="clear" w:color="auto" w:fill="FFFFFF"/>
              </w:rPr>
              <w:t>，进入活性炭箱的温度低于40℃，因此本项目有机废气经过二级活性炭处理</w:t>
            </w:r>
            <w:r>
              <w:rPr>
                <w:color w:val="auto"/>
                <w:kern w:val="0"/>
                <w:sz w:val="21"/>
              </w:rPr>
              <w:t>满足要求。</w:t>
            </w:r>
          </w:p>
          <w:p w14:paraId="3CE38DE9">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b/>
                <w:bCs w:val="0"/>
                <w:color w:val="auto"/>
                <w:kern w:val="0"/>
                <w:lang w:val="en-US" w:eastAsia="zh-CN"/>
              </w:rPr>
            </w:pPr>
            <w:r>
              <w:rPr>
                <w:rFonts w:hint="default" w:ascii="Times New Roman" w:hAnsi="Times New Roman" w:eastAsia="宋体" w:cs="Times New Roman"/>
                <w:color w:val="auto"/>
                <w:sz w:val="21"/>
                <w:szCs w:val="21"/>
              </w:rPr>
              <w:t>根据无锡市新环化工环境监测站于2019年3月对《常州市博源塑业有限公司年产260万件塑料制品项目》的</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两级活性炭吸附装置</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废气排放口的验收检测数据，其废气处理效率在90%以上，具体数据见下表。</w:t>
            </w:r>
          </w:p>
          <w:p w14:paraId="74E4267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lang w:val="en-US" w:eastAsia="zh-CN"/>
              </w:rPr>
              <w:t>表</w:t>
            </w:r>
            <w:r>
              <w:rPr>
                <w:rFonts w:hint="eastAsia" w:ascii="Times New Roman" w:hAnsi="Times New Roman" w:eastAsia="宋体" w:cs="Times New Roman"/>
                <w:b/>
                <w:color w:val="auto"/>
                <w:sz w:val="21"/>
                <w:szCs w:val="21"/>
                <w:lang w:val="en-US" w:eastAsia="zh-CN"/>
              </w:rPr>
              <w:t xml:space="preserve">4-6.2  </w:t>
            </w:r>
            <w:r>
              <w:rPr>
                <w:rFonts w:hint="default" w:ascii="Times New Roman" w:hAnsi="Times New Roman" w:eastAsia="宋体" w:cs="Times New Roman"/>
                <w:b/>
                <w:color w:val="auto"/>
                <w:sz w:val="21"/>
                <w:szCs w:val="21"/>
              </w:rPr>
              <w:t xml:space="preserve"> 工程实例废气监测结果表</w:t>
            </w:r>
          </w:p>
          <w:tbl>
            <w:tblPr>
              <w:tblStyle w:val="59"/>
              <w:tblW w:w="4998"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1381"/>
              <w:gridCol w:w="1320"/>
              <w:gridCol w:w="1584"/>
              <w:gridCol w:w="1524"/>
              <w:gridCol w:w="1384"/>
              <w:gridCol w:w="1664"/>
            </w:tblGrid>
            <w:tr w14:paraId="40AC45B3">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779" w:type="pct"/>
                  <w:vMerge w:val="restart"/>
                  <w:tcBorders>
                    <w:tl2br w:val="nil"/>
                    <w:tr2bl w:val="nil"/>
                  </w:tcBorders>
                  <w:noWrap w:val="0"/>
                  <w:vAlign w:val="center"/>
                </w:tcPr>
                <w:p w14:paraId="401497B4">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eastAsia="宋体" w:cs="Times New Roman"/>
                      <w:b/>
                      <w:bCs/>
                      <w:color w:val="auto"/>
                      <w:kern w:val="0"/>
                      <w:sz w:val="21"/>
                      <w:szCs w:val="21"/>
                      <w:lang w:val="zh-CN" w:bidi="zh-CN"/>
                    </w:rPr>
                  </w:pPr>
                  <w:r>
                    <w:rPr>
                      <w:rFonts w:hint="default" w:ascii="Times New Roman" w:hAnsi="Times New Roman" w:eastAsia="宋体" w:cs="Times New Roman"/>
                      <w:b/>
                      <w:bCs/>
                      <w:color w:val="auto"/>
                      <w:kern w:val="0"/>
                      <w:sz w:val="21"/>
                      <w:szCs w:val="21"/>
                      <w:lang w:val="zh-CN" w:bidi="zh-CN"/>
                    </w:rPr>
                    <w:t>项目点位</w:t>
                  </w:r>
                </w:p>
              </w:tc>
              <w:tc>
                <w:tcPr>
                  <w:tcW w:w="745" w:type="pct"/>
                  <w:vMerge w:val="restart"/>
                  <w:tcBorders>
                    <w:tl2br w:val="nil"/>
                    <w:tr2bl w:val="nil"/>
                  </w:tcBorders>
                  <w:noWrap w:val="0"/>
                  <w:vAlign w:val="center"/>
                </w:tcPr>
                <w:p w14:paraId="2CA06334">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eastAsia="宋体" w:cs="Times New Roman"/>
                      <w:b/>
                      <w:bCs/>
                      <w:color w:val="auto"/>
                      <w:kern w:val="0"/>
                      <w:sz w:val="21"/>
                      <w:szCs w:val="21"/>
                      <w:lang w:val="zh-CN" w:bidi="zh-CN"/>
                    </w:rPr>
                  </w:pPr>
                  <w:r>
                    <w:rPr>
                      <w:rFonts w:hint="default" w:ascii="Times New Roman" w:hAnsi="Times New Roman" w:eastAsia="宋体" w:cs="Times New Roman"/>
                      <w:b/>
                      <w:bCs/>
                      <w:color w:val="auto"/>
                      <w:kern w:val="0"/>
                      <w:sz w:val="21"/>
                      <w:szCs w:val="21"/>
                      <w:lang w:val="zh-CN" w:bidi="zh-CN"/>
                    </w:rPr>
                    <w:t>监测时间</w:t>
                  </w:r>
                </w:p>
              </w:tc>
              <w:tc>
                <w:tcPr>
                  <w:tcW w:w="3474" w:type="pct"/>
                  <w:gridSpan w:val="4"/>
                  <w:tcBorders>
                    <w:tl2br w:val="nil"/>
                    <w:tr2bl w:val="nil"/>
                  </w:tcBorders>
                  <w:noWrap w:val="0"/>
                  <w:vAlign w:val="center"/>
                </w:tcPr>
                <w:p w14:paraId="1510CE3D">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eastAsia="宋体" w:cs="Times New Roman"/>
                      <w:b/>
                      <w:bCs/>
                      <w:color w:val="auto"/>
                      <w:kern w:val="0"/>
                      <w:sz w:val="21"/>
                      <w:szCs w:val="21"/>
                      <w:lang w:val="zh-CN" w:bidi="zh-CN"/>
                    </w:rPr>
                  </w:pPr>
                  <w:r>
                    <w:rPr>
                      <w:rFonts w:hint="default" w:ascii="Times New Roman" w:hAnsi="Times New Roman" w:eastAsia="宋体" w:cs="Times New Roman"/>
                      <w:b/>
                      <w:bCs/>
                      <w:color w:val="auto"/>
                      <w:kern w:val="0"/>
                      <w:sz w:val="21"/>
                      <w:szCs w:val="21"/>
                      <w:lang w:val="zh-CN" w:bidi="zh-CN"/>
                    </w:rPr>
                    <w:t>非甲烷总烃监测结果（mg/m</w:t>
                  </w:r>
                  <w:r>
                    <w:rPr>
                      <w:rFonts w:hint="default" w:ascii="Times New Roman" w:hAnsi="Times New Roman" w:eastAsia="宋体" w:cs="Times New Roman"/>
                      <w:b/>
                      <w:bCs/>
                      <w:color w:val="auto"/>
                      <w:kern w:val="0"/>
                      <w:sz w:val="21"/>
                      <w:szCs w:val="21"/>
                      <w:vertAlign w:val="superscript"/>
                      <w:lang w:val="zh-CN" w:bidi="zh-CN"/>
                    </w:rPr>
                    <w:t>3</w:t>
                  </w:r>
                  <w:r>
                    <w:rPr>
                      <w:rFonts w:hint="default" w:ascii="Times New Roman" w:hAnsi="Times New Roman" w:eastAsia="宋体" w:cs="Times New Roman"/>
                      <w:b/>
                      <w:bCs/>
                      <w:color w:val="auto"/>
                      <w:kern w:val="0"/>
                      <w:sz w:val="21"/>
                      <w:szCs w:val="21"/>
                      <w:lang w:val="zh-CN" w:bidi="zh-CN"/>
                    </w:rPr>
                    <w:t>）</w:t>
                  </w:r>
                </w:p>
              </w:tc>
            </w:tr>
            <w:tr w14:paraId="54972C2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779" w:type="pct"/>
                  <w:vMerge w:val="continue"/>
                  <w:tcBorders>
                    <w:tl2br w:val="nil"/>
                    <w:tr2bl w:val="nil"/>
                  </w:tcBorders>
                  <w:noWrap w:val="0"/>
                  <w:vAlign w:val="center"/>
                </w:tcPr>
                <w:p w14:paraId="7A15CBAE">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eastAsia="宋体" w:cs="Times New Roman"/>
                      <w:b/>
                      <w:bCs/>
                      <w:color w:val="auto"/>
                      <w:kern w:val="0"/>
                      <w:sz w:val="21"/>
                      <w:szCs w:val="21"/>
                      <w:lang w:val="zh-CN" w:bidi="zh-CN"/>
                    </w:rPr>
                  </w:pPr>
                </w:p>
              </w:tc>
              <w:tc>
                <w:tcPr>
                  <w:tcW w:w="745" w:type="pct"/>
                  <w:vMerge w:val="continue"/>
                  <w:tcBorders>
                    <w:tl2br w:val="nil"/>
                    <w:tr2bl w:val="nil"/>
                  </w:tcBorders>
                  <w:noWrap w:val="0"/>
                  <w:vAlign w:val="center"/>
                </w:tcPr>
                <w:p w14:paraId="33AA0CAC">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eastAsia="宋体" w:cs="Times New Roman"/>
                      <w:b/>
                      <w:bCs/>
                      <w:color w:val="auto"/>
                      <w:kern w:val="0"/>
                      <w:sz w:val="21"/>
                      <w:szCs w:val="21"/>
                      <w:lang w:val="zh-CN" w:bidi="zh-CN"/>
                    </w:rPr>
                  </w:pPr>
                </w:p>
              </w:tc>
              <w:tc>
                <w:tcPr>
                  <w:tcW w:w="894" w:type="pct"/>
                  <w:tcBorders>
                    <w:tl2br w:val="nil"/>
                    <w:tr2bl w:val="nil"/>
                  </w:tcBorders>
                  <w:noWrap w:val="0"/>
                  <w:vAlign w:val="center"/>
                </w:tcPr>
                <w:p w14:paraId="25E93CD9">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eastAsia="宋体" w:cs="Times New Roman"/>
                      <w:b/>
                      <w:bCs/>
                      <w:color w:val="auto"/>
                      <w:kern w:val="0"/>
                      <w:sz w:val="21"/>
                      <w:szCs w:val="21"/>
                      <w:lang w:val="zh-CN" w:bidi="zh-CN"/>
                    </w:rPr>
                  </w:pPr>
                  <w:r>
                    <w:rPr>
                      <w:rFonts w:hint="default" w:ascii="Times New Roman" w:hAnsi="Times New Roman" w:eastAsia="宋体" w:cs="Times New Roman"/>
                      <w:b/>
                      <w:bCs/>
                      <w:color w:val="auto"/>
                      <w:kern w:val="0"/>
                      <w:sz w:val="21"/>
                      <w:szCs w:val="21"/>
                      <w:lang w:val="zh-CN" w:bidi="zh-CN"/>
                    </w:rPr>
                    <w:t>1</w:t>
                  </w:r>
                </w:p>
              </w:tc>
              <w:tc>
                <w:tcPr>
                  <w:tcW w:w="860" w:type="pct"/>
                  <w:tcBorders>
                    <w:tl2br w:val="nil"/>
                    <w:tr2bl w:val="nil"/>
                  </w:tcBorders>
                  <w:noWrap w:val="0"/>
                  <w:vAlign w:val="center"/>
                </w:tcPr>
                <w:p w14:paraId="55D4A9A4">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eastAsia="宋体" w:cs="Times New Roman"/>
                      <w:b/>
                      <w:bCs/>
                      <w:color w:val="auto"/>
                      <w:kern w:val="0"/>
                      <w:sz w:val="21"/>
                      <w:szCs w:val="21"/>
                      <w:lang w:val="zh-CN" w:bidi="zh-CN"/>
                    </w:rPr>
                  </w:pPr>
                  <w:r>
                    <w:rPr>
                      <w:rFonts w:hint="default" w:ascii="Times New Roman" w:hAnsi="Times New Roman" w:eastAsia="宋体" w:cs="Times New Roman"/>
                      <w:b/>
                      <w:bCs/>
                      <w:color w:val="auto"/>
                      <w:kern w:val="0"/>
                      <w:sz w:val="21"/>
                      <w:szCs w:val="21"/>
                      <w:lang w:val="zh-CN" w:bidi="zh-CN"/>
                    </w:rPr>
                    <w:t>2</w:t>
                  </w:r>
                </w:p>
              </w:tc>
              <w:tc>
                <w:tcPr>
                  <w:tcW w:w="781" w:type="pct"/>
                  <w:tcBorders>
                    <w:tl2br w:val="nil"/>
                    <w:tr2bl w:val="nil"/>
                  </w:tcBorders>
                  <w:noWrap w:val="0"/>
                  <w:vAlign w:val="center"/>
                </w:tcPr>
                <w:p w14:paraId="685030FE">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eastAsia="宋体" w:cs="Times New Roman"/>
                      <w:b/>
                      <w:bCs/>
                      <w:color w:val="auto"/>
                      <w:kern w:val="0"/>
                      <w:sz w:val="21"/>
                      <w:szCs w:val="21"/>
                      <w:lang w:val="zh-CN" w:bidi="zh-CN"/>
                    </w:rPr>
                  </w:pPr>
                  <w:r>
                    <w:rPr>
                      <w:rFonts w:hint="default" w:ascii="Times New Roman" w:hAnsi="Times New Roman" w:eastAsia="宋体" w:cs="Times New Roman"/>
                      <w:b/>
                      <w:bCs/>
                      <w:color w:val="auto"/>
                      <w:kern w:val="0"/>
                      <w:sz w:val="21"/>
                      <w:szCs w:val="21"/>
                      <w:lang w:val="zh-CN" w:bidi="zh-CN"/>
                    </w:rPr>
                    <w:t>3</w:t>
                  </w:r>
                </w:p>
              </w:tc>
              <w:tc>
                <w:tcPr>
                  <w:tcW w:w="938" w:type="pct"/>
                  <w:tcBorders>
                    <w:tl2br w:val="nil"/>
                    <w:tr2bl w:val="nil"/>
                  </w:tcBorders>
                  <w:noWrap w:val="0"/>
                  <w:vAlign w:val="center"/>
                </w:tcPr>
                <w:p w14:paraId="75D1DCF3">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eastAsia="宋体" w:cs="Times New Roman"/>
                      <w:b/>
                      <w:bCs/>
                      <w:color w:val="auto"/>
                      <w:kern w:val="0"/>
                      <w:sz w:val="21"/>
                      <w:szCs w:val="21"/>
                      <w:lang w:val="zh-CN" w:bidi="zh-CN"/>
                    </w:rPr>
                  </w:pPr>
                  <w:r>
                    <w:rPr>
                      <w:rFonts w:hint="default" w:ascii="Times New Roman" w:hAnsi="Times New Roman" w:eastAsia="宋体" w:cs="Times New Roman"/>
                      <w:b/>
                      <w:bCs/>
                      <w:color w:val="auto"/>
                      <w:kern w:val="0"/>
                      <w:sz w:val="21"/>
                      <w:szCs w:val="21"/>
                      <w:lang w:val="zh-CN" w:bidi="zh-CN"/>
                    </w:rPr>
                    <w:t>平均值</w:t>
                  </w:r>
                </w:p>
              </w:tc>
            </w:tr>
            <w:tr w14:paraId="18DDC9F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779" w:type="pct"/>
                  <w:tcBorders>
                    <w:tl2br w:val="nil"/>
                    <w:tr2bl w:val="nil"/>
                  </w:tcBorders>
                  <w:noWrap w:val="0"/>
                  <w:vAlign w:val="center"/>
                </w:tcPr>
                <w:p w14:paraId="3D83C5F9">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eastAsia="宋体" w:cs="Times New Roman"/>
                      <w:color w:val="auto"/>
                      <w:kern w:val="0"/>
                      <w:sz w:val="21"/>
                      <w:szCs w:val="21"/>
                      <w:lang w:val="zh-CN" w:bidi="zh-CN"/>
                    </w:rPr>
                  </w:pPr>
                  <w:r>
                    <w:rPr>
                      <w:rFonts w:hint="default" w:ascii="Times New Roman" w:hAnsi="Times New Roman" w:eastAsia="宋体" w:cs="Times New Roman"/>
                      <w:color w:val="auto"/>
                      <w:kern w:val="0"/>
                      <w:sz w:val="21"/>
                      <w:szCs w:val="21"/>
                      <w:lang w:val="zh-CN" w:bidi="zh-CN"/>
                    </w:rPr>
                    <w:t>废气进口</w:t>
                  </w:r>
                </w:p>
              </w:tc>
              <w:tc>
                <w:tcPr>
                  <w:tcW w:w="745" w:type="pct"/>
                  <w:vMerge w:val="restart"/>
                  <w:tcBorders>
                    <w:tl2br w:val="nil"/>
                    <w:tr2bl w:val="nil"/>
                  </w:tcBorders>
                  <w:noWrap w:val="0"/>
                  <w:vAlign w:val="center"/>
                </w:tcPr>
                <w:p w14:paraId="471EBD0A">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eastAsia="宋体" w:cs="Times New Roman"/>
                      <w:color w:val="auto"/>
                      <w:kern w:val="0"/>
                      <w:sz w:val="21"/>
                      <w:szCs w:val="21"/>
                      <w:lang w:val="zh-CN" w:bidi="zh-CN"/>
                    </w:rPr>
                  </w:pPr>
                  <w:r>
                    <w:rPr>
                      <w:rFonts w:hint="default" w:ascii="Times New Roman" w:hAnsi="Times New Roman" w:eastAsia="宋体" w:cs="Times New Roman"/>
                      <w:color w:val="auto"/>
                      <w:kern w:val="0"/>
                      <w:sz w:val="21"/>
                      <w:szCs w:val="21"/>
                      <w:lang w:val="zh-CN" w:bidi="zh-CN"/>
                    </w:rPr>
                    <w:t>2019.3.29</w:t>
                  </w:r>
                </w:p>
              </w:tc>
              <w:tc>
                <w:tcPr>
                  <w:tcW w:w="894" w:type="pct"/>
                  <w:tcBorders>
                    <w:tl2br w:val="nil"/>
                    <w:tr2bl w:val="nil"/>
                  </w:tcBorders>
                  <w:noWrap w:val="0"/>
                  <w:vAlign w:val="center"/>
                </w:tcPr>
                <w:p w14:paraId="04D8239C">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eastAsia="宋体" w:cs="Times New Roman"/>
                      <w:color w:val="auto"/>
                      <w:kern w:val="0"/>
                      <w:sz w:val="21"/>
                      <w:szCs w:val="21"/>
                      <w:lang w:val="zh-CN" w:bidi="zh-CN"/>
                    </w:rPr>
                  </w:pPr>
                  <w:r>
                    <w:rPr>
                      <w:rFonts w:hint="default" w:ascii="Times New Roman" w:hAnsi="Times New Roman" w:eastAsia="宋体" w:cs="Times New Roman"/>
                      <w:color w:val="auto"/>
                      <w:kern w:val="0"/>
                      <w:sz w:val="21"/>
                      <w:szCs w:val="21"/>
                      <w:lang w:val="zh-CN" w:bidi="zh-CN"/>
                    </w:rPr>
                    <w:t>4.22</w:t>
                  </w:r>
                </w:p>
              </w:tc>
              <w:tc>
                <w:tcPr>
                  <w:tcW w:w="860" w:type="pct"/>
                  <w:tcBorders>
                    <w:tl2br w:val="nil"/>
                    <w:tr2bl w:val="nil"/>
                  </w:tcBorders>
                  <w:noWrap w:val="0"/>
                  <w:vAlign w:val="center"/>
                </w:tcPr>
                <w:p w14:paraId="054CF712">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eastAsia="宋体" w:cs="Times New Roman"/>
                      <w:color w:val="auto"/>
                      <w:kern w:val="0"/>
                      <w:sz w:val="21"/>
                      <w:szCs w:val="21"/>
                      <w:lang w:val="zh-CN" w:bidi="zh-CN"/>
                    </w:rPr>
                  </w:pPr>
                  <w:r>
                    <w:rPr>
                      <w:rFonts w:hint="default" w:ascii="Times New Roman" w:hAnsi="Times New Roman" w:eastAsia="宋体" w:cs="Times New Roman"/>
                      <w:color w:val="auto"/>
                      <w:kern w:val="0"/>
                      <w:sz w:val="21"/>
                      <w:szCs w:val="21"/>
                      <w:lang w:val="zh-CN" w:bidi="zh-CN"/>
                    </w:rPr>
                    <w:t>3.48</w:t>
                  </w:r>
                </w:p>
              </w:tc>
              <w:tc>
                <w:tcPr>
                  <w:tcW w:w="781" w:type="pct"/>
                  <w:tcBorders>
                    <w:tl2br w:val="nil"/>
                    <w:tr2bl w:val="nil"/>
                  </w:tcBorders>
                  <w:noWrap w:val="0"/>
                  <w:vAlign w:val="center"/>
                </w:tcPr>
                <w:p w14:paraId="70F25B1A">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eastAsia="宋体" w:cs="Times New Roman"/>
                      <w:color w:val="auto"/>
                      <w:kern w:val="0"/>
                      <w:sz w:val="21"/>
                      <w:szCs w:val="21"/>
                      <w:lang w:val="zh-CN" w:bidi="zh-CN"/>
                    </w:rPr>
                  </w:pPr>
                  <w:r>
                    <w:rPr>
                      <w:rFonts w:hint="default" w:ascii="Times New Roman" w:hAnsi="Times New Roman" w:eastAsia="宋体" w:cs="Times New Roman"/>
                      <w:color w:val="auto"/>
                      <w:kern w:val="0"/>
                      <w:sz w:val="21"/>
                      <w:szCs w:val="21"/>
                      <w:lang w:val="zh-CN" w:bidi="zh-CN"/>
                    </w:rPr>
                    <w:t>4.09</w:t>
                  </w:r>
                </w:p>
              </w:tc>
              <w:tc>
                <w:tcPr>
                  <w:tcW w:w="938" w:type="pct"/>
                  <w:tcBorders>
                    <w:tl2br w:val="nil"/>
                    <w:tr2bl w:val="nil"/>
                  </w:tcBorders>
                  <w:noWrap w:val="0"/>
                  <w:vAlign w:val="center"/>
                </w:tcPr>
                <w:p w14:paraId="461D8808">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eastAsia="宋体" w:cs="Times New Roman"/>
                      <w:color w:val="auto"/>
                      <w:kern w:val="0"/>
                      <w:sz w:val="21"/>
                      <w:szCs w:val="21"/>
                      <w:lang w:val="zh-CN" w:bidi="zh-CN"/>
                    </w:rPr>
                  </w:pPr>
                  <w:r>
                    <w:rPr>
                      <w:rFonts w:hint="default" w:ascii="Times New Roman" w:hAnsi="Times New Roman" w:eastAsia="宋体" w:cs="Times New Roman"/>
                      <w:color w:val="auto"/>
                      <w:kern w:val="0"/>
                      <w:sz w:val="21"/>
                      <w:szCs w:val="21"/>
                      <w:lang w:val="zh-CN" w:bidi="zh-CN"/>
                    </w:rPr>
                    <w:t>3.93</w:t>
                  </w:r>
                </w:p>
              </w:tc>
            </w:tr>
            <w:tr w14:paraId="148A83E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779" w:type="pct"/>
                  <w:tcBorders>
                    <w:tl2br w:val="nil"/>
                    <w:tr2bl w:val="nil"/>
                  </w:tcBorders>
                  <w:noWrap w:val="0"/>
                  <w:vAlign w:val="center"/>
                </w:tcPr>
                <w:p w14:paraId="1741D79A">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eastAsia="宋体" w:cs="Times New Roman"/>
                      <w:color w:val="auto"/>
                      <w:kern w:val="0"/>
                      <w:sz w:val="21"/>
                      <w:szCs w:val="21"/>
                      <w:lang w:val="zh-CN" w:bidi="zh-CN"/>
                    </w:rPr>
                  </w:pPr>
                  <w:r>
                    <w:rPr>
                      <w:rFonts w:hint="default" w:ascii="Times New Roman" w:hAnsi="Times New Roman" w:eastAsia="宋体" w:cs="Times New Roman"/>
                      <w:color w:val="auto"/>
                      <w:kern w:val="0"/>
                      <w:sz w:val="21"/>
                      <w:szCs w:val="21"/>
                      <w:lang w:val="zh-CN" w:bidi="zh-CN"/>
                    </w:rPr>
                    <w:t>废气出口</w:t>
                  </w:r>
                </w:p>
              </w:tc>
              <w:tc>
                <w:tcPr>
                  <w:tcW w:w="745" w:type="pct"/>
                  <w:vMerge w:val="continue"/>
                  <w:tcBorders>
                    <w:tl2br w:val="nil"/>
                    <w:tr2bl w:val="nil"/>
                  </w:tcBorders>
                  <w:noWrap w:val="0"/>
                  <w:vAlign w:val="center"/>
                </w:tcPr>
                <w:p w14:paraId="294E771D">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eastAsia="宋体" w:cs="Times New Roman"/>
                      <w:color w:val="auto"/>
                      <w:kern w:val="0"/>
                      <w:sz w:val="21"/>
                      <w:szCs w:val="21"/>
                      <w:lang w:val="zh-CN" w:bidi="zh-CN"/>
                    </w:rPr>
                  </w:pPr>
                </w:p>
              </w:tc>
              <w:tc>
                <w:tcPr>
                  <w:tcW w:w="894" w:type="pct"/>
                  <w:tcBorders>
                    <w:tl2br w:val="nil"/>
                    <w:tr2bl w:val="nil"/>
                  </w:tcBorders>
                  <w:noWrap w:val="0"/>
                  <w:vAlign w:val="center"/>
                </w:tcPr>
                <w:p w14:paraId="57611AAC">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eastAsia="宋体" w:cs="Times New Roman"/>
                      <w:color w:val="auto"/>
                      <w:kern w:val="0"/>
                      <w:sz w:val="21"/>
                      <w:szCs w:val="21"/>
                      <w:lang w:val="zh-CN" w:bidi="zh-CN"/>
                    </w:rPr>
                  </w:pPr>
                  <w:r>
                    <w:rPr>
                      <w:rFonts w:hint="default" w:ascii="Times New Roman" w:hAnsi="Times New Roman" w:eastAsia="宋体" w:cs="Times New Roman"/>
                      <w:color w:val="auto"/>
                      <w:kern w:val="0"/>
                      <w:sz w:val="21"/>
                      <w:szCs w:val="21"/>
                      <w:lang w:val="zh-CN" w:bidi="zh-CN"/>
                    </w:rPr>
                    <w:t>0.25</w:t>
                  </w:r>
                </w:p>
              </w:tc>
              <w:tc>
                <w:tcPr>
                  <w:tcW w:w="860" w:type="pct"/>
                  <w:tcBorders>
                    <w:tl2br w:val="nil"/>
                    <w:tr2bl w:val="nil"/>
                  </w:tcBorders>
                  <w:noWrap w:val="0"/>
                  <w:vAlign w:val="center"/>
                </w:tcPr>
                <w:p w14:paraId="0C5C9785">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eastAsia="宋体" w:cs="Times New Roman"/>
                      <w:color w:val="auto"/>
                      <w:kern w:val="0"/>
                      <w:sz w:val="21"/>
                      <w:szCs w:val="21"/>
                      <w:lang w:val="zh-CN" w:bidi="zh-CN"/>
                    </w:rPr>
                  </w:pPr>
                  <w:r>
                    <w:rPr>
                      <w:rFonts w:hint="default" w:ascii="Times New Roman" w:hAnsi="Times New Roman" w:eastAsia="宋体" w:cs="Times New Roman"/>
                      <w:color w:val="auto"/>
                      <w:kern w:val="0"/>
                      <w:sz w:val="21"/>
                      <w:szCs w:val="21"/>
                      <w:lang w:val="zh-CN" w:bidi="zh-CN"/>
                    </w:rPr>
                    <w:t>0.29</w:t>
                  </w:r>
                </w:p>
              </w:tc>
              <w:tc>
                <w:tcPr>
                  <w:tcW w:w="781" w:type="pct"/>
                  <w:tcBorders>
                    <w:tl2br w:val="nil"/>
                    <w:tr2bl w:val="nil"/>
                  </w:tcBorders>
                  <w:noWrap w:val="0"/>
                  <w:vAlign w:val="center"/>
                </w:tcPr>
                <w:p w14:paraId="4A6BF5A0">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eastAsia="宋体" w:cs="Times New Roman"/>
                      <w:color w:val="auto"/>
                      <w:kern w:val="0"/>
                      <w:sz w:val="21"/>
                      <w:szCs w:val="21"/>
                      <w:lang w:val="zh-CN" w:bidi="zh-CN"/>
                    </w:rPr>
                  </w:pPr>
                  <w:r>
                    <w:rPr>
                      <w:rFonts w:hint="default" w:ascii="Times New Roman" w:hAnsi="Times New Roman" w:eastAsia="宋体" w:cs="Times New Roman"/>
                      <w:color w:val="auto"/>
                      <w:kern w:val="0"/>
                      <w:sz w:val="21"/>
                      <w:szCs w:val="21"/>
                      <w:lang w:val="zh-CN" w:bidi="zh-CN"/>
                    </w:rPr>
                    <w:t>0.25</w:t>
                  </w:r>
                </w:p>
              </w:tc>
              <w:tc>
                <w:tcPr>
                  <w:tcW w:w="938" w:type="pct"/>
                  <w:tcBorders>
                    <w:tl2br w:val="nil"/>
                    <w:tr2bl w:val="nil"/>
                  </w:tcBorders>
                  <w:noWrap w:val="0"/>
                  <w:vAlign w:val="center"/>
                </w:tcPr>
                <w:p w14:paraId="64522C93">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eastAsia="宋体" w:cs="Times New Roman"/>
                      <w:color w:val="auto"/>
                      <w:kern w:val="0"/>
                      <w:sz w:val="21"/>
                      <w:szCs w:val="21"/>
                      <w:lang w:val="zh-CN" w:bidi="zh-CN"/>
                    </w:rPr>
                  </w:pPr>
                  <w:r>
                    <w:rPr>
                      <w:rFonts w:hint="default" w:ascii="Times New Roman" w:hAnsi="Times New Roman" w:eastAsia="宋体" w:cs="Times New Roman"/>
                      <w:color w:val="auto"/>
                      <w:kern w:val="0"/>
                      <w:sz w:val="21"/>
                      <w:szCs w:val="21"/>
                      <w:lang w:val="zh-CN" w:bidi="zh-CN"/>
                    </w:rPr>
                    <w:t>0.26</w:t>
                  </w:r>
                </w:p>
              </w:tc>
            </w:tr>
            <w:tr w14:paraId="5E86756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779" w:type="pct"/>
                  <w:tcBorders>
                    <w:tl2br w:val="nil"/>
                    <w:tr2bl w:val="nil"/>
                  </w:tcBorders>
                  <w:noWrap w:val="0"/>
                  <w:vAlign w:val="center"/>
                </w:tcPr>
                <w:p w14:paraId="6FF937CA">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eastAsia="宋体" w:cs="Times New Roman"/>
                      <w:color w:val="auto"/>
                      <w:kern w:val="0"/>
                      <w:sz w:val="21"/>
                      <w:szCs w:val="21"/>
                      <w:lang w:val="zh-CN" w:bidi="zh-CN"/>
                    </w:rPr>
                  </w:pPr>
                  <w:r>
                    <w:rPr>
                      <w:rFonts w:hint="default" w:ascii="Times New Roman" w:hAnsi="Times New Roman" w:eastAsia="宋体" w:cs="Times New Roman"/>
                      <w:color w:val="auto"/>
                      <w:kern w:val="0"/>
                      <w:sz w:val="21"/>
                      <w:szCs w:val="21"/>
                      <w:lang w:val="zh-CN" w:bidi="zh-CN"/>
                    </w:rPr>
                    <w:t>处理速率</w:t>
                  </w:r>
                </w:p>
              </w:tc>
              <w:tc>
                <w:tcPr>
                  <w:tcW w:w="745" w:type="pct"/>
                  <w:vMerge w:val="continue"/>
                  <w:tcBorders>
                    <w:tl2br w:val="nil"/>
                    <w:tr2bl w:val="nil"/>
                  </w:tcBorders>
                  <w:noWrap w:val="0"/>
                  <w:vAlign w:val="center"/>
                </w:tcPr>
                <w:p w14:paraId="075674EF">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eastAsia="宋体" w:cs="Times New Roman"/>
                      <w:color w:val="auto"/>
                      <w:kern w:val="0"/>
                      <w:sz w:val="21"/>
                      <w:szCs w:val="21"/>
                      <w:lang w:val="zh-CN" w:bidi="zh-CN"/>
                    </w:rPr>
                  </w:pPr>
                </w:p>
              </w:tc>
              <w:tc>
                <w:tcPr>
                  <w:tcW w:w="894" w:type="pct"/>
                  <w:tcBorders>
                    <w:tl2br w:val="nil"/>
                    <w:tr2bl w:val="nil"/>
                  </w:tcBorders>
                  <w:noWrap w:val="0"/>
                  <w:vAlign w:val="center"/>
                </w:tcPr>
                <w:p w14:paraId="2DA76AFA">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eastAsia="宋体" w:cs="Times New Roman"/>
                      <w:color w:val="auto"/>
                      <w:kern w:val="0"/>
                      <w:sz w:val="21"/>
                      <w:szCs w:val="21"/>
                      <w:lang w:val="zh-CN" w:bidi="zh-CN"/>
                    </w:rPr>
                  </w:pPr>
                  <w:r>
                    <w:rPr>
                      <w:rFonts w:hint="default" w:ascii="Times New Roman" w:hAnsi="Times New Roman" w:eastAsia="宋体" w:cs="Times New Roman"/>
                      <w:color w:val="auto"/>
                      <w:kern w:val="0"/>
                      <w:sz w:val="21"/>
                      <w:szCs w:val="21"/>
                      <w:lang w:val="zh-CN" w:bidi="zh-CN"/>
                    </w:rPr>
                    <w:t>94.1</w:t>
                  </w:r>
                </w:p>
              </w:tc>
              <w:tc>
                <w:tcPr>
                  <w:tcW w:w="860" w:type="pct"/>
                  <w:tcBorders>
                    <w:tl2br w:val="nil"/>
                    <w:tr2bl w:val="nil"/>
                  </w:tcBorders>
                  <w:noWrap w:val="0"/>
                  <w:vAlign w:val="center"/>
                </w:tcPr>
                <w:p w14:paraId="598915FD">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eastAsia="宋体" w:cs="Times New Roman"/>
                      <w:color w:val="auto"/>
                      <w:kern w:val="0"/>
                      <w:sz w:val="21"/>
                      <w:szCs w:val="21"/>
                      <w:lang w:val="zh-CN" w:bidi="zh-CN"/>
                    </w:rPr>
                  </w:pPr>
                  <w:r>
                    <w:rPr>
                      <w:rFonts w:hint="default" w:ascii="Times New Roman" w:hAnsi="Times New Roman" w:eastAsia="宋体" w:cs="Times New Roman"/>
                      <w:color w:val="auto"/>
                      <w:kern w:val="0"/>
                      <w:sz w:val="21"/>
                      <w:szCs w:val="21"/>
                      <w:lang w:val="zh-CN" w:bidi="zh-CN"/>
                    </w:rPr>
                    <w:t>91.7</w:t>
                  </w:r>
                </w:p>
              </w:tc>
              <w:tc>
                <w:tcPr>
                  <w:tcW w:w="781" w:type="pct"/>
                  <w:tcBorders>
                    <w:tl2br w:val="nil"/>
                    <w:tr2bl w:val="nil"/>
                  </w:tcBorders>
                  <w:noWrap w:val="0"/>
                  <w:vAlign w:val="center"/>
                </w:tcPr>
                <w:p w14:paraId="51C23800">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eastAsia="宋体" w:cs="Times New Roman"/>
                      <w:color w:val="auto"/>
                      <w:kern w:val="0"/>
                      <w:sz w:val="21"/>
                      <w:szCs w:val="21"/>
                      <w:lang w:val="zh-CN" w:bidi="zh-CN"/>
                    </w:rPr>
                  </w:pPr>
                  <w:r>
                    <w:rPr>
                      <w:rFonts w:hint="default" w:ascii="Times New Roman" w:hAnsi="Times New Roman" w:eastAsia="宋体" w:cs="Times New Roman"/>
                      <w:color w:val="auto"/>
                      <w:kern w:val="0"/>
                      <w:sz w:val="21"/>
                      <w:szCs w:val="21"/>
                      <w:lang w:val="zh-CN" w:bidi="zh-CN"/>
                    </w:rPr>
                    <w:t>93.9</w:t>
                  </w:r>
                </w:p>
              </w:tc>
              <w:tc>
                <w:tcPr>
                  <w:tcW w:w="938" w:type="pct"/>
                  <w:tcBorders>
                    <w:tl2br w:val="nil"/>
                    <w:tr2bl w:val="nil"/>
                  </w:tcBorders>
                  <w:noWrap w:val="0"/>
                  <w:vAlign w:val="center"/>
                </w:tcPr>
                <w:p w14:paraId="3D427C3E">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eastAsia="宋体" w:cs="Times New Roman"/>
                      <w:color w:val="auto"/>
                      <w:kern w:val="0"/>
                      <w:sz w:val="21"/>
                      <w:szCs w:val="21"/>
                      <w:lang w:val="zh-CN" w:bidi="zh-CN"/>
                    </w:rPr>
                  </w:pPr>
                  <w:r>
                    <w:rPr>
                      <w:rFonts w:hint="default" w:ascii="Times New Roman" w:hAnsi="Times New Roman" w:eastAsia="宋体" w:cs="Times New Roman"/>
                      <w:color w:val="auto"/>
                      <w:kern w:val="0"/>
                      <w:sz w:val="21"/>
                      <w:szCs w:val="21"/>
                      <w:lang w:val="zh-CN" w:bidi="zh-CN"/>
                    </w:rPr>
                    <w:t>93.4</w:t>
                  </w:r>
                </w:p>
              </w:tc>
            </w:tr>
          </w:tbl>
          <w:p w14:paraId="5294250B">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b/>
                <w:bCs w:val="0"/>
                <w:color w:val="auto"/>
                <w:kern w:val="0"/>
                <w:lang w:val="en-US" w:eastAsia="zh-CN"/>
              </w:rPr>
            </w:pPr>
            <w:r>
              <w:rPr>
                <w:rFonts w:hint="default" w:ascii="Times New Roman" w:hAnsi="Times New Roman" w:eastAsia="宋体" w:cs="Times New Roman"/>
                <w:color w:val="auto"/>
                <w:sz w:val="21"/>
                <w:szCs w:val="21"/>
              </w:rPr>
              <w:t>由上表可知，</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两级活性炭吸附装置</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对非甲烷总烃的去除效率平均在90%以上，故认为本环评二级活性炭吸附装置对非甲烷总烃去除效率以90%计算是可行的。</w:t>
            </w:r>
          </w:p>
          <w:p w14:paraId="07C50A10">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textAlignment w:val="auto"/>
              <w:rPr>
                <w:rFonts w:hint="default"/>
                <w:b w:val="0"/>
                <w:bCs/>
                <w:color w:val="auto"/>
                <w:kern w:val="0"/>
                <w:lang w:val="en-US" w:eastAsia="zh-CN"/>
              </w:rPr>
            </w:pPr>
            <w:r>
              <w:rPr>
                <w:rFonts w:hint="eastAsia"/>
                <w:b/>
                <w:bCs w:val="0"/>
                <w:color w:val="auto"/>
                <w:kern w:val="0"/>
                <w:lang w:val="en-US" w:eastAsia="zh-CN"/>
              </w:rPr>
              <w:t>布袋除尘器原理：</w:t>
            </w:r>
            <w:r>
              <w:rPr>
                <w:rFonts w:hint="eastAsia"/>
                <w:b w:val="0"/>
                <w:bCs/>
                <w:color w:val="auto"/>
                <w:kern w:val="0"/>
                <w:lang w:val="en-US" w:eastAsia="zh-CN"/>
              </w:rPr>
              <w:t>布袋除尘器又称袋式除尘器，其除尘原理是过滤机理，是重力、筛滤、惯性碰撞吸附效应和扩散与静电吸引等各种力的综合效应。布袋除尘器主要是利用滤料（织物或毛毡）对含尘气体进行过滤，以达到除尘的目的。过滤的过程分2个阶段，首先是含尘气体通过清洁的滤料，此时起过滤作用的主要是滤料纤维的阻留。其次，当阻留的粉尘不断增加，一部分粉尘嵌进到滤料内部，一部分覆盖在滤料表面形成粉尘层，此时主要依靠粉尘层过滤含尘气体。含尘气体进入除尘器后，气流速度下降，烟尘中较大颗粒直接沉淀至灰斗，其余尘粒从外至内穿过滤袋进行过滤，清洁烟气从滤袋内侧排放，粉尘被阻留在滤袋外侧。布袋除尘器已广泛应用于各个工业部门中，用以捕集工业粉尘。</w:t>
            </w:r>
          </w:p>
          <w:p w14:paraId="3ADB2814">
            <w:pPr>
              <w:adjustRightInd w:val="0"/>
              <w:snapToGrid w:val="0"/>
              <w:spacing w:line="360" w:lineRule="auto"/>
              <w:ind w:firstLine="420" w:firstLineChars="200"/>
              <w:rPr>
                <w:rFonts w:hint="eastAsia"/>
                <w:b w:val="0"/>
                <w:bCs/>
                <w:color w:val="auto"/>
                <w:kern w:val="0"/>
                <w:lang w:val="en-US" w:eastAsia="zh-CN"/>
              </w:rPr>
            </w:pPr>
            <w:r>
              <w:rPr>
                <w:rFonts w:hint="eastAsia"/>
                <w:b w:val="0"/>
                <w:bCs/>
                <w:color w:val="auto"/>
                <w:kern w:val="0"/>
                <w:lang w:val="en-US" w:eastAsia="zh-CN"/>
              </w:rPr>
              <w:t>对照《袋式除尘工程通用技术规范》（HJ2020-2012），其中4.1.1写明“袋式除尘工艺适用于各种风量下的含尘气体净化”，4.1.2写明“袋式除尘工艺的采用取决于污染物的特性。以下场合和要求下应优先采用袋式除尘工艺：a）粉尘排放浓度限值（标态干排气）＜30mg/m</w:t>
            </w:r>
            <w:r>
              <w:rPr>
                <w:rFonts w:hint="eastAsia"/>
                <w:b w:val="0"/>
                <w:bCs/>
                <w:color w:val="auto"/>
                <w:kern w:val="0"/>
                <w:vertAlign w:val="superscript"/>
                <w:lang w:val="en-US" w:eastAsia="zh-CN"/>
              </w:rPr>
              <w:t>3</w:t>
            </w:r>
            <w:r>
              <w:rPr>
                <w:rFonts w:hint="eastAsia"/>
                <w:b w:val="0"/>
                <w:bCs/>
                <w:color w:val="auto"/>
                <w:kern w:val="0"/>
                <w:lang w:val="en-US" w:eastAsia="zh-CN"/>
              </w:rPr>
              <w:t>；b）高效不急微细粒子；c）含尘空气的净化；d）炉窑烟气的净化；e）粉尘具有回收价值，可综合利用；f）水资源缺乏或严寒地区；g）垃圾焚烧烟气净化；h）高比电阻粉尘或粉尘浓度波动较大；i）净化后气体循环利用”，4.1.3写明“以下场合通过技术措施处理后可采用布袋除尘工艺：a）高温烟气通过冷却降温，满足滤料连续工作温度；b）烟气含湿量虽大，但烟气未饱和，且烟气温度高于露点温度15</w:t>
            </w:r>
            <w:r>
              <w:rPr>
                <w:rFonts w:hint="default" w:ascii="Times New Roman" w:hAnsi="Times New Roman" w:cs="Times New Roman"/>
                <w:b w:val="0"/>
                <w:bCs/>
                <w:color w:val="auto"/>
                <w:kern w:val="0"/>
                <w:lang w:val="en-US" w:eastAsia="zh-CN"/>
              </w:rPr>
              <w:t>℃</w:t>
            </w:r>
            <w:r>
              <w:rPr>
                <w:rFonts w:hint="eastAsia"/>
                <w:b w:val="0"/>
                <w:bCs/>
                <w:color w:val="auto"/>
                <w:kern w:val="0"/>
                <w:lang w:val="en-US" w:eastAsia="zh-CN"/>
              </w:rPr>
              <w:t>以上；c）烟气短期含油雾，但袋式除尘器采取了预涂粉防护措施；d）烟气中虽有火星，但已采取火星捕集等预处理措施”。</w:t>
            </w:r>
          </w:p>
          <w:p w14:paraId="7EFED029">
            <w:pPr>
              <w:adjustRightInd w:val="0"/>
              <w:snapToGrid w:val="0"/>
              <w:spacing w:line="360" w:lineRule="auto"/>
              <w:ind w:firstLine="420" w:firstLineChars="200"/>
              <w:rPr>
                <w:rFonts w:hint="eastAsia"/>
                <w:b w:val="0"/>
                <w:bCs/>
                <w:color w:val="auto"/>
                <w:kern w:val="0"/>
                <w:lang w:val="en-US" w:eastAsia="zh-CN"/>
              </w:rPr>
            </w:pPr>
            <w:r>
              <w:rPr>
                <w:rFonts w:hint="eastAsia"/>
                <w:b w:val="0"/>
                <w:bCs/>
                <w:color w:val="auto"/>
                <w:kern w:val="0"/>
                <w:lang w:val="en-US" w:eastAsia="zh-CN"/>
              </w:rPr>
              <w:t>企业喷砂、喷锌工段粉尘经布袋除尘装置处理后由1根15米高排气筒DA001排放，排放浓度＜30mg/m</w:t>
            </w:r>
            <w:r>
              <w:rPr>
                <w:rFonts w:hint="eastAsia"/>
                <w:b w:val="0"/>
                <w:bCs/>
                <w:color w:val="auto"/>
                <w:kern w:val="0"/>
                <w:vertAlign w:val="superscript"/>
                <w:lang w:val="en-US" w:eastAsia="zh-CN"/>
              </w:rPr>
              <w:t>3</w:t>
            </w:r>
            <w:r>
              <w:rPr>
                <w:rFonts w:hint="eastAsia"/>
                <w:b w:val="0"/>
                <w:bCs/>
                <w:color w:val="auto"/>
                <w:kern w:val="0"/>
                <w:lang w:val="en-US" w:eastAsia="zh-CN"/>
              </w:rPr>
              <w:t>，属于4.1.2中“a）粉尘排放浓度限值（标态干排气）＜30mg/m</w:t>
            </w:r>
            <w:r>
              <w:rPr>
                <w:rFonts w:hint="eastAsia"/>
                <w:b w:val="0"/>
                <w:bCs/>
                <w:color w:val="auto"/>
                <w:kern w:val="0"/>
                <w:vertAlign w:val="superscript"/>
                <w:lang w:val="en-US" w:eastAsia="zh-CN"/>
              </w:rPr>
              <w:t>3</w:t>
            </w:r>
            <w:r>
              <w:rPr>
                <w:rFonts w:hint="eastAsia"/>
                <w:b w:val="0"/>
                <w:bCs/>
                <w:color w:val="auto"/>
                <w:kern w:val="0"/>
                <w:lang w:val="en-US" w:eastAsia="zh-CN"/>
              </w:rPr>
              <w:t>；c）含尘空气的净化”。企业采用的布袋除尘器在气体进入布袋前设有阻火器，且布袋为耐高温布袋，符合4.1.3中“d）烟气中虽有火星，但已采取火星捕集等预处理措施”。</w:t>
            </w:r>
          </w:p>
          <w:p w14:paraId="11A2A168">
            <w:pPr>
              <w:adjustRightInd w:val="0"/>
              <w:snapToGrid w:val="0"/>
              <w:spacing w:line="360" w:lineRule="auto"/>
              <w:ind w:firstLine="422" w:firstLineChars="200"/>
              <w:rPr>
                <w:rFonts w:hint="default"/>
                <w:b w:val="0"/>
                <w:bCs/>
                <w:color w:val="auto"/>
                <w:kern w:val="0"/>
                <w:lang w:val="en-US" w:eastAsia="zh-CN"/>
              </w:rPr>
            </w:pPr>
            <w:r>
              <w:rPr>
                <w:rFonts w:hint="eastAsia"/>
                <w:b/>
                <w:color w:val="auto"/>
                <w:kern w:val="0"/>
                <w:lang w:val="en-US" w:eastAsia="zh-CN"/>
              </w:rPr>
              <w:t>2</w:t>
            </w:r>
            <w:r>
              <w:rPr>
                <w:rFonts w:hint="eastAsia"/>
                <w:b/>
                <w:color w:val="auto"/>
                <w:kern w:val="0"/>
              </w:rPr>
              <w:t>）</w:t>
            </w:r>
            <w:r>
              <w:rPr>
                <w:b/>
                <w:color w:val="auto"/>
                <w:kern w:val="0"/>
              </w:rPr>
              <w:t>收集可行性分析</w:t>
            </w:r>
          </w:p>
          <w:p w14:paraId="7D35510F">
            <w:pPr>
              <w:adjustRightInd w:val="0"/>
              <w:snapToGrid w:val="0"/>
              <w:spacing w:line="360" w:lineRule="auto"/>
              <w:ind w:firstLine="420" w:firstLineChars="200"/>
              <w:rPr>
                <w:bCs/>
                <w:color w:val="auto"/>
                <w:kern w:val="0"/>
              </w:rPr>
            </w:pPr>
            <w:r>
              <w:rPr>
                <w:rFonts w:hint="eastAsia"/>
                <w:bCs/>
                <w:color w:val="auto"/>
                <w:kern w:val="0"/>
                <w:lang w:eastAsia="zh-CN"/>
              </w:rPr>
              <w:t>项目</w:t>
            </w:r>
            <w:r>
              <w:rPr>
                <w:rFonts w:hint="eastAsia"/>
                <w:bCs/>
                <w:color w:val="auto"/>
                <w:kern w:val="0"/>
                <w:lang w:val="en-US" w:eastAsia="zh-CN"/>
              </w:rPr>
              <w:t>喷砂产生的颗粒物经喷砂房密闭收集；喷锌产生的颗粒物经喷锌房密闭收集；喷漆产生的非甲烷总烃、颗粒物经喷漆房密闭收集，</w:t>
            </w:r>
            <w:r>
              <w:rPr>
                <w:rFonts w:hint="eastAsia"/>
                <w:bCs/>
                <w:color w:val="auto"/>
                <w:kern w:val="0"/>
                <w:lang w:eastAsia="zh-CN"/>
              </w:rPr>
              <w:t>可将各产污节点的废气收集</w:t>
            </w:r>
            <w:r>
              <w:rPr>
                <w:bCs/>
                <w:color w:val="auto"/>
                <w:kern w:val="0"/>
              </w:rPr>
              <w:t>。</w:t>
            </w:r>
          </w:p>
          <w:p w14:paraId="577B4AC8">
            <w:pPr>
              <w:adjustRightInd w:val="0"/>
              <w:snapToGrid w:val="0"/>
              <w:spacing w:line="360" w:lineRule="auto"/>
              <w:ind w:firstLine="422" w:firstLineChars="200"/>
              <w:rPr>
                <w:b/>
                <w:bCs/>
                <w:color w:val="auto"/>
                <w:kern w:val="0"/>
              </w:rPr>
            </w:pPr>
            <w:r>
              <w:rPr>
                <w:rFonts w:hint="eastAsia"/>
                <w:b/>
                <w:bCs/>
                <w:color w:val="auto"/>
                <w:kern w:val="0"/>
                <w:lang w:val="en-US" w:eastAsia="zh-CN"/>
              </w:rPr>
              <w:t>3</w:t>
            </w:r>
            <w:r>
              <w:rPr>
                <w:rFonts w:hint="eastAsia"/>
                <w:b/>
                <w:bCs/>
                <w:color w:val="auto"/>
                <w:kern w:val="0"/>
              </w:rPr>
              <w:t>）</w:t>
            </w:r>
            <w:r>
              <w:rPr>
                <w:b/>
                <w:bCs/>
                <w:color w:val="auto"/>
                <w:kern w:val="0"/>
              </w:rPr>
              <w:t>废气处理设施技术可行性分析</w:t>
            </w:r>
          </w:p>
          <w:p w14:paraId="01E72F9D">
            <w:pPr>
              <w:autoSpaceDE w:val="0"/>
              <w:autoSpaceDN w:val="0"/>
              <w:adjustRightInd w:val="0"/>
              <w:snapToGrid w:val="0"/>
              <w:spacing w:line="360" w:lineRule="auto"/>
              <w:ind w:firstLine="420" w:firstLineChars="200"/>
              <w:rPr>
                <w:bCs/>
                <w:color w:val="auto"/>
                <w:kern w:val="0"/>
              </w:rPr>
            </w:pPr>
            <w:r>
              <w:rPr>
                <w:bCs/>
                <w:color w:val="auto"/>
              </w:rPr>
              <w:t>参考</w:t>
            </w:r>
            <w:r>
              <w:rPr>
                <w:rFonts w:hint="eastAsia"/>
                <w:bCs/>
                <w:color w:val="auto"/>
              </w:rPr>
              <w:t xml:space="preserve">《排污许可证申请与核发技术规范 </w:t>
            </w:r>
            <w:r>
              <w:rPr>
                <w:rFonts w:hint="eastAsia"/>
                <w:bCs/>
                <w:color w:val="auto"/>
                <w:lang w:val="en-US" w:eastAsia="zh-CN"/>
              </w:rPr>
              <w:t>总则</w:t>
            </w:r>
            <w:r>
              <w:rPr>
                <w:rFonts w:hint="eastAsia"/>
                <w:bCs/>
                <w:color w:val="auto"/>
              </w:rPr>
              <w:t>》</w:t>
            </w:r>
            <w:r>
              <w:rPr>
                <w:bCs/>
                <w:color w:val="auto"/>
              </w:rPr>
              <w:t>（HJ</w:t>
            </w:r>
            <w:r>
              <w:rPr>
                <w:rFonts w:hint="eastAsia"/>
                <w:bCs/>
                <w:color w:val="auto"/>
                <w:lang w:val="en-US" w:eastAsia="zh-CN"/>
              </w:rPr>
              <w:t xml:space="preserve"> 942-2018</w:t>
            </w:r>
            <w:r>
              <w:rPr>
                <w:bCs/>
                <w:color w:val="auto"/>
              </w:rPr>
              <w:t>）</w:t>
            </w:r>
            <w:r>
              <w:rPr>
                <w:rFonts w:hint="eastAsia"/>
                <w:bCs/>
                <w:color w:val="auto"/>
              </w:rPr>
              <w:t>，</w:t>
            </w:r>
            <w:r>
              <w:rPr>
                <w:rFonts w:hint="eastAsia"/>
                <w:bCs/>
                <w:color w:val="auto"/>
                <w:lang w:val="en-US" w:eastAsia="zh-CN"/>
              </w:rPr>
              <w:t>颗粒物收集治理系统（袋式除尘器）</w:t>
            </w:r>
            <w:r>
              <w:rPr>
                <w:rFonts w:hint="eastAsia"/>
                <w:bCs/>
                <w:color w:val="auto"/>
              </w:rPr>
              <w:t>为可行技术</w:t>
            </w:r>
            <w:r>
              <w:rPr>
                <w:rFonts w:hint="eastAsia"/>
                <w:bCs/>
                <w:color w:val="auto"/>
                <w:lang w:eastAsia="zh-CN"/>
              </w:rPr>
              <w:t>；</w:t>
            </w:r>
            <w:r>
              <w:rPr>
                <w:rFonts w:hint="eastAsia"/>
                <w:bCs/>
                <w:color w:val="auto"/>
                <w:lang w:val="en-US" w:eastAsia="zh-CN"/>
              </w:rPr>
              <w:t xml:space="preserve">参考《排污许可证申请与核发技术规范 </w:t>
            </w:r>
            <w:r>
              <w:rPr>
                <w:rFonts w:hint="eastAsia"/>
                <w:bCs/>
                <w:color w:val="auto"/>
                <w:kern w:val="0"/>
              </w:rPr>
              <w:t>铁路、船舶、航空航天和其他运输设备制造业》（HJ 1124-2020）</w:t>
            </w:r>
            <w:r>
              <w:rPr>
                <w:rFonts w:hint="eastAsia"/>
                <w:bCs/>
                <w:color w:val="auto"/>
                <w:kern w:val="0"/>
                <w:lang w:val="en-US" w:eastAsia="zh-CN"/>
              </w:rPr>
              <w:t>表A.6 表面处理（涂装）排污单位废气污染防治推荐可行技术，采用过滤+吸附为可行技术</w:t>
            </w:r>
            <w:r>
              <w:rPr>
                <w:rFonts w:hint="eastAsia"/>
                <w:bCs/>
                <w:color w:val="auto"/>
              </w:rPr>
              <w:t>。</w:t>
            </w:r>
          </w:p>
          <w:p w14:paraId="026FB810">
            <w:pPr>
              <w:pStyle w:val="5"/>
              <w:adjustRightInd w:val="0"/>
              <w:snapToGrid w:val="0"/>
              <w:spacing w:line="360" w:lineRule="auto"/>
              <w:ind w:firstLine="422" w:firstLineChars="200"/>
              <w:rPr>
                <w:b/>
                <w:bCs/>
                <w:color w:val="auto"/>
                <w:kern w:val="0"/>
                <w:szCs w:val="21"/>
              </w:rPr>
            </w:pPr>
            <w:r>
              <w:rPr>
                <w:rFonts w:hint="eastAsia"/>
                <w:b/>
                <w:bCs/>
                <w:color w:val="auto"/>
                <w:kern w:val="0"/>
                <w:szCs w:val="21"/>
                <w:lang w:val="en-US" w:eastAsia="zh-CN"/>
              </w:rPr>
              <w:t>③</w:t>
            </w:r>
            <w:r>
              <w:rPr>
                <w:b/>
                <w:bCs/>
                <w:color w:val="auto"/>
                <w:kern w:val="0"/>
                <w:szCs w:val="21"/>
              </w:rPr>
              <w:t>排气筒设置合理性分析</w:t>
            </w:r>
          </w:p>
          <w:p w14:paraId="44EBAEF6">
            <w:pPr>
              <w:autoSpaceDE w:val="0"/>
              <w:autoSpaceDN w:val="0"/>
              <w:adjustRightInd w:val="0"/>
              <w:snapToGrid w:val="0"/>
              <w:spacing w:line="360" w:lineRule="auto"/>
              <w:ind w:firstLine="420" w:firstLineChars="200"/>
              <w:rPr>
                <w:bCs/>
                <w:color w:val="auto"/>
                <w:kern w:val="0"/>
                <w:lang w:val="zh-CN"/>
              </w:rPr>
            </w:pPr>
            <w:r>
              <w:rPr>
                <w:bCs/>
                <w:color w:val="auto"/>
                <w:kern w:val="0"/>
                <w:lang w:val="zh-CN"/>
              </w:rPr>
              <w:t>现从车间生产线布局和大气环境影响角度进行排气筒布置、排气筒高度确定及合理性论证，排气筒设置合理性分析如下：</w:t>
            </w:r>
          </w:p>
          <w:p w14:paraId="4A03CA7B">
            <w:pPr>
              <w:autoSpaceDE w:val="0"/>
              <w:autoSpaceDN w:val="0"/>
              <w:adjustRightInd w:val="0"/>
              <w:snapToGrid w:val="0"/>
              <w:spacing w:line="360" w:lineRule="auto"/>
              <w:ind w:firstLine="422" w:firstLineChars="200"/>
              <w:rPr>
                <w:b/>
                <w:color w:val="auto"/>
                <w:kern w:val="0"/>
                <w:lang w:val="zh-CN"/>
              </w:rPr>
            </w:pPr>
            <w:r>
              <w:rPr>
                <w:rFonts w:hint="eastAsia"/>
                <w:b/>
                <w:color w:val="auto"/>
                <w:kern w:val="0"/>
              </w:rPr>
              <w:t>1）</w:t>
            </w:r>
            <w:r>
              <w:rPr>
                <w:b/>
                <w:color w:val="auto"/>
                <w:kern w:val="0"/>
                <w:lang w:val="zh-CN"/>
              </w:rPr>
              <w:t>排气筒高度规定</w:t>
            </w:r>
          </w:p>
          <w:p w14:paraId="4E1BE1E4">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textAlignment w:val="auto"/>
              <w:rPr>
                <w:bCs/>
                <w:color w:val="auto"/>
                <w:kern w:val="0"/>
                <w:sz w:val="21"/>
                <w:lang w:val="zh-CN"/>
              </w:rPr>
            </w:pPr>
            <w:r>
              <w:rPr>
                <w:bCs/>
                <w:color w:val="auto"/>
                <w:kern w:val="0"/>
                <w:sz w:val="21"/>
                <w:lang w:val="zh-CN"/>
              </w:rPr>
              <w:t>根据</w:t>
            </w:r>
            <w:r>
              <w:rPr>
                <w:rFonts w:hint="eastAsia"/>
                <w:color w:val="auto"/>
                <w:kern w:val="0"/>
                <w:sz w:val="21"/>
              </w:rPr>
              <w:t>《</w:t>
            </w:r>
            <w:r>
              <w:rPr>
                <w:rFonts w:hint="eastAsia"/>
                <w:color w:val="auto"/>
                <w:kern w:val="0"/>
                <w:sz w:val="21"/>
                <w:lang w:val="en-US" w:eastAsia="zh-CN"/>
              </w:rPr>
              <w:t>工业涂装工序大气污染物排放标准</w:t>
            </w:r>
            <w:r>
              <w:rPr>
                <w:rFonts w:hint="eastAsia"/>
                <w:color w:val="auto"/>
                <w:kern w:val="0"/>
                <w:sz w:val="21"/>
              </w:rPr>
              <w:t>》</w:t>
            </w:r>
            <w:r>
              <w:rPr>
                <w:rFonts w:hint="eastAsia"/>
                <w:color w:val="auto"/>
                <w:kern w:val="0"/>
                <w:sz w:val="21"/>
                <w:lang w:eastAsia="zh-CN"/>
              </w:rPr>
              <w:t>（</w:t>
            </w:r>
            <w:r>
              <w:rPr>
                <w:rFonts w:hint="eastAsia"/>
                <w:color w:val="auto"/>
                <w:kern w:val="0"/>
                <w:sz w:val="21"/>
              </w:rPr>
              <w:t>DB32/4439-2022</w:t>
            </w:r>
            <w:r>
              <w:rPr>
                <w:rFonts w:hint="eastAsia"/>
                <w:color w:val="auto"/>
                <w:kern w:val="0"/>
                <w:sz w:val="21"/>
                <w:lang w:eastAsia="zh-CN"/>
              </w:rPr>
              <w:t>）</w:t>
            </w:r>
            <w:r>
              <w:rPr>
                <w:bCs/>
                <w:color w:val="auto"/>
                <w:kern w:val="0"/>
                <w:sz w:val="21"/>
                <w:lang w:val="zh-CN"/>
              </w:rPr>
              <w:t>要求，</w:t>
            </w:r>
            <w:r>
              <w:rPr>
                <w:rFonts w:hint="eastAsia"/>
                <w:bCs/>
                <w:color w:val="auto"/>
                <w:kern w:val="0"/>
                <w:sz w:val="21"/>
                <w:lang w:val="zh-CN"/>
              </w:rPr>
              <w:t>除因安全考虑或有特殊工艺要求的以外，排气筒高度不应低于15m，具体高度以及与周围建筑物的相关高度关系应根据环境影响评价文件确定。</w:t>
            </w:r>
            <w:r>
              <w:rPr>
                <w:bCs/>
                <w:color w:val="auto"/>
                <w:kern w:val="0"/>
                <w:sz w:val="21"/>
                <w:lang w:val="zh-CN"/>
              </w:rPr>
              <w:t>建设项目设置的</w:t>
            </w:r>
            <w:r>
              <w:rPr>
                <w:rFonts w:hint="eastAsia"/>
                <w:bCs/>
                <w:color w:val="auto"/>
                <w:kern w:val="0"/>
                <w:sz w:val="21"/>
              </w:rPr>
              <w:t>DA001</w:t>
            </w:r>
            <w:r>
              <w:rPr>
                <w:rFonts w:hint="eastAsia"/>
                <w:bCs/>
                <w:color w:val="auto"/>
                <w:kern w:val="0"/>
                <w:sz w:val="21"/>
                <w:lang w:eastAsia="zh-CN"/>
              </w:rPr>
              <w:t>、</w:t>
            </w:r>
            <w:r>
              <w:rPr>
                <w:rFonts w:hint="eastAsia"/>
                <w:bCs/>
                <w:color w:val="auto"/>
                <w:kern w:val="0"/>
                <w:sz w:val="21"/>
                <w:lang w:val="en-US" w:eastAsia="zh-CN"/>
              </w:rPr>
              <w:t>DA002</w:t>
            </w:r>
            <w:r>
              <w:rPr>
                <w:bCs/>
                <w:color w:val="auto"/>
                <w:kern w:val="0"/>
                <w:sz w:val="21"/>
                <w:lang w:val="zh-CN"/>
              </w:rPr>
              <w:t>排气筒</w:t>
            </w:r>
            <w:r>
              <w:rPr>
                <w:rFonts w:hint="eastAsia"/>
                <w:bCs/>
                <w:color w:val="auto"/>
                <w:kern w:val="0"/>
                <w:sz w:val="21"/>
              </w:rPr>
              <w:t>高度为</w:t>
            </w:r>
            <w:r>
              <w:rPr>
                <w:rFonts w:hint="eastAsia"/>
                <w:bCs/>
                <w:color w:val="auto"/>
                <w:kern w:val="0"/>
                <w:sz w:val="21"/>
                <w:lang w:val="en-US" w:eastAsia="zh-CN"/>
              </w:rPr>
              <w:t>15</w:t>
            </w:r>
            <w:r>
              <w:rPr>
                <w:rFonts w:hint="eastAsia"/>
                <w:bCs/>
                <w:color w:val="auto"/>
                <w:kern w:val="0"/>
                <w:sz w:val="21"/>
              </w:rPr>
              <w:t>m</w:t>
            </w:r>
            <w:r>
              <w:rPr>
                <w:rFonts w:hint="eastAsia"/>
                <w:bCs/>
                <w:color w:val="auto"/>
                <w:kern w:val="0"/>
                <w:sz w:val="21"/>
                <w:lang w:val="zh-CN"/>
              </w:rPr>
              <w:t>，</w:t>
            </w:r>
            <w:r>
              <w:rPr>
                <w:bCs/>
                <w:color w:val="auto"/>
                <w:kern w:val="0"/>
                <w:sz w:val="21"/>
                <w:lang w:val="zh-CN"/>
              </w:rPr>
              <w:t>并设置了采样平台及采样孔。因此，项目排气筒高度设置是合理可行的。</w:t>
            </w:r>
          </w:p>
          <w:p w14:paraId="31A698A7">
            <w:pPr>
              <w:autoSpaceDE w:val="0"/>
              <w:autoSpaceDN w:val="0"/>
              <w:adjustRightInd w:val="0"/>
              <w:snapToGrid w:val="0"/>
              <w:spacing w:line="360" w:lineRule="auto"/>
              <w:ind w:firstLine="422" w:firstLineChars="200"/>
              <w:rPr>
                <w:b/>
                <w:color w:val="auto"/>
                <w:kern w:val="0"/>
                <w:lang w:val="zh-CN"/>
              </w:rPr>
            </w:pPr>
            <w:r>
              <w:rPr>
                <w:rFonts w:hint="eastAsia"/>
                <w:b/>
                <w:color w:val="auto"/>
                <w:kern w:val="0"/>
              </w:rPr>
              <w:t>2）</w:t>
            </w:r>
            <w:r>
              <w:rPr>
                <w:b/>
                <w:color w:val="auto"/>
                <w:kern w:val="0"/>
                <w:lang w:val="zh-CN"/>
              </w:rPr>
              <w:t>排气筒数量可行性分析</w:t>
            </w:r>
          </w:p>
          <w:p w14:paraId="0431C468">
            <w:pPr>
              <w:autoSpaceDE w:val="0"/>
              <w:autoSpaceDN w:val="0"/>
              <w:adjustRightInd w:val="0"/>
              <w:snapToGrid w:val="0"/>
              <w:spacing w:line="360" w:lineRule="auto"/>
              <w:ind w:firstLine="420" w:firstLineChars="200"/>
              <w:rPr>
                <w:bCs/>
                <w:color w:val="auto"/>
                <w:kern w:val="0"/>
                <w:lang w:val="zh-CN"/>
              </w:rPr>
            </w:pPr>
            <w:r>
              <w:rPr>
                <w:bCs/>
                <w:color w:val="auto"/>
                <w:kern w:val="0"/>
              </w:rPr>
              <w:t>建设单位在设计过程中综合考虑工艺要求、废气风量、对周围环境的影响等前提下，合理设置排气筒的数量，减少对周边环境的影响。</w:t>
            </w:r>
            <w:r>
              <w:rPr>
                <w:rFonts w:hint="eastAsia"/>
                <w:bCs/>
                <w:color w:val="auto"/>
                <w:kern w:val="0"/>
                <w:lang w:val="en-US" w:eastAsia="zh-CN"/>
              </w:rPr>
              <w:t>喷砂、喷锌</w:t>
            </w:r>
            <w:r>
              <w:rPr>
                <w:bCs/>
                <w:color w:val="auto"/>
                <w:kern w:val="0"/>
              </w:rPr>
              <w:t>均含有相同的废气污染物（</w:t>
            </w:r>
            <w:r>
              <w:rPr>
                <w:rFonts w:hint="eastAsia"/>
                <w:bCs/>
                <w:color w:val="auto"/>
                <w:kern w:val="0"/>
                <w:lang w:val="en-US" w:eastAsia="zh-CN"/>
              </w:rPr>
              <w:t>颗粒物</w:t>
            </w:r>
            <w:r>
              <w:rPr>
                <w:bCs/>
                <w:color w:val="auto"/>
                <w:kern w:val="0"/>
              </w:rPr>
              <w:t>），通过生产车间合理布局，遵循同类排气筒合并的原则，尽量减少排气筒设置。</w:t>
            </w:r>
            <w:r>
              <w:rPr>
                <w:rFonts w:hint="eastAsia"/>
                <w:bCs/>
                <w:color w:val="auto"/>
                <w:kern w:val="0"/>
              </w:rPr>
              <w:t>因此本项目设置了</w:t>
            </w:r>
            <w:r>
              <w:rPr>
                <w:rFonts w:hint="eastAsia"/>
                <w:bCs/>
                <w:color w:val="auto"/>
                <w:kern w:val="0"/>
                <w:lang w:val="en-US" w:eastAsia="zh-CN"/>
              </w:rPr>
              <w:t>2</w:t>
            </w:r>
            <w:r>
              <w:rPr>
                <w:rFonts w:hint="eastAsia"/>
                <w:bCs/>
                <w:color w:val="auto"/>
                <w:kern w:val="0"/>
              </w:rPr>
              <w:t>根排气筒。根据排气筒设计参数可知，项目</w:t>
            </w:r>
            <w:r>
              <w:rPr>
                <w:rFonts w:hint="eastAsia"/>
                <w:bCs/>
                <w:color w:val="auto"/>
                <w:kern w:val="0"/>
                <w:lang w:val="en-US" w:eastAsia="zh-CN"/>
              </w:rPr>
              <w:t>喷砂房、喷锌房颗粒物</w:t>
            </w:r>
            <w:r>
              <w:rPr>
                <w:rFonts w:hint="eastAsia"/>
                <w:bCs/>
                <w:color w:val="auto"/>
                <w:kern w:val="0"/>
              </w:rPr>
              <w:t>收集风机风量为</w:t>
            </w:r>
            <w:r>
              <w:rPr>
                <w:rFonts w:hint="eastAsia"/>
                <w:bCs/>
                <w:color w:val="auto"/>
                <w:kern w:val="0"/>
                <w:lang w:val="en-US" w:eastAsia="zh-CN"/>
              </w:rPr>
              <w:t>25000</w:t>
            </w:r>
            <w:r>
              <w:rPr>
                <w:rFonts w:hint="eastAsia"/>
                <w:bCs/>
                <w:color w:val="auto"/>
                <w:kern w:val="0"/>
              </w:rPr>
              <w:t>m</w:t>
            </w:r>
            <w:r>
              <w:rPr>
                <w:rFonts w:hint="eastAsia"/>
                <w:bCs/>
                <w:color w:val="auto"/>
                <w:kern w:val="0"/>
                <w:vertAlign w:val="superscript"/>
              </w:rPr>
              <w:t>3</w:t>
            </w:r>
            <w:r>
              <w:rPr>
                <w:rFonts w:hint="eastAsia"/>
                <w:bCs/>
                <w:color w:val="auto"/>
                <w:kern w:val="0"/>
              </w:rPr>
              <w:t>/h，</w:t>
            </w:r>
            <w:r>
              <w:rPr>
                <w:rFonts w:hint="eastAsia"/>
                <w:bCs/>
                <w:color w:val="auto"/>
                <w:kern w:val="0"/>
                <w:lang w:val="en-US" w:eastAsia="zh-CN"/>
              </w:rPr>
              <w:t>喷漆房颗粒物、有机废气收集风机风量为25000</w:t>
            </w:r>
            <w:r>
              <w:rPr>
                <w:rFonts w:hint="eastAsia"/>
                <w:bCs/>
                <w:color w:val="auto"/>
                <w:kern w:val="0"/>
              </w:rPr>
              <w:t>m</w:t>
            </w:r>
            <w:r>
              <w:rPr>
                <w:rFonts w:hint="eastAsia"/>
                <w:bCs/>
                <w:color w:val="auto"/>
                <w:kern w:val="0"/>
                <w:vertAlign w:val="superscript"/>
              </w:rPr>
              <w:t>3</w:t>
            </w:r>
            <w:r>
              <w:rPr>
                <w:rFonts w:hint="eastAsia"/>
                <w:bCs/>
                <w:color w:val="auto"/>
                <w:kern w:val="0"/>
              </w:rPr>
              <w:t>/h，满足废气合并要求</w:t>
            </w:r>
            <w:r>
              <w:rPr>
                <w:rFonts w:hint="eastAsia"/>
                <w:bCs/>
                <w:color w:val="auto"/>
                <w:kern w:val="0"/>
                <w:lang w:val="zh-CN"/>
              </w:rPr>
              <w:t>，</w:t>
            </w:r>
            <w:r>
              <w:rPr>
                <w:rFonts w:hint="eastAsia"/>
                <w:bCs/>
                <w:color w:val="auto"/>
                <w:kern w:val="0"/>
              </w:rPr>
              <w:t>因此，</w:t>
            </w:r>
            <w:r>
              <w:rPr>
                <w:bCs/>
                <w:color w:val="auto"/>
                <w:kern w:val="0"/>
                <w:lang w:val="zh-CN"/>
              </w:rPr>
              <w:t>排气筒布置时综合考虑了废气合并处理的适宜性、风量大小、排气筒检修对生产装置带来的影响大小等因素。</w:t>
            </w:r>
          </w:p>
          <w:p w14:paraId="10712806">
            <w:pPr>
              <w:autoSpaceDE w:val="0"/>
              <w:autoSpaceDN w:val="0"/>
              <w:adjustRightInd w:val="0"/>
              <w:snapToGrid w:val="0"/>
              <w:spacing w:line="360" w:lineRule="auto"/>
              <w:ind w:firstLine="422" w:firstLineChars="200"/>
              <w:rPr>
                <w:bCs/>
                <w:color w:val="auto"/>
                <w:kern w:val="0"/>
                <w:lang w:val="zh-CN"/>
              </w:rPr>
            </w:pPr>
            <w:r>
              <w:rPr>
                <w:rFonts w:hint="eastAsia"/>
                <w:b/>
                <w:color w:val="auto"/>
                <w:kern w:val="0"/>
              </w:rPr>
              <w:t>3）</w:t>
            </w:r>
            <w:r>
              <w:rPr>
                <w:b/>
                <w:color w:val="auto"/>
                <w:kern w:val="0"/>
                <w:lang w:val="zh-CN"/>
              </w:rPr>
              <w:t>风量合理性分析</w:t>
            </w:r>
          </w:p>
          <w:p w14:paraId="5F2A9B7E">
            <w:pPr>
              <w:adjustRightInd w:val="0"/>
              <w:snapToGrid w:val="0"/>
              <w:spacing w:line="360" w:lineRule="auto"/>
              <w:ind w:firstLine="420" w:firstLineChars="200"/>
              <w:rPr>
                <w:rFonts w:hint="default"/>
                <w:color w:val="auto"/>
                <w:kern w:val="0"/>
                <w:lang w:val="en-US"/>
              </w:rPr>
            </w:pPr>
            <w:r>
              <w:rPr>
                <w:rFonts w:hint="eastAsia"/>
                <w:bCs/>
                <w:color w:val="auto"/>
                <w:kern w:val="0"/>
                <w:lang w:val="en-US" w:eastAsia="zh-CN"/>
              </w:rPr>
              <w:t>本项目1间喷锌房、1间喷砂房、4间喷漆房整体空间均为288m</w:t>
            </w:r>
            <w:r>
              <w:rPr>
                <w:rFonts w:hint="eastAsia"/>
                <w:bCs/>
                <w:color w:val="auto"/>
                <w:kern w:val="0"/>
                <w:vertAlign w:val="superscript"/>
                <w:lang w:val="en-US" w:eastAsia="zh-CN"/>
              </w:rPr>
              <w:t>3</w:t>
            </w:r>
            <w:r>
              <w:rPr>
                <w:rFonts w:hint="eastAsia"/>
                <w:bCs/>
                <w:color w:val="auto"/>
                <w:kern w:val="0"/>
                <w:lang w:val="en-US" w:eastAsia="zh-CN"/>
              </w:rPr>
              <w:t>（</w:t>
            </w:r>
            <w:r>
              <w:rPr>
                <w:rFonts w:hint="default" w:ascii="Times New Roman" w:hAnsi="Times New Roman" w:cs="Times New Roman"/>
                <w:color w:val="auto"/>
                <w:kern w:val="0"/>
                <w:sz w:val="21"/>
                <w:szCs w:val="21"/>
                <w:lang w:val="en-US" w:eastAsia="zh-CN"/>
              </w:rPr>
              <w:t>6m×8m×6m</w:t>
            </w:r>
            <w:r>
              <w:rPr>
                <w:rFonts w:hint="eastAsia"/>
                <w:bCs/>
                <w:color w:val="auto"/>
                <w:kern w:val="0"/>
                <w:lang w:val="en-US" w:eastAsia="zh-CN"/>
              </w:rPr>
              <w:t>），喷锌房、喷砂房每小时换气约41次，则喷锌房、喷砂房风量为23616m</w:t>
            </w:r>
            <w:r>
              <w:rPr>
                <w:rFonts w:hint="eastAsia"/>
                <w:bCs/>
                <w:color w:val="auto"/>
                <w:kern w:val="0"/>
                <w:vertAlign w:val="superscript"/>
                <w:lang w:val="en-US" w:eastAsia="zh-CN"/>
              </w:rPr>
              <w:t>3</w:t>
            </w:r>
            <w:r>
              <w:rPr>
                <w:rFonts w:hint="eastAsia"/>
                <w:bCs/>
                <w:color w:val="auto"/>
                <w:kern w:val="0"/>
                <w:lang w:val="en-US" w:eastAsia="zh-CN"/>
              </w:rPr>
              <w:t>/h，考虑到在废气管道和处理装置中的风量损失，故本项目喷锌房、喷砂房废气处理装置设计风量确定为25000m</w:t>
            </w:r>
            <w:r>
              <w:rPr>
                <w:rFonts w:hint="eastAsia"/>
                <w:bCs/>
                <w:color w:val="auto"/>
                <w:kern w:val="0"/>
                <w:vertAlign w:val="superscript"/>
                <w:lang w:val="en-US" w:eastAsia="zh-CN"/>
              </w:rPr>
              <w:t>3</w:t>
            </w:r>
            <w:r>
              <w:rPr>
                <w:rFonts w:hint="eastAsia"/>
                <w:bCs/>
                <w:color w:val="auto"/>
                <w:kern w:val="0"/>
                <w:lang w:val="en-US" w:eastAsia="zh-CN"/>
              </w:rPr>
              <w:t>/h；</w:t>
            </w:r>
          </w:p>
          <w:p w14:paraId="254F0CBE">
            <w:pPr>
              <w:adjustRightInd w:val="0"/>
              <w:snapToGrid w:val="0"/>
              <w:spacing w:line="360" w:lineRule="auto"/>
              <w:ind w:firstLine="420" w:firstLineChars="200"/>
              <w:rPr>
                <w:rFonts w:hint="default" w:eastAsia="宋体"/>
                <w:bCs/>
                <w:color w:val="auto"/>
                <w:kern w:val="0"/>
                <w:lang w:val="en-US" w:eastAsia="zh-CN"/>
              </w:rPr>
            </w:pPr>
            <w:r>
              <w:rPr>
                <w:rFonts w:hint="eastAsia"/>
                <w:color w:val="auto"/>
                <w:lang w:val="en-US" w:eastAsia="zh-CN"/>
              </w:rPr>
              <w:t>喷漆房每小时换气约21次，则喷漆房风量为</w:t>
            </w:r>
            <w:r>
              <w:rPr>
                <w:rFonts w:hint="eastAsia"/>
                <w:bCs/>
                <w:color w:val="auto"/>
                <w:kern w:val="0"/>
                <w:lang w:val="en-US" w:eastAsia="zh-CN"/>
              </w:rPr>
              <w:t>24192m</w:t>
            </w:r>
            <w:r>
              <w:rPr>
                <w:rFonts w:hint="eastAsia"/>
                <w:bCs/>
                <w:color w:val="auto"/>
                <w:kern w:val="0"/>
                <w:vertAlign w:val="superscript"/>
                <w:lang w:val="en-US" w:eastAsia="zh-CN"/>
              </w:rPr>
              <w:t>3</w:t>
            </w:r>
            <w:r>
              <w:rPr>
                <w:rFonts w:hint="eastAsia"/>
                <w:bCs/>
                <w:color w:val="auto"/>
                <w:kern w:val="0"/>
                <w:lang w:val="en-US" w:eastAsia="zh-CN"/>
              </w:rPr>
              <w:t>/h，考虑到在废气管道和处理装置中的风量损失，故本项目喷锌房、喷砂房废气处理装置设计风量确定为25000m</w:t>
            </w:r>
            <w:r>
              <w:rPr>
                <w:rFonts w:hint="eastAsia"/>
                <w:bCs/>
                <w:color w:val="auto"/>
                <w:kern w:val="0"/>
                <w:vertAlign w:val="superscript"/>
                <w:lang w:val="en-US" w:eastAsia="zh-CN"/>
              </w:rPr>
              <w:t>3</w:t>
            </w:r>
            <w:r>
              <w:rPr>
                <w:rFonts w:hint="eastAsia"/>
                <w:bCs/>
                <w:color w:val="auto"/>
                <w:kern w:val="0"/>
                <w:lang w:val="en-US" w:eastAsia="zh-CN"/>
              </w:rPr>
              <w:t>/h。</w:t>
            </w:r>
          </w:p>
          <w:p w14:paraId="0810BD2A">
            <w:pPr>
              <w:autoSpaceDE w:val="0"/>
              <w:autoSpaceDN w:val="0"/>
              <w:adjustRightInd w:val="0"/>
              <w:snapToGrid w:val="0"/>
              <w:spacing w:line="360" w:lineRule="auto"/>
              <w:ind w:firstLine="420" w:firstLineChars="200"/>
              <w:rPr>
                <w:rFonts w:hint="default" w:eastAsia="宋体"/>
                <w:bCs/>
                <w:color w:val="auto"/>
                <w:kern w:val="0"/>
                <w:lang w:val="en-US" w:eastAsia="zh-CN"/>
              </w:rPr>
            </w:pPr>
            <w:r>
              <w:rPr>
                <w:rFonts w:hint="eastAsia"/>
                <w:bCs/>
                <w:color w:val="auto"/>
                <w:kern w:val="0"/>
                <w:lang w:val="en-US" w:eastAsia="zh-CN"/>
              </w:rPr>
              <w:t>危废仓库整体空间为60m</w:t>
            </w:r>
            <w:r>
              <w:rPr>
                <w:rFonts w:hint="eastAsia"/>
                <w:bCs/>
                <w:color w:val="auto"/>
                <w:kern w:val="0"/>
                <w:vertAlign w:val="superscript"/>
                <w:lang w:val="en-US" w:eastAsia="zh-CN"/>
              </w:rPr>
              <w:t>3</w:t>
            </w:r>
            <w:r>
              <w:rPr>
                <w:rFonts w:hint="default" w:ascii="Times New Roman" w:hAnsi="Times New Roman" w:cs="Times New Roman"/>
                <w:bCs/>
                <w:color w:val="auto"/>
                <w:kern w:val="0"/>
                <w:lang w:val="en-US" w:eastAsia="zh-CN"/>
              </w:rPr>
              <w:t>（4m×5m×3m）</w:t>
            </w:r>
            <w:r>
              <w:rPr>
                <w:rFonts w:hint="eastAsia"/>
                <w:bCs/>
                <w:color w:val="auto"/>
                <w:kern w:val="0"/>
                <w:lang w:val="en-US" w:eastAsia="zh-CN"/>
              </w:rPr>
              <w:t>，危废仓库每小时换气约40次，则危废仓库风量为2400m</w:t>
            </w:r>
            <w:r>
              <w:rPr>
                <w:rFonts w:hint="eastAsia"/>
                <w:bCs/>
                <w:color w:val="auto"/>
                <w:kern w:val="0"/>
                <w:vertAlign w:val="superscript"/>
                <w:lang w:val="en-US" w:eastAsia="zh-CN"/>
              </w:rPr>
              <w:t>3</w:t>
            </w:r>
            <w:r>
              <w:rPr>
                <w:rFonts w:hint="eastAsia"/>
                <w:bCs/>
                <w:color w:val="auto"/>
                <w:kern w:val="0"/>
                <w:lang w:val="en-US" w:eastAsia="zh-CN"/>
              </w:rPr>
              <w:t>/h，考虑到在废气管道和处理装置中的风量损失，故危废仓库废气处理装置设计风量确定为3000m</w:t>
            </w:r>
            <w:r>
              <w:rPr>
                <w:rFonts w:hint="eastAsia"/>
                <w:bCs/>
                <w:color w:val="auto"/>
                <w:kern w:val="0"/>
                <w:vertAlign w:val="superscript"/>
                <w:lang w:val="en-US" w:eastAsia="zh-CN"/>
              </w:rPr>
              <w:t>3</w:t>
            </w:r>
            <w:r>
              <w:rPr>
                <w:rFonts w:hint="eastAsia"/>
                <w:bCs/>
                <w:color w:val="auto"/>
                <w:kern w:val="0"/>
                <w:lang w:val="en-US" w:eastAsia="zh-CN"/>
              </w:rPr>
              <w:t>/h。</w:t>
            </w:r>
          </w:p>
          <w:p w14:paraId="4ED5A305">
            <w:pPr>
              <w:autoSpaceDE w:val="0"/>
              <w:autoSpaceDN w:val="0"/>
              <w:adjustRightInd w:val="0"/>
              <w:snapToGrid w:val="0"/>
              <w:spacing w:line="360" w:lineRule="auto"/>
              <w:ind w:firstLine="420" w:firstLineChars="200"/>
              <w:rPr>
                <w:bCs/>
                <w:color w:val="auto"/>
                <w:kern w:val="0"/>
                <w:lang w:val="zh-CN"/>
              </w:rPr>
            </w:pPr>
            <w:r>
              <w:rPr>
                <w:bCs/>
                <w:color w:val="auto"/>
                <w:kern w:val="0"/>
                <w:lang w:val="zh-CN"/>
              </w:rPr>
              <w:t>经计算，本项目</w:t>
            </w:r>
            <w:r>
              <w:rPr>
                <w:rFonts w:hint="eastAsia"/>
                <w:bCs/>
                <w:color w:val="auto"/>
                <w:kern w:val="0"/>
              </w:rPr>
              <w:t>DA001</w:t>
            </w:r>
            <w:r>
              <w:rPr>
                <w:rFonts w:hint="eastAsia"/>
                <w:color w:val="auto"/>
                <w:lang w:eastAsia="zh-CN"/>
              </w:rPr>
              <w:t>、</w:t>
            </w:r>
            <w:r>
              <w:rPr>
                <w:rFonts w:hint="eastAsia"/>
                <w:color w:val="auto"/>
                <w:lang w:val="en-US" w:eastAsia="zh-CN"/>
              </w:rPr>
              <w:t>DA002</w:t>
            </w:r>
            <w:r>
              <w:rPr>
                <w:bCs/>
                <w:color w:val="auto"/>
                <w:kern w:val="0"/>
                <w:lang w:val="zh-CN"/>
              </w:rPr>
              <w:t>排气筒烟气排放速度为</w:t>
            </w:r>
            <w:r>
              <w:rPr>
                <w:rFonts w:hint="eastAsia"/>
                <w:bCs/>
                <w:color w:val="auto"/>
                <w:kern w:val="0"/>
                <w:lang w:val="en-US" w:eastAsia="zh-CN"/>
              </w:rPr>
              <w:t>18.1</w:t>
            </w:r>
            <w:r>
              <w:rPr>
                <w:bCs/>
                <w:color w:val="auto"/>
                <w:kern w:val="0"/>
                <w:lang w:val="zh-CN"/>
              </w:rPr>
              <w:t>m/s</w:t>
            </w:r>
            <w:r>
              <w:rPr>
                <w:rFonts w:hint="eastAsia"/>
                <w:bCs/>
                <w:color w:val="auto"/>
                <w:kern w:val="0"/>
                <w:lang w:val="en-US" w:eastAsia="zh-CN"/>
              </w:rPr>
              <w:t>，</w:t>
            </w:r>
            <w:r>
              <w:rPr>
                <w:bCs/>
                <w:color w:val="auto"/>
                <w:kern w:val="0"/>
                <w:lang w:val="zh-CN"/>
              </w:rPr>
              <w:t>在15m/s左右，满足《大气污染治理工程技术导则》（HJ2000-2010）第5.3.5节</w:t>
            </w:r>
            <w:r>
              <w:rPr>
                <w:rFonts w:hint="eastAsia"/>
                <w:bCs/>
                <w:color w:val="auto"/>
                <w:kern w:val="0"/>
                <w:lang w:val="zh-CN"/>
              </w:rPr>
              <w:t>“</w:t>
            </w:r>
            <w:r>
              <w:rPr>
                <w:bCs/>
                <w:color w:val="auto"/>
                <w:kern w:val="0"/>
                <w:lang w:val="zh-CN"/>
              </w:rPr>
              <w:t>排气筒的出口直径应根据出口流速确定，流速宜取15m/s左右</w:t>
            </w:r>
            <w:r>
              <w:rPr>
                <w:rFonts w:hint="eastAsia"/>
                <w:bCs/>
                <w:color w:val="auto"/>
                <w:kern w:val="0"/>
                <w:lang w:val="zh-CN"/>
              </w:rPr>
              <w:t>”</w:t>
            </w:r>
            <w:r>
              <w:rPr>
                <w:bCs/>
                <w:color w:val="auto"/>
                <w:kern w:val="0"/>
                <w:lang w:val="zh-CN"/>
              </w:rPr>
              <w:t>的通用技术要求。</w:t>
            </w:r>
          </w:p>
          <w:p w14:paraId="393FE784">
            <w:pPr>
              <w:adjustRightInd w:val="0"/>
              <w:snapToGrid w:val="0"/>
              <w:spacing w:line="360" w:lineRule="auto"/>
              <w:ind w:firstLine="420" w:firstLineChars="200"/>
              <w:rPr>
                <w:bCs/>
                <w:color w:val="auto"/>
                <w:kern w:val="0"/>
                <w:lang w:val="zh-CN"/>
              </w:rPr>
            </w:pPr>
            <w:r>
              <w:rPr>
                <w:bCs/>
                <w:color w:val="auto"/>
                <w:kern w:val="0"/>
                <w:lang w:val="zh-CN"/>
              </w:rPr>
              <w:t>综上所述，建设项目排气筒设置是合理的。</w:t>
            </w:r>
          </w:p>
          <w:p w14:paraId="09777D27">
            <w:pPr>
              <w:pStyle w:val="5"/>
              <w:adjustRightInd w:val="0"/>
              <w:snapToGrid w:val="0"/>
              <w:spacing w:line="360" w:lineRule="auto"/>
              <w:ind w:firstLine="422" w:firstLineChars="200"/>
              <w:rPr>
                <w:b/>
                <w:color w:val="auto"/>
                <w:kern w:val="0"/>
                <w:szCs w:val="21"/>
              </w:rPr>
            </w:pPr>
            <w:r>
              <w:rPr>
                <w:rFonts w:hint="eastAsia"/>
                <w:b/>
                <w:color w:val="auto"/>
                <w:kern w:val="0"/>
                <w:szCs w:val="21"/>
              </w:rPr>
              <w:t>（5）废气达标判定</w:t>
            </w:r>
          </w:p>
          <w:p w14:paraId="68057839">
            <w:pPr>
              <w:pStyle w:val="5"/>
              <w:ind w:firstLine="0"/>
              <w:jc w:val="center"/>
              <w:rPr>
                <w:b/>
                <w:bCs/>
                <w:color w:val="auto"/>
                <w:kern w:val="0"/>
                <w:szCs w:val="21"/>
              </w:rPr>
            </w:pPr>
            <w:r>
              <w:rPr>
                <w:b/>
                <w:bCs/>
                <w:color w:val="auto"/>
                <w:kern w:val="0"/>
                <w:szCs w:val="21"/>
              </w:rPr>
              <w:t>表4-</w:t>
            </w:r>
            <w:r>
              <w:rPr>
                <w:rFonts w:hint="eastAsia"/>
                <w:b/>
                <w:bCs/>
                <w:color w:val="auto"/>
                <w:kern w:val="0"/>
                <w:szCs w:val="21"/>
                <w:lang w:val="en-US" w:eastAsia="zh-CN"/>
              </w:rPr>
              <w:t>7</w:t>
            </w:r>
            <w:r>
              <w:rPr>
                <w:rFonts w:hint="eastAsia"/>
                <w:b/>
                <w:bCs/>
                <w:color w:val="auto"/>
                <w:kern w:val="0"/>
                <w:szCs w:val="21"/>
              </w:rPr>
              <w:t xml:space="preserve">   </w:t>
            </w:r>
            <w:r>
              <w:rPr>
                <w:b/>
                <w:bCs/>
                <w:color w:val="auto"/>
                <w:kern w:val="0"/>
                <w:szCs w:val="21"/>
              </w:rPr>
              <w:t>项目废气达标排放情况</w:t>
            </w:r>
          </w:p>
          <w:tbl>
            <w:tblPr>
              <w:tblStyle w:val="59"/>
              <w:tblW w:w="4997"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0" w:type="dxa"/>
                <w:bottom w:w="0" w:type="dxa"/>
                <w:right w:w="0" w:type="dxa"/>
              </w:tblCellMar>
            </w:tblPr>
            <w:tblGrid>
              <w:gridCol w:w="753"/>
              <w:gridCol w:w="767"/>
              <w:gridCol w:w="1074"/>
              <w:gridCol w:w="916"/>
              <w:gridCol w:w="785"/>
              <w:gridCol w:w="867"/>
              <w:gridCol w:w="787"/>
              <w:gridCol w:w="2322"/>
              <w:gridCol w:w="585"/>
            </w:tblGrid>
            <w:tr w14:paraId="0903ACA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425" w:type="pct"/>
                  <w:vMerge w:val="restart"/>
                  <w:tcBorders>
                    <w:tl2br w:val="nil"/>
                    <w:tr2bl w:val="nil"/>
                  </w:tcBorders>
                  <w:tcMar>
                    <w:left w:w="0" w:type="dxa"/>
                    <w:right w:w="0" w:type="dxa"/>
                  </w:tcMar>
                  <w:vAlign w:val="center"/>
                </w:tcPr>
                <w:p w14:paraId="2D42D5A8">
                  <w:pPr>
                    <w:snapToGrid w:val="0"/>
                    <w:jc w:val="center"/>
                    <w:rPr>
                      <w:b/>
                      <w:bCs/>
                      <w:color w:val="auto"/>
                      <w:kern w:val="0"/>
                      <w:sz w:val="21"/>
                      <w:szCs w:val="21"/>
                    </w:rPr>
                  </w:pPr>
                  <w:r>
                    <w:rPr>
                      <w:b/>
                      <w:bCs/>
                      <w:color w:val="auto"/>
                      <w:kern w:val="0"/>
                      <w:sz w:val="21"/>
                      <w:szCs w:val="21"/>
                    </w:rPr>
                    <w:t>排气筒</w:t>
                  </w:r>
                </w:p>
                <w:p w14:paraId="01E45138">
                  <w:pPr>
                    <w:snapToGrid w:val="0"/>
                    <w:jc w:val="center"/>
                    <w:rPr>
                      <w:b/>
                      <w:bCs/>
                      <w:color w:val="auto"/>
                      <w:kern w:val="0"/>
                      <w:sz w:val="21"/>
                      <w:szCs w:val="21"/>
                    </w:rPr>
                  </w:pPr>
                  <w:r>
                    <w:rPr>
                      <w:b/>
                      <w:bCs/>
                      <w:color w:val="auto"/>
                      <w:kern w:val="0"/>
                      <w:sz w:val="21"/>
                      <w:szCs w:val="21"/>
                    </w:rPr>
                    <w:t>编号</w:t>
                  </w:r>
                </w:p>
              </w:tc>
              <w:tc>
                <w:tcPr>
                  <w:tcW w:w="433" w:type="pct"/>
                  <w:vMerge w:val="restart"/>
                  <w:tcBorders>
                    <w:tl2br w:val="nil"/>
                    <w:tr2bl w:val="nil"/>
                  </w:tcBorders>
                  <w:tcMar>
                    <w:left w:w="0" w:type="dxa"/>
                    <w:right w:w="0" w:type="dxa"/>
                  </w:tcMar>
                  <w:vAlign w:val="center"/>
                </w:tcPr>
                <w:p w14:paraId="26C2EA34">
                  <w:pPr>
                    <w:snapToGrid w:val="0"/>
                    <w:jc w:val="center"/>
                    <w:rPr>
                      <w:b/>
                      <w:bCs/>
                      <w:color w:val="auto"/>
                      <w:kern w:val="0"/>
                      <w:sz w:val="21"/>
                      <w:szCs w:val="21"/>
                    </w:rPr>
                  </w:pPr>
                  <w:r>
                    <w:rPr>
                      <w:b/>
                      <w:bCs/>
                      <w:color w:val="auto"/>
                      <w:kern w:val="0"/>
                      <w:sz w:val="21"/>
                      <w:szCs w:val="21"/>
                    </w:rPr>
                    <w:t>排气量</w:t>
                  </w:r>
                </w:p>
                <w:p w14:paraId="2A563163">
                  <w:pPr>
                    <w:snapToGrid w:val="0"/>
                    <w:jc w:val="center"/>
                    <w:rPr>
                      <w:b/>
                      <w:bCs/>
                      <w:color w:val="auto"/>
                      <w:kern w:val="0"/>
                      <w:sz w:val="21"/>
                      <w:szCs w:val="21"/>
                    </w:rPr>
                  </w:pPr>
                  <w:r>
                    <w:rPr>
                      <w:b/>
                      <w:bCs/>
                      <w:color w:val="auto"/>
                      <w:kern w:val="0"/>
                      <w:sz w:val="21"/>
                      <w:szCs w:val="21"/>
                    </w:rPr>
                    <w:t>m</w:t>
                  </w:r>
                  <w:r>
                    <w:rPr>
                      <w:b/>
                      <w:bCs/>
                      <w:color w:val="auto"/>
                      <w:kern w:val="0"/>
                      <w:sz w:val="21"/>
                      <w:szCs w:val="21"/>
                      <w:vertAlign w:val="superscript"/>
                    </w:rPr>
                    <w:t>3</w:t>
                  </w:r>
                  <w:r>
                    <w:rPr>
                      <w:b/>
                      <w:bCs/>
                      <w:color w:val="auto"/>
                      <w:kern w:val="0"/>
                      <w:sz w:val="21"/>
                      <w:szCs w:val="21"/>
                    </w:rPr>
                    <w:t>/h</w:t>
                  </w:r>
                </w:p>
              </w:tc>
              <w:tc>
                <w:tcPr>
                  <w:tcW w:w="606" w:type="pct"/>
                  <w:vMerge w:val="restart"/>
                  <w:tcBorders>
                    <w:tl2br w:val="nil"/>
                    <w:tr2bl w:val="nil"/>
                  </w:tcBorders>
                  <w:tcMar>
                    <w:left w:w="0" w:type="dxa"/>
                    <w:right w:w="0" w:type="dxa"/>
                  </w:tcMar>
                  <w:vAlign w:val="center"/>
                </w:tcPr>
                <w:p w14:paraId="7D53F223">
                  <w:pPr>
                    <w:snapToGrid w:val="0"/>
                    <w:jc w:val="center"/>
                    <w:rPr>
                      <w:b/>
                      <w:bCs/>
                      <w:color w:val="auto"/>
                      <w:kern w:val="0"/>
                      <w:sz w:val="21"/>
                      <w:szCs w:val="21"/>
                    </w:rPr>
                  </w:pPr>
                  <w:r>
                    <w:rPr>
                      <w:b/>
                      <w:bCs/>
                      <w:color w:val="auto"/>
                      <w:kern w:val="0"/>
                      <w:sz w:val="21"/>
                      <w:szCs w:val="21"/>
                    </w:rPr>
                    <w:t>污染物名称</w:t>
                  </w:r>
                </w:p>
              </w:tc>
              <w:tc>
                <w:tcPr>
                  <w:tcW w:w="960" w:type="pct"/>
                  <w:gridSpan w:val="2"/>
                  <w:tcBorders>
                    <w:tl2br w:val="nil"/>
                    <w:tr2bl w:val="nil"/>
                  </w:tcBorders>
                  <w:tcMar>
                    <w:left w:w="0" w:type="dxa"/>
                    <w:right w:w="0" w:type="dxa"/>
                  </w:tcMar>
                  <w:vAlign w:val="center"/>
                </w:tcPr>
                <w:p w14:paraId="20883C48">
                  <w:pPr>
                    <w:snapToGrid w:val="0"/>
                    <w:jc w:val="center"/>
                    <w:rPr>
                      <w:b/>
                      <w:bCs/>
                      <w:color w:val="auto"/>
                      <w:kern w:val="0"/>
                      <w:sz w:val="21"/>
                      <w:szCs w:val="21"/>
                    </w:rPr>
                  </w:pPr>
                  <w:r>
                    <w:rPr>
                      <w:b/>
                      <w:bCs/>
                      <w:color w:val="auto"/>
                      <w:kern w:val="0"/>
                      <w:sz w:val="21"/>
                      <w:szCs w:val="21"/>
                    </w:rPr>
                    <w:t>排放情况</w:t>
                  </w:r>
                </w:p>
              </w:tc>
              <w:tc>
                <w:tcPr>
                  <w:tcW w:w="933" w:type="pct"/>
                  <w:gridSpan w:val="2"/>
                  <w:tcBorders>
                    <w:tl2br w:val="nil"/>
                    <w:tr2bl w:val="nil"/>
                  </w:tcBorders>
                  <w:tcMar>
                    <w:left w:w="0" w:type="dxa"/>
                    <w:right w:w="0" w:type="dxa"/>
                  </w:tcMar>
                  <w:vAlign w:val="center"/>
                </w:tcPr>
                <w:p w14:paraId="4F15DB27">
                  <w:pPr>
                    <w:snapToGrid w:val="0"/>
                    <w:jc w:val="center"/>
                    <w:rPr>
                      <w:b/>
                      <w:bCs/>
                      <w:color w:val="auto"/>
                      <w:kern w:val="0"/>
                      <w:sz w:val="21"/>
                      <w:szCs w:val="21"/>
                    </w:rPr>
                  </w:pPr>
                  <w:r>
                    <w:rPr>
                      <w:b/>
                      <w:bCs/>
                      <w:color w:val="auto"/>
                      <w:kern w:val="0"/>
                      <w:sz w:val="21"/>
                      <w:szCs w:val="21"/>
                    </w:rPr>
                    <w:t>执行标准</w:t>
                  </w:r>
                </w:p>
              </w:tc>
              <w:tc>
                <w:tcPr>
                  <w:tcW w:w="1310" w:type="pct"/>
                  <w:vMerge w:val="restart"/>
                  <w:tcBorders>
                    <w:tl2br w:val="nil"/>
                    <w:tr2bl w:val="nil"/>
                  </w:tcBorders>
                  <w:vAlign w:val="center"/>
                </w:tcPr>
                <w:p w14:paraId="3E8BDCB6">
                  <w:pPr>
                    <w:snapToGrid w:val="0"/>
                    <w:jc w:val="center"/>
                    <w:rPr>
                      <w:b/>
                      <w:bCs/>
                      <w:color w:val="auto"/>
                      <w:kern w:val="0"/>
                      <w:sz w:val="21"/>
                      <w:szCs w:val="21"/>
                    </w:rPr>
                  </w:pPr>
                  <w:r>
                    <w:rPr>
                      <w:b/>
                      <w:bCs/>
                      <w:color w:val="auto"/>
                      <w:kern w:val="0"/>
                      <w:sz w:val="21"/>
                      <w:szCs w:val="21"/>
                    </w:rPr>
                    <w:t>标准名称</w:t>
                  </w:r>
                </w:p>
              </w:tc>
              <w:tc>
                <w:tcPr>
                  <w:tcW w:w="330" w:type="pct"/>
                  <w:vMerge w:val="restart"/>
                  <w:tcBorders>
                    <w:tl2br w:val="nil"/>
                    <w:tr2bl w:val="nil"/>
                  </w:tcBorders>
                  <w:tcMar>
                    <w:left w:w="0" w:type="dxa"/>
                    <w:right w:w="0" w:type="dxa"/>
                  </w:tcMar>
                  <w:vAlign w:val="center"/>
                </w:tcPr>
                <w:p w14:paraId="397839CD">
                  <w:pPr>
                    <w:snapToGrid w:val="0"/>
                    <w:jc w:val="center"/>
                    <w:rPr>
                      <w:b/>
                      <w:bCs/>
                      <w:color w:val="auto"/>
                      <w:kern w:val="0"/>
                      <w:sz w:val="21"/>
                      <w:szCs w:val="21"/>
                    </w:rPr>
                  </w:pPr>
                  <w:r>
                    <w:rPr>
                      <w:b/>
                      <w:bCs/>
                      <w:color w:val="auto"/>
                      <w:kern w:val="0"/>
                      <w:sz w:val="21"/>
                      <w:szCs w:val="21"/>
                    </w:rPr>
                    <w:t>达标判定</w:t>
                  </w:r>
                </w:p>
              </w:tc>
            </w:tr>
            <w:tr w14:paraId="67A3A5F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425" w:type="pct"/>
                  <w:vMerge w:val="continue"/>
                  <w:tcBorders>
                    <w:tl2br w:val="nil"/>
                    <w:tr2bl w:val="nil"/>
                  </w:tcBorders>
                  <w:tcMar>
                    <w:left w:w="0" w:type="dxa"/>
                    <w:right w:w="0" w:type="dxa"/>
                  </w:tcMar>
                  <w:vAlign w:val="center"/>
                </w:tcPr>
                <w:p w14:paraId="31FFBE7B">
                  <w:pPr>
                    <w:snapToGrid w:val="0"/>
                    <w:jc w:val="center"/>
                    <w:rPr>
                      <w:b/>
                      <w:bCs/>
                      <w:color w:val="auto"/>
                      <w:kern w:val="0"/>
                      <w:sz w:val="21"/>
                      <w:szCs w:val="21"/>
                    </w:rPr>
                  </w:pPr>
                </w:p>
              </w:tc>
              <w:tc>
                <w:tcPr>
                  <w:tcW w:w="433" w:type="pct"/>
                  <w:vMerge w:val="continue"/>
                  <w:tcBorders>
                    <w:tl2br w:val="nil"/>
                    <w:tr2bl w:val="nil"/>
                  </w:tcBorders>
                  <w:tcMar>
                    <w:left w:w="0" w:type="dxa"/>
                    <w:right w:w="0" w:type="dxa"/>
                  </w:tcMar>
                  <w:vAlign w:val="center"/>
                </w:tcPr>
                <w:p w14:paraId="3EBA042C">
                  <w:pPr>
                    <w:snapToGrid w:val="0"/>
                    <w:jc w:val="center"/>
                    <w:rPr>
                      <w:b/>
                      <w:bCs/>
                      <w:color w:val="auto"/>
                      <w:kern w:val="0"/>
                      <w:sz w:val="21"/>
                      <w:szCs w:val="21"/>
                    </w:rPr>
                  </w:pPr>
                </w:p>
              </w:tc>
              <w:tc>
                <w:tcPr>
                  <w:tcW w:w="606" w:type="pct"/>
                  <w:vMerge w:val="continue"/>
                  <w:tcBorders>
                    <w:tl2br w:val="nil"/>
                    <w:tr2bl w:val="nil"/>
                  </w:tcBorders>
                  <w:tcMar>
                    <w:left w:w="0" w:type="dxa"/>
                    <w:right w:w="0" w:type="dxa"/>
                  </w:tcMar>
                  <w:vAlign w:val="center"/>
                </w:tcPr>
                <w:p w14:paraId="03D016AD">
                  <w:pPr>
                    <w:snapToGrid w:val="0"/>
                    <w:jc w:val="center"/>
                    <w:rPr>
                      <w:b/>
                      <w:bCs/>
                      <w:color w:val="auto"/>
                      <w:kern w:val="0"/>
                      <w:sz w:val="21"/>
                      <w:szCs w:val="21"/>
                    </w:rPr>
                  </w:pPr>
                </w:p>
              </w:tc>
              <w:tc>
                <w:tcPr>
                  <w:tcW w:w="517" w:type="pct"/>
                  <w:tcBorders>
                    <w:tl2br w:val="nil"/>
                    <w:tr2bl w:val="nil"/>
                  </w:tcBorders>
                  <w:tcMar>
                    <w:left w:w="0" w:type="dxa"/>
                    <w:right w:w="0" w:type="dxa"/>
                  </w:tcMar>
                  <w:vAlign w:val="center"/>
                </w:tcPr>
                <w:p w14:paraId="5C68C769">
                  <w:pPr>
                    <w:snapToGrid w:val="0"/>
                    <w:jc w:val="center"/>
                    <w:rPr>
                      <w:b/>
                      <w:bCs/>
                      <w:color w:val="auto"/>
                      <w:kern w:val="0"/>
                      <w:sz w:val="21"/>
                      <w:szCs w:val="21"/>
                    </w:rPr>
                  </w:pPr>
                  <w:r>
                    <w:rPr>
                      <w:b/>
                      <w:bCs/>
                      <w:color w:val="auto"/>
                      <w:kern w:val="0"/>
                      <w:sz w:val="21"/>
                      <w:szCs w:val="21"/>
                    </w:rPr>
                    <w:t>浓度</w:t>
                  </w:r>
                </w:p>
                <w:p w14:paraId="2F9573AD">
                  <w:pPr>
                    <w:snapToGrid w:val="0"/>
                    <w:jc w:val="center"/>
                    <w:rPr>
                      <w:b/>
                      <w:bCs/>
                      <w:color w:val="auto"/>
                      <w:kern w:val="0"/>
                      <w:sz w:val="21"/>
                      <w:szCs w:val="21"/>
                    </w:rPr>
                  </w:pPr>
                  <w:r>
                    <w:rPr>
                      <w:b/>
                      <w:bCs/>
                      <w:color w:val="auto"/>
                      <w:kern w:val="0"/>
                      <w:sz w:val="21"/>
                      <w:szCs w:val="21"/>
                    </w:rPr>
                    <w:t>mg/m</w:t>
                  </w:r>
                  <w:r>
                    <w:rPr>
                      <w:b/>
                      <w:bCs/>
                      <w:color w:val="auto"/>
                      <w:kern w:val="0"/>
                      <w:sz w:val="21"/>
                      <w:szCs w:val="21"/>
                      <w:vertAlign w:val="superscript"/>
                    </w:rPr>
                    <w:t>3</w:t>
                  </w:r>
                </w:p>
              </w:tc>
              <w:tc>
                <w:tcPr>
                  <w:tcW w:w="443" w:type="pct"/>
                  <w:tcBorders>
                    <w:tl2br w:val="nil"/>
                    <w:tr2bl w:val="nil"/>
                  </w:tcBorders>
                  <w:tcMar>
                    <w:left w:w="0" w:type="dxa"/>
                    <w:right w:w="0" w:type="dxa"/>
                  </w:tcMar>
                  <w:vAlign w:val="center"/>
                </w:tcPr>
                <w:p w14:paraId="3D8005A9">
                  <w:pPr>
                    <w:snapToGrid w:val="0"/>
                    <w:jc w:val="center"/>
                    <w:rPr>
                      <w:b/>
                      <w:bCs/>
                      <w:color w:val="auto"/>
                      <w:kern w:val="0"/>
                      <w:sz w:val="21"/>
                      <w:szCs w:val="21"/>
                    </w:rPr>
                  </w:pPr>
                  <w:r>
                    <w:rPr>
                      <w:b/>
                      <w:bCs/>
                      <w:color w:val="auto"/>
                      <w:kern w:val="0"/>
                      <w:sz w:val="21"/>
                      <w:szCs w:val="21"/>
                    </w:rPr>
                    <w:t>速率</w:t>
                  </w:r>
                </w:p>
                <w:p w14:paraId="7742C8B9">
                  <w:pPr>
                    <w:snapToGrid w:val="0"/>
                    <w:jc w:val="center"/>
                    <w:rPr>
                      <w:b/>
                      <w:bCs/>
                      <w:color w:val="auto"/>
                      <w:kern w:val="0"/>
                      <w:sz w:val="21"/>
                      <w:szCs w:val="21"/>
                    </w:rPr>
                  </w:pPr>
                  <w:r>
                    <w:rPr>
                      <w:b/>
                      <w:bCs/>
                      <w:color w:val="auto"/>
                      <w:kern w:val="0"/>
                      <w:sz w:val="21"/>
                      <w:szCs w:val="21"/>
                    </w:rPr>
                    <w:t>kg/h</w:t>
                  </w:r>
                </w:p>
              </w:tc>
              <w:tc>
                <w:tcPr>
                  <w:tcW w:w="489" w:type="pct"/>
                  <w:tcBorders>
                    <w:tl2br w:val="nil"/>
                    <w:tr2bl w:val="nil"/>
                  </w:tcBorders>
                  <w:tcMar>
                    <w:left w:w="0" w:type="dxa"/>
                    <w:right w:w="0" w:type="dxa"/>
                  </w:tcMar>
                  <w:vAlign w:val="center"/>
                </w:tcPr>
                <w:p w14:paraId="4B9CEB02">
                  <w:pPr>
                    <w:snapToGrid w:val="0"/>
                    <w:jc w:val="center"/>
                    <w:rPr>
                      <w:b/>
                      <w:bCs/>
                      <w:color w:val="auto"/>
                      <w:kern w:val="0"/>
                      <w:sz w:val="21"/>
                      <w:szCs w:val="21"/>
                    </w:rPr>
                  </w:pPr>
                  <w:r>
                    <w:rPr>
                      <w:b/>
                      <w:bCs/>
                      <w:color w:val="auto"/>
                      <w:kern w:val="0"/>
                      <w:sz w:val="21"/>
                      <w:szCs w:val="21"/>
                    </w:rPr>
                    <w:t>浓度mg/m</w:t>
                  </w:r>
                  <w:r>
                    <w:rPr>
                      <w:b/>
                      <w:bCs/>
                      <w:color w:val="auto"/>
                      <w:kern w:val="0"/>
                      <w:sz w:val="21"/>
                      <w:szCs w:val="21"/>
                      <w:vertAlign w:val="superscript"/>
                    </w:rPr>
                    <w:t>3</w:t>
                  </w:r>
                </w:p>
              </w:tc>
              <w:tc>
                <w:tcPr>
                  <w:tcW w:w="444" w:type="pct"/>
                  <w:tcBorders>
                    <w:tl2br w:val="nil"/>
                    <w:tr2bl w:val="nil"/>
                  </w:tcBorders>
                  <w:tcMar>
                    <w:left w:w="0" w:type="dxa"/>
                    <w:right w:w="0" w:type="dxa"/>
                  </w:tcMar>
                  <w:vAlign w:val="center"/>
                </w:tcPr>
                <w:p w14:paraId="56439946">
                  <w:pPr>
                    <w:snapToGrid w:val="0"/>
                    <w:jc w:val="center"/>
                    <w:rPr>
                      <w:b/>
                      <w:bCs/>
                      <w:color w:val="auto"/>
                      <w:kern w:val="0"/>
                      <w:sz w:val="21"/>
                      <w:szCs w:val="21"/>
                    </w:rPr>
                  </w:pPr>
                  <w:r>
                    <w:rPr>
                      <w:b/>
                      <w:bCs/>
                      <w:color w:val="auto"/>
                      <w:kern w:val="0"/>
                      <w:sz w:val="21"/>
                      <w:szCs w:val="21"/>
                    </w:rPr>
                    <w:t>速率</w:t>
                  </w:r>
                </w:p>
                <w:p w14:paraId="6E74C069">
                  <w:pPr>
                    <w:snapToGrid w:val="0"/>
                    <w:jc w:val="center"/>
                    <w:rPr>
                      <w:b/>
                      <w:bCs/>
                      <w:color w:val="auto"/>
                      <w:kern w:val="0"/>
                      <w:sz w:val="21"/>
                      <w:szCs w:val="21"/>
                    </w:rPr>
                  </w:pPr>
                  <w:r>
                    <w:rPr>
                      <w:b/>
                      <w:bCs/>
                      <w:color w:val="auto"/>
                      <w:kern w:val="0"/>
                      <w:sz w:val="21"/>
                      <w:szCs w:val="21"/>
                    </w:rPr>
                    <w:t>kg/h</w:t>
                  </w:r>
                </w:p>
              </w:tc>
              <w:tc>
                <w:tcPr>
                  <w:tcW w:w="1310" w:type="pct"/>
                  <w:vMerge w:val="continue"/>
                  <w:tcBorders>
                    <w:tl2br w:val="nil"/>
                    <w:tr2bl w:val="nil"/>
                  </w:tcBorders>
                  <w:vAlign w:val="center"/>
                </w:tcPr>
                <w:p w14:paraId="6B1AD0C3">
                  <w:pPr>
                    <w:snapToGrid w:val="0"/>
                    <w:jc w:val="center"/>
                    <w:rPr>
                      <w:b/>
                      <w:bCs/>
                      <w:color w:val="auto"/>
                      <w:kern w:val="0"/>
                      <w:sz w:val="21"/>
                      <w:szCs w:val="21"/>
                    </w:rPr>
                  </w:pPr>
                </w:p>
              </w:tc>
              <w:tc>
                <w:tcPr>
                  <w:tcW w:w="330" w:type="pct"/>
                  <w:vMerge w:val="continue"/>
                  <w:tcBorders>
                    <w:tl2br w:val="nil"/>
                    <w:tr2bl w:val="nil"/>
                  </w:tcBorders>
                  <w:tcMar>
                    <w:left w:w="0" w:type="dxa"/>
                    <w:right w:w="0" w:type="dxa"/>
                  </w:tcMar>
                  <w:vAlign w:val="center"/>
                </w:tcPr>
                <w:p w14:paraId="543382F8">
                  <w:pPr>
                    <w:snapToGrid w:val="0"/>
                    <w:jc w:val="center"/>
                    <w:rPr>
                      <w:b/>
                      <w:bCs/>
                      <w:color w:val="auto"/>
                      <w:kern w:val="0"/>
                      <w:sz w:val="21"/>
                      <w:szCs w:val="21"/>
                    </w:rPr>
                  </w:pPr>
                </w:p>
              </w:tc>
            </w:tr>
            <w:tr w14:paraId="626236E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22" w:hRule="atLeast"/>
                <w:jc w:val="center"/>
              </w:trPr>
              <w:tc>
                <w:tcPr>
                  <w:tcW w:w="425" w:type="pct"/>
                  <w:tcBorders>
                    <w:tl2br w:val="nil"/>
                    <w:tr2bl w:val="nil"/>
                  </w:tcBorders>
                  <w:tcMar>
                    <w:left w:w="0" w:type="dxa"/>
                    <w:right w:w="0" w:type="dxa"/>
                  </w:tcMar>
                  <w:vAlign w:val="center"/>
                </w:tcPr>
                <w:p w14:paraId="6F64DB84">
                  <w:pPr>
                    <w:jc w:val="center"/>
                    <w:textAlignment w:val="bottom"/>
                    <w:rPr>
                      <w:color w:val="auto"/>
                      <w:kern w:val="0"/>
                      <w:sz w:val="21"/>
                      <w:szCs w:val="21"/>
                    </w:rPr>
                  </w:pPr>
                  <w:r>
                    <w:rPr>
                      <w:rFonts w:hint="eastAsia"/>
                      <w:color w:val="auto"/>
                      <w:kern w:val="0"/>
                      <w:sz w:val="21"/>
                      <w:szCs w:val="21"/>
                    </w:rPr>
                    <w:t>DA001</w:t>
                  </w:r>
                </w:p>
              </w:tc>
              <w:tc>
                <w:tcPr>
                  <w:tcW w:w="433" w:type="pct"/>
                  <w:tcBorders>
                    <w:tl2br w:val="nil"/>
                    <w:tr2bl w:val="nil"/>
                  </w:tcBorders>
                  <w:tcMar>
                    <w:left w:w="0" w:type="dxa"/>
                    <w:right w:w="0" w:type="dxa"/>
                  </w:tcMar>
                  <w:vAlign w:val="center"/>
                </w:tcPr>
                <w:p w14:paraId="1433564C">
                  <w:pPr>
                    <w:jc w:val="center"/>
                    <w:textAlignment w:val="bottom"/>
                    <w:rPr>
                      <w:rFonts w:hint="default" w:eastAsia="宋体"/>
                      <w:color w:val="auto"/>
                      <w:kern w:val="0"/>
                      <w:sz w:val="21"/>
                      <w:szCs w:val="21"/>
                      <w:lang w:val="en-US" w:eastAsia="zh-CN"/>
                    </w:rPr>
                  </w:pPr>
                  <w:r>
                    <w:rPr>
                      <w:rFonts w:hint="eastAsia"/>
                      <w:color w:val="auto"/>
                      <w:kern w:val="0"/>
                      <w:sz w:val="21"/>
                      <w:szCs w:val="21"/>
                      <w:lang w:val="en-US" w:eastAsia="zh-CN"/>
                    </w:rPr>
                    <w:t>25000</w:t>
                  </w:r>
                </w:p>
              </w:tc>
              <w:tc>
                <w:tcPr>
                  <w:tcW w:w="606" w:type="pct"/>
                  <w:tcBorders>
                    <w:tl2br w:val="nil"/>
                    <w:tr2bl w:val="nil"/>
                  </w:tcBorders>
                  <w:tcMar>
                    <w:left w:w="0" w:type="dxa"/>
                    <w:right w:w="0" w:type="dxa"/>
                  </w:tcMar>
                  <w:vAlign w:val="center"/>
                </w:tcPr>
                <w:p w14:paraId="09FD0B88">
                  <w:pPr>
                    <w:pStyle w:val="696"/>
                    <w:rPr>
                      <w:rFonts w:hint="eastAsia" w:eastAsia="宋体"/>
                      <w:color w:val="auto"/>
                      <w:kern w:val="0"/>
                      <w:sz w:val="21"/>
                      <w:szCs w:val="21"/>
                      <w:lang w:eastAsia="zh-CN"/>
                    </w:rPr>
                  </w:pPr>
                  <w:r>
                    <w:rPr>
                      <w:rFonts w:hint="eastAsia"/>
                      <w:bCs/>
                      <w:color w:val="auto"/>
                      <w:kern w:val="0"/>
                      <w:sz w:val="21"/>
                      <w:szCs w:val="21"/>
                      <w:lang w:val="en-US" w:eastAsia="zh-CN"/>
                    </w:rPr>
                    <w:t>颗粒物</w:t>
                  </w:r>
                </w:p>
              </w:tc>
              <w:tc>
                <w:tcPr>
                  <w:tcW w:w="517" w:type="pct"/>
                  <w:tcBorders>
                    <w:tl2br w:val="nil"/>
                    <w:tr2bl w:val="nil"/>
                  </w:tcBorders>
                  <w:tcMar>
                    <w:left w:w="0" w:type="dxa"/>
                    <w:right w:w="0" w:type="dxa"/>
                  </w:tcMar>
                  <w:vAlign w:val="center"/>
                </w:tcPr>
                <w:p w14:paraId="08FC3BCF">
                  <w:pPr>
                    <w:pStyle w:val="656"/>
                    <w:snapToGrid w:val="0"/>
                    <w:rPr>
                      <w:rFonts w:hint="default" w:eastAsia="宋体"/>
                      <w:color w:val="auto"/>
                      <w:kern w:val="0"/>
                      <w:sz w:val="21"/>
                      <w:szCs w:val="21"/>
                      <w:lang w:val="en-US"/>
                    </w:rPr>
                  </w:pPr>
                  <w:r>
                    <w:rPr>
                      <w:rFonts w:hint="eastAsia" w:eastAsia="宋体"/>
                      <w:color w:val="auto"/>
                      <w:sz w:val="21"/>
                      <w:szCs w:val="21"/>
                      <w:lang w:val="en-US" w:eastAsia="zh-CN"/>
                    </w:rPr>
                    <w:t>1.55</w:t>
                  </w:r>
                </w:p>
              </w:tc>
              <w:tc>
                <w:tcPr>
                  <w:tcW w:w="443" w:type="pct"/>
                  <w:tcBorders>
                    <w:tl2br w:val="nil"/>
                    <w:tr2bl w:val="nil"/>
                  </w:tcBorders>
                  <w:tcMar>
                    <w:left w:w="0" w:type="dxa"/>
                    <w:right w:w="0" w:type="dxa"/>
                  </w:tcMar>
                  <w:vAlign w:val="center"/>
                </w:tcPr>
                <w:p w14:paraId="64436DC2">
                  <w:pPr>
                    <w:pStyle w:val="656"/>
                    <w:snapToGrid w:val="0"/>
                    <w:rPr>
                      <w:rFonts w:hint="default" w:eastAsia="宋体"/>
                      <w:color w:val="auto"/>
                      <w:kern w:val="0"/>
                      <w:sz w:val="21"/>
                      <w:szCs w:val="21"/>
                      <w:lang w:val="en-US"/>
                    </w:rPr>
                  </w:pPr>
                  <w:r>
                    <w:rPr>
                      <w:rFonts w:hint="eastAsia" w:eastAsia="宋体"/>
                      <w:color w:val="auto"/>
                      <w:sz w:val="21"/>
                      <w:szCs w:val="21"/>
                      <w:lang w:val="en-US" w:eastAsia="zh-CN"/>
                    </w:rPr>
                    <w:t>0.0388</w:t>
                  </w:r>
                </w:p>
              </w:tc>
              <w:tc>
                <w:tcPr>
                  <w:tcW w:w="489" w:type="pct"/>
                  <w:tcBorders>
                    <w:tl2br w:val="nil"/>
                    <w:tr2bl w:val="nil"/>
                  </w:tcBorders>
                  <w:tcMar>
                    <w:left w:w="0" w:type="dxa"/>
                    <w:right w:w="0" w:type="dxa"/>
                  </w:tcMar>
                  <w:vAlign w:val="center"/>
                </w:tcPr>
                <w:p w14:paraId="1F156C2D">
                  <w:pPr>
                    <w:jc w:val="center"/>
                    <w:rPr>
                      <w:rFonts w:hint="default" w:eastAsia="宋体"/>
                      <w:color w:val="auto"/>
                      <w:kern w:val="0"/>
                      <w:sz w:val="21"/>
                      <w:szCs w:val="21"/>
                      <w:lang w:val="en-US" w:eastAsia="zh-CN"/>
                    </w:rPr>
                  </w:pPr>
                  <w:r>
                    <w:rPr>
                      <w:rFonts w:hint="eastAsia"/>
                      <w:color w:val="auto"/>
                      <w:kern w:val="0"/>
                      <w:sz w:val="21"/>
                      <w:szCs w:val="21"/>
                      <w:lang w:val="en-US" w:eastAsia="zh-CN"/>
                    </w:rPr>
                    <w:t>10</w:t>
                  </w:r>
                </w:p>
              </w:tc>
              <w:tc>
                <w:tcPr>
                  <w:tcW w:w="444" w:type="pct"/>
                  <w:tcBorders>
                    <w:tl2br w:val="nil"/>
                    <w:tr2bl w:val="nil"/>
                  </w:tcBorders>
                  <w:tcMar>
                    <w:left w:w="0" w:type="dxa"/>
                    <w:right w:w="0" w:type="dxa"/>
                  </w:tcMar>
                  <w:vAlign w:val="center"/>
                </w:tcPr>
                <w:p w14:paraId="6DE6AAF8">
                  <w:pPr>
                    <w:jc w:val="center"/>
                    <w:rPr>
                      <w:rFonts w:hint="default" w:eastAsia="宋体"/>
                      <w:color w:val="auto"/>
                      <w:kern w:val="0"/>
                      <w:sz w:val="21"/>
                      <w:szCs w:val="21"/>
                      <w:lang w:val="en-US" w:eastAsia="zh-CN"/>
                    </w:rPr>
                  </w:pPr>
                  <w:r>
                    <w:rPr>
                      <w:rFonts w:hint="eastAsia"/>
                      <w:color w:val="auto"/>
                      <w:kern w:val="0"/>
                      <w:sz w:val="21"/>
                      <w:szCs w:val="21"/>
                      <w:lang w:val="en-US" w:eastAsia="zh-CN"/>
                    </w:rPr>
                    <w:t>0.4</w:t>
                  </w:r>
                </w:p>
              </w:tc>
              <w:tc>
                <w:tcPr>
                  <w:tcW w:w="1310" w:type="pct"/>
                  <w:vMerge w:val="restart"/>
                  <w:tcBorders>
                    <w:tl2br w:val="nil"/>
                    <w:tr2bl w:val="nil"/>
                  </w:tcBorders>
                  <w:vAlign w:val="center"/>
                </w:tcPr>
                <w:p w14:paraId="4C946715">
                  <w:pPr>
                    <w:jc w:val="center"/>
                    <w:rPr>
                      <w:rFonts w:hint="default" w:eastAsia="宋体"/>
                      <w:color w:val="auto"/>
                      <w:kern w:val="0"/>
                      <w:sz w:val="21"/>
                      <w:szCs w:val="21"/>
                      <w:lang w:val="en-US" w:eastAsia="zh-CN"/>
                    </w:rPr>
                  </w:pPr>
                  <w:r>
                    <w:rPr>
                      <w:rFonts w:hint="eastAsia"/>
                      <w:color w:val="auto"/>
                      <w:kern w:val="0"/>
                      <w:sz w:val="21"/>
                    </w:rPr>
                    <w:t>《</w:t>
                  </w:r>
                  <w:r>
                    <w:rPr>
                      <w:rFonts w:hint="eastAsia"/>
                      <w:color w:val="auto"/>
                      <w:kern w:val="0"/>
                      <w:sz w:val="21"/>
                      <w:lang w:val="en-US" w:eastAsia="zh-CN"/>
                    </w:rPr>
                    <w:t>工业涂装工序大气污染物排放标准</w:t>
                  </w:r>
                  <w:r>
                    <w:rPr>
                      <w:rFonts w:hint="eastAsia"/>
                      <w:color w:val="auto"/>
                      <w:kern w:val="0"/>
                      <w:sz w:val="21"/>
                    </w:rPr>
                    <w:t>》</w:t>
                  </w:r>
                  <w:r>
                    <w:rPr>
                      <w:rFonts w:hint="eastAsia"/>
                      <w:color w:val="auto"/>
                      <w:kern w:val="0"/>
                      <w:sz w:val="21"/>
                      <w:lang w:eastAsia="zh-CN"/>
                    </w:rPr>
                    <w:t>（</w:t>
                  </w:r>
                  <w:r>
                    <w:rPr>
                      <w:rFonts w:hint="eastAsia"/>
                      <w:color w:val="auto"/>
                      <w:kern w:val="0"/>
                      <w:sz w:val="21"/>
                    </w:rPr>
                    <w:t>DB32/4439-2022</w:t>
                  </w:r>
                  <w:r>
                    <w:rPr>
                      <w:rFonts w:hint="eastAsia"/>
                      <w:color w:val="auto"/>
                      <w:kern w:val="0"/>
                      <w:sz w:val="21"/>
                      <w:lang w:eastAsia="zh-CN"/>
                    </w:rPr>
                    <w:t>）</w:t>
                  </w:r>
                  <w:r>
                    <w:rPr>
                      <w:rFonts w:hint="eastAsia"/>
                      <w:color w:val="auto"/>
                      <w:kern w:val="0"/>
                      <w:sz w:val="21"/>
                      <w:lang w:val="en-US" w:eastAsia="zh-CN"/>
                    </w:rPr>
                    <w:t>表1</w:t>
                  </w:r>
                </w:p>
              </w:tc>
              <w:tc>
                <w:tcPr>
                  <w:tcW w:w="330" w:type="pct"/>
                  <w:tcBorders>
                    <w:tl2br w:val="nil"/>
                    <w:tr2bl w:val="nil"/>
                  </w:tcBorders>
                  <w:tcMar>
                    <w:left w:w="0" w:type="dxa"/>
                    <w:right w:w="0" w:type="dxa"/>
                  </w:tcMar>
                  <w:vAlign w:val="center"/>
                </w:tcPr>
                <w:p w14:paraId="2B36CD80">
                  <w:pPr>
                    <w:jc w:val="center"/>
                    <w:rPr>
                      <w:color w:val="auto"/>
                      <w:kern w:val="0"/>
                      <w:sz w:val="21"/>
                      <w:szCs w:val="21"/>
                    </w:rPr>
                  </w:pPr>
                  <w:r>
                    <w:rPr>
                      <w:color w:val="auto"/>
                      <w:kern w:val="0"/>
                      <w:sz w:val="21"/>
                      <w:szCs w:val="21"/>
                    </w:rPr>
                    <w:t>达标</w:t>
                  </w:r>
                </w:p>
              </w:tc>
            </w:tr>
            <w:tr w14:paraId="0546C2D3">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22" w:hRule="atLeast"/>
                <w:jc w:val="center"/>
              </w:trPr>
              <w:tc>
                <w:tcPr>
                  <w:tcW w:w="425" w:type="pct"/>
                  <w:vMerge w:val="restart"/>
                  <w:tcBorders>
                    <w:tl2br w:val="nil"/>
                    <w:tr2bl w:val="nil"/>
                  </w:tcBorders>
                  <w:tcMar>
                    <w:left w:w="0" w:type="dxa"/>
                    <w:right w:w="0" w:type="dxa"/>
                  </w:tcMar>
                  <w:vAlign w:val="center"/>
                </w:tcPr>
                <w:p w14:paraId="28FC5EA1">
                  <w:pPr>
                    <w:jc w:val="center"/>
                    <w:textAlignment w:val="bottom"/>
                    <w:rPr>
                      <w:rFonts w:hint="default" w:eastAsia="宋体"/>
                      <w:color w:val="auto"/>
                      <w:kern w:val="0"/>
                      <w:sz w:val="21"/>
                      <w:szCs w:val="21"/>
                      <w:lang w:val="en-US" w:eastAsia="zh-CN"/>
                    </w:rPr>
                  </w:pPr>
                  <w:r>
                    <w:rPr>
                      <w:rFonts w:hint="eastAsia"/>
                      <w:color w:val="auto"/>
                      <w:kern w:val="0"/>
                      <w:sz w:val="21"/>
                      <w:szCs w:val="21"/>
                      <w:lang w:val="en-US" w:eastAsia="zh-CN"/>
                    </w:rPr>
                    <w:t>DA002</w:t>
                  </w:r>
                </w:p>
              </w:tc>
              <w:tc>
                <w:tcPr>
                  <w:tcW w:w="433" w:type="pct"/>
                  <w:vMerge w:val="restart"/>
                  <w:tcBorders>
                    <w:tl2br w:val="nil"/>
                    <w:tr2bl w:val="nil"/>
                  </w:tcBorders>
                  <w:tcMar>
                    <w:left w:w="0" w:type="dxa"/>
                    <w:right w:w="0" w:type="dxa"/>
                  </w:tcMar>
                  <w:vAlign w:val="center"/>
                </w:tcPr>
                <w:p w14:paraId="7FB01A60">
                  <w:pPr>
                    <w:jc w:val="center"/>
                    <w:textAlignment w:val="bottom"/>
                    <w:rPr>
                      <w:rFonts w:hint="default"/>
                      <w:color w:val="auto"/>
                      <w:kern w:val="0"/>
                      <w:sz w:val="21"/>
                      <w:szCs w:val="21"/>
                      <w:lang w:val="en-US" w:eastAsia="zh-CN"/>
                    </w:rPr>
                  </w:pPr>
                  <w:r>
                    <w:rPr>
                      <w:rFonts w:hint="eastAsia"/>
                      <w:color w:val="auto"/>
                      <w:kern w:val="0"/>
                      <w:sz w:val="21"/>
                      <w:szCs w:val="21"/>
                      <w:lang w:val="en-US" w:eastAsia="zh-CN"/>
                    </w:rPr>
                    <w:t>25000</w:t>
                  </w:r>
                </w:p>
              </w:tc>
              <w:tc>
                <w:tcPr>
                  <w:tcW w:w="606" w:type="pct"/>
                  <w:tcBorders>
                    <w:tl2br w:val="nil"/>
                    <w:tr2bl w:val="nil"/>
                  </w:tcBorders>
                  <w:tcMar>
                    <w:left w:w="0" w:type="dxa"/>
                    <w:right w:w="0" w:type="dxa"/>
                  </w:tcMar>
                  <w:vAlign w:val="center"/>
                </w:tcPr>
                <w:p w14:paraId="7E0C3AC5">
                  <w:pPr>
                    <w:pStyle w:val="696"/>
                    <w:rPr>
                      <w:rFonts w:hint="eastAsia" w:eastAsia="宋体"/>
                      <w:bCs/>
                      <w:color w:val="auto"/>
                      <w:kern w:val="0"/>
                      <w:sz w:val="21"/>
                      <w:szCs w:val="21"/>
                      <w:lang w:val="en-US" w:eastAsia="zh-CN"/>
                    </w:rPr>
                  </w:pPr>
                  <w:r>
                    <w:rPr>
                      <w:rFonts w:hint="eastAsia"/>
                      <w:bCs/>
                      <w:color w:val="auto"/>
                      <w:kern w:val="0"/>
                      <w:sz w:val="21"/>
                      <w:szCs w:val="21"/>
                      <w:lang w:val="en-US" w:eastAsia="zh-CN"/>
                    </w:rPr>
                    <w:t>颗粒物</w:t>
                  </w:r>
                </w:p>
              </w:tc>
              <w:tc>
                <w:tcPr>
                  <w:tcW w:w="517" w:type="pct"/>
                  <w:tcBorders>
                    <w:tl2br w:val="nil"/>
                    <w:tr2bl w:val="nil"/>
                  </w:tcBorders>
                  <w:tcMar>
                    <w:left w:w="0" w:type="dxa"/>
                    <w:right w:w="0" w:type="dxa"/>
                  </w:tcMar>
                  <w:vAlign w:val="center"/>
                </w:tcPr>
                <w:p w14:paraId="47F581B3">
                  <w:pPr>
                    <w:pStyle w:val="656"/>
                    <w:snapToGrid w:val="0"/>
                    <w:rPr>
                      <w:rFonts w:hint="default" w:eastAsia="宋体"/>
                      <w:color w:val="auto"/>
                      <w:sz w:val="21"/>
                      <w:szCs w:val="21"/>
                      <w:lang w:val="en-US" w:eastAsia="zh-CN"/>
                    </w:rPr>
                  </w:pPr>
                  <w:r>
                    <w:rPr>
                      <w:rFonts w:hint="eastAsia" w:eastAsia="宋体"/>
                      <w:color w:val="auto"/>
                      <w:sz w:val="21"/>
                      <w:szCs w:val="21"/>
                      <w:lang w:val="en-US" w:eastAsia="zh-CN"/>
                    </w:rPr>
                    <w:t>4.64</w:t>
                  </w:r>
                </w:p>
              </w:tc>
              <w:tc>
                <w:tcPr>
                  <w:tcW w:w="443" w:type="pct"/>
                  <w:tcBorders>
                    <w:tl2br w:val="nil"/>
                    <w:tr2bl w:val="nil"/>
                  </w:tcBorders>
                  <w:tcMar>
                    <w:left w:w="0" w:type="dxa"/>
                    <w:right w:w="0" w:type="dxa"/>
                  </w:tcMar>
                  <w:vAlign w:val="center"/>
                </w:tcPr>
                <w:p w14:paraId="77BA667C">
                  <w:pPr>
                    <w:pStyle w:val="656"/>
                    <w:snapToGrid w:val="0"/>
                    <w:rPr>
                      <w:rFonts w:hint="default" w:eastAsia="宋体"/>
                      <w:color w:val="auto"/>
                      <w:sz w:val="21"/>
                      <w:szCs w:val="21"/>
                      <w:lang w:val="en-US" w:eastAsia="zh-CN"/>
                    </w:rPr>
                  </w:pPr>
                  <w:r>
                    <w:rPr>
                      <w:rFonts w:hint="eastAsia" w:eastAsia="宋体"/>
                      <w:color w:val="auto"/>
                      <w:sz w:val="21"/>
                      <w:szCs w:val="21"/>
                      <w:lang w:val="en-US" w:eastAsia="zh-CN"/>
                    </w:rPr>
                    <w:t>0.116</w:t>
                  </w:r>
                </w:p>
              </w:tc>
              <w:tc>
                <w:tcPr>
                  <w:tcW w:w="489" w:type="pct"/>
                  <w:tcBorders>
                    <w:tl2br w:val="nil"/>
                    <w:tr2bl w:val="nil"/>
                  </w:tcBorders>
                  <w:shd w:val="clear" w:color="auto" w:fill="auto"/>
                  <w:tcMar>
                    <w:left w:w="0" w:type="dxa"/>
                    <w:right w:w="0" w:type="dxa"/>
                  </w:tcMar>
                  <w:vAlign w:val="center"/>
                </w:tcPr>
                <w:p w14:paraId="409FD916">
                  <w:pPr>
                    <w:jc w:val="center"/>
                    <w:rPr>
                      <w:rFonts w:hint="eastAsia" w:ascii="Times New Roman" w:hAnsi="Times New Roman" w:eastAsia="宋体" w:cs="Times New Roman"/>
                      <w:snapToGrid w:val="0"/>
                      <w:color w:val="auto"/>
                      <w:kern w:val="0"/>
                      <w:sz w:val="21"/>
                      <w:szCs w:val="21"/>
                      <w:lang w:val="en-US" w:eastAsia="zh-CN" w:bidi="ar-SA"/>
                    </w:rPr>
                  </w:pPr>
                  <w:r>
                    <w:rPr>
                      <w:rFonts w:hint="eastAsia"/>
                      <w:color w:val="auto"/>
                      <w:kern w:val="0"/>
                      <w:sz w:val="21"/>
                      <w:szCs w:val="21"/>
                      <w:lang w:val="en-US" w:eastAsia="zh-CN"/>
                    </w:rPr>
                    <w:t>10</w:t>
                  </w:r>
                </w:p>
              </w:tc>
              <w:tc>
                <w:tcPr>
                  <w:tcW w:w="444" w:type="pct"/>
                  <w:tcBorders>
                    <w:tl2br w:val="nil"/>
                    <w:tr2bl w:val="nil"/>
                  </w:tcBorders>
                  <w:shd w:val="clear" w:color="auto" w:fill="auto"/>
                  <w:tcMar>
                    <w:left w:w="0" w:type="dxa"/>
                    <w:right w:w="0" w:type="dxa"/>
                  </w:tcMar>
                  <w:vAlign w:val="center"/>
                </w:tcPr>
                <w:p w14:paraId="782B6E90">
                  <w:pPr>
                    <w:jc w:val="center"/>
                    <w:rPr>
                      <w:rFonts w:hint="eastAsia" w:ascii="Times New Roman" w:hAnsi="Times New Roman" w:eastAsia="宋体" w:cs="Times New Roman"/>
                      <w:snapToGrid w:val="0"/>
                      <w:color w:val="auto"/>
                      <w:kern w:val="0"/>
                      <w:sz w:val="21"/>
                      <w:szCs w:val="21"/>
                      <w:lang w:val="en-US" w:eastAsia="zh-CN" w:bidi="ar-SA"/>
                    </w:rPr>
                  </w:pPr>
                  <w:r>
                    <w:rPr>
                      <w:rFonts w:hint="eastAsia"/>
                      <w:color w:val="auto"/>
                      <w:kern w:val="0"/>
                      <w:sz w:val="21"/>
                      <w:szCs w:val="21"/>
                      <w:lang w:val="en-US" w:eastAsia="zh-CN"/>
                    </w:rPr>
                    <w:t>0.4</w:t>
                  </w:r>
                </w:p>
              </w:tc>
              <w:tc>
                <w:tcPr>
                  <w:tcW w:w="1310" w:type="pct"/>
                  <w:vMerge w:val="continue"/>
                  <w:tcBorders>
                    <w:tl2br w:val="nil"/>
                    <w:tr2bl w:val="nil"/>
                  </w:tcBorders>
                  <w:vAlign w:val="center"/>
                </w:tcPr>
                <w:p w14:paraId="0A1AC73D">
                  <w:pPr>
                    <w:jc w:val="center"/>
                    <w:rPr>
                      <w:rFonts w:hint="eastAsia"/>
                      <w:bCs/>
                      <w:color w:val="auto"/>
                      <w:kern w:val="0"/>
                      <w:sz w:val="21"/>
                      <w:szCs w:val="21"/>
                      <w:lang w:eastAsia="zh-CN"/>
                    </w:rPr>
                  </w:pPr>
                </w:p>
              </w:tc>
              <w:tc>
                <w:tcPr>
                  <w:tcW w:w="330" w:type="pct"/>
                  <w:tcBorders>
                    <w:tl2br w:val="nil"/>
                    <w:tr2bl w:val="nil"/>
                  </w:tcBorders>
                  <w:tcMar>
                    <w:left w:w="0" w:type="dxa"/>
                    <w:right w:w="0" w:type="dxa"/>
                  </w:tcMar>
                  <w:vAlign w:val="center"/>
                </w:tcPr>
                <w:p w14:paraId="109FAADF">
                  <w:pPr>
                    <w:jc w:val="center"/>
                    <w:rPr>
                      <w:color w:val="auto"/>
                      <w:kern w:val="0"/>
                      <w:sz w:val="21"/>
                      <w:szCs w:val="21"/>
                    </w:rPr>
                  </w:pPr>
                  <w:r>
                    <w:rPr>
                      <w:color w:val="auto"/>
                      <w:kern w:val="0"/>
                      <w:sz w:val="21"/>
                      <w:szCs w:val="21"/>
                    </w:rPr>
                    <w:t>达标</w:t>
                  </w:r>
                </w:p>
              </w:tc>
            </w:tr>
            <w:tr w14:paraId="5A12D3A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22" w:hRule="atLeast"/>
                <w:jc w:val="center"/>
              </w:trPr>
              <w:tc>
                <w:tcPr>
                  <w:tcW w:w="425" w:type="pct"/>
                  <w:vMerge w:val="continue"/>
                  <w:tcBorders>
                    <w:tl2br w:val="nil"/>
                    <w:tr2bl w:val="nil"/>
                  </w:tcBorders>
                  <w:tcMar>
                    <w:left w:w="0" w:type="dxa"/>
                    <w:right w:w="0" w:type="dxa"/>
                  </w:tcMar>
                  <w:vAlign w:val="center"/>
                </w:tcPr>
                <w:p w14:paraId="1A0A3840">
                  <w:pPr>
                    <w:jc w:val="center"/>
                    <w:textAlignment w:val="bottom"/>
                    <w:rPr>
                      <w:rFonts w:hint="eastAsia"/>
                      <w:color w:val="auto"/>
                      <w:kern w:val="0"/>
                      <w:sz w:val="21"/>
                      <w:szCs w:val="21"/>
                    </w:rPr>
                  </w:pPr>
                </w:p>
              </w:tc>
              <w:tc>
                <w:tcPr>
                  <w:tcW w:w="433" w:type="pct"/>
                  <w:vMerge w:val="continue"/>
                  <w:tcBorders>
                    <w:tl2br w:val="nil"/>
                    <w:tr2bl w:val="nil"/>
                  </w:tcBorders>
                  <w:tcMar>
                    <w:left w:w="0" w:type="dxa"/>
                    <w:right w:w="0" w:type="dxa"/>
                  </w:tcMar>
                  <w:vAlign w:val="center"/>
                </w:tcPr>
                <w:p w14:paraId="15F7E8EF">
                  <w:pPr>
                    <w:jc w:val="center"/>
                    <w:textAlignment w:val="bottom"/>
                    <w:rPr>
                      <w:rFonts w:hint="eastAsia"/>
                      <w:color w:val="auto"/>
                      <w:kern w:val="0"/>
                      <w:sz w:val="21"/>
                      <w:szCs w:val="21"/>
                      <w:lang w:val="en-US" w:eastAsia="zh-CN"/>
                    </w:rPr>
                  </w:pPr>
                </w:p>
              </w:tc>
              <w:tc>
                <w:tcPr>
                  <w:tcW w:w="606" w:type="pct"/>
                  <w:tcBorders>
                    <w:tl2br w:val="nil"/>
                    <w:tr2bl w:val="nil"/>
                  </w:tcBorders>
                  <w:tcMar>
                    <w:left w:w="0" w:type="dxa"/>
                    <w:right w:w="0" w:type="dxa"/>
                  </w:tcMar>
                  <w:vAlign w:val="center"/>
                </w:tcPr>
                <w:p w14:paraId="18AB9649">
                  <w:pPr>
                    <w:pStyle w:val="696"/>
                    <w:rPr>
                      <w:rFonts w:hint="eastAsia" w:eastAsia="宋体"/>
                      <w:bCs/>
                      <w:color w:val="auto"/>
                      <w:kern w:val="0"/>
                      <w:sz w:val="21"/>
                      <w:szCs w:val="21"/>
                      <w:lang w:val="en-US" w:eastAsia="zh-CN"/>
                    </w:rPr>
                  </w:pPr>
                  <w:r>
                    <w:rPr>
                      <w:rFonts w:hint="eastAsia"/>
                      <w:bCs/>
                      <w:color w:val="auto"/>
                      <w:kern w:val="0"/>
                      <w:sz w:val="21"/>
                      <w:szCs w:val="21"/>
                      <w:lang w:val="en-US" w:eastAsia="zh-CN"/>
                    </w:rPr>
                    <w:t>非甲烷总烃</w:t>
                  </w:r>
                </w:p>
              </w:tc>
              <w:tc>
                <w:tcPr>
                  <w:tcW w:w="517" w:type="pct"/>
                  <w:tcBorders>
                    <w:tl2br w:val="nil"/>
                    <w:tr2bl w:val="nil"/>
                  </w:tcBorders>
                  <w:tcMar>
                    <w:left w:w="0" w:type="dxa"/>
                    <w:right w:w="0" w:type="dxa"/>
                  </w:tcMar>
                  <w:vAlign w:val="center"/>
                </w:tcPr>
                <w:p w14:paraId="37748718">
                  <w:pPr>
                    <w:pStyle w:val="656"/>
                    <w:snapToGrid w:val="0"/>
                    <w:rPr>
                      <w:rFonts w:hint="default" w:eastAsia="宋体"/>
                      <w:color w:val="auto"/>
                      <w:sz w:val="21"/>
                      <w:szCs w:val="21"/>
                      <w:lang w:val="en-US" w:eastAsia="zh-CN"/>
                    </w:rPr>
                  </w:pPr>
                  <w:r>
                    <w:rPr>
                      <w:rFonts w:hint="eastAsia" w:eastAsia="宋体"/>
                      <w:color w:val="auto"/>
                      <w:sz w:val="21"/>
                      <w:szCs w:val="21"/>
                      <w:lang w:val="en-US" w:eastAsia="zh-CN"/>
                    </w:rPr>
                    <w:t>2.2</w:t>
                  </w:r>
                </w:p>
              </w:tc>
              <w:tc>
                <w:tcPr>
                  <w:tcW w:w="443" w:type="pct"/>
                  <w:tcBorders>
                    <w:tl2br w:val="nil"/>
                    <w:tr2bl w:val="nil"/>
                  </w:tcBorders>
                  <w:tcMar>
                    <w:left w:w="0" w:type="dxa"/>
                    <w:right w:w="0" w:type="dxa"/>
                  </w:tcMar>
                  <w:vAlign w:val="center"/>
                </w:tcPr>
                <w:p w14:paraId="37165779">
                  <w:pPr>
                    <w:pStyle w:val="656"/>
                    <w:snapToGrid w:val="0"/>
                    <w:rPr>
                      <w:rFonts w:hint="default" w:eastAsia="宋体"/>
                      <w:color w:val="auto"/>
                      <w:sz w:val="21"/>
                      <w:szCs w:val="21"/>
                      <w:lang w:val="en-US" w:eastAsia="zh-CN"/>
                    </w:rPr>
                  </w:pPr>
                  <w:r>
                    <w:rPr>
                      <w:rFonts w:hint="eastAsia" w:eastAsia="宋体"/>
                      <w:color w:val="auto"/>
                      <w:sz w:val="21"/>
                      <w:szCs w:val="21"/>
                      <w:lang w:val="en-US" w:eastAsia="zh-CN"/>
                    </w:rPr>
                    <w:t>0.0549</w:t>
                  </w:r>
                </w:p>
              </w:tc>
              <w:tc>
                <w:tcPr>
                  <w:tcW w:w="489" w:type="pct"/>
                  <w:tcBorders>
                    <w:tl2br w:val="nil"/>
                    <w:tr2bl w:val="nil"/>
                  </w:tcBorders>
                  <w:tcMar>
                    <w:left w:w="0" w:type="dxa"/>
                    <w:right w:w="0" w:type="dxa"/>
                  </w:tcMar>
                  <w:vAlign w:val="center"/>
                </w:tcPr>
                <w:p w14:paraId="30F47FEC">
                  <w:pPr>
                    <w:jc w:val="center"/>
                    <w:rPr>
                      <w:rFonts w:hint="default"/>
                      <w:color w:val="auto"/>
                      <w:kern w:val="0"/>
                      <w:sz w:val="21"/>
                      <w:szCs w:val="21"/>
                      <w:lang w:val="en-US" w:eastAsia="zh-CN"/>
                    </w:rPr>
                  </w:pPr>
                  <w:r>
                    <w:rPr>
                      <w:rFonts w:hint="eastAsia"/>
                      <w:color w:val="auto"/>
                      <w:kern w:val="0"/>
                      <w:sz w:val="21"/>
                      <w:szCs w:val="21"/>
                      <w:lang w:val="en-US" w:eastAsia="zh-CN"/>
                    </w:rPr>
                    <w:t>50</w:t>
                  </w:r>
                </w:p>
              </w:tc>
              <w:tc>
                <w:tcPr>
                  <w:tcW w:w="444" w:type="pct"/>
                  <w:tcBorders>
                    <w:tl2br w:val="nil"/>
                    <w:tr2bl w:val="nil"/>
                  </w:tcBorders>
                  <w:tcMar>
                    <w:left w:w="0" w:type="dxa"/>
                    <w:right w:w="0" w:type="dxa"/>
                  </w:tcMar>
                  <w:vAlign w:val="center"/>
                </w:tcPr>
                <w:p w14:paraId="05024076">
                  <w:pPr>
                    <w:jc w:val="center"/>
                    <w:rPr>
                      <w:rFonts w:hint="default"/>
                      <w:color w:val="auto"/>
                      <w:kern w:val="0"/>
                      <w:sz w:val="21"/>
                      <w:szCs w:val="21"/>
                      <w:lang w:val="en-US" w:eastAsia="zh-CN"/>
                    </w:rPr>
                  </w:pPr>
                  <w:r>
                    <w:rPr>
                      <w:rFonts w:hint="eastAsia"/>
                      <w:color w:val="auto"/>
                      <w:kern w:val="0"/>
                      <w:sz w:val="21"/>
                      <w:szCs w:val="21"/>
                      <w:lang w:val="en-US" w:eastAsia="zh-CN"/>
                    </w:rPr>
                    <w:t>2.0</w:t>
                  </w:r>
                </w:p>
              </w:tc>
              <w:tc>
                <w:tcPr>
                  <w:tcW w:w="1310" w:type="pct"/>
                  <w:vMerge w:val="continue"/>
                  <w:tcBorders>
                    <w:tl2br w:val="nil"/>
                    <w:tr2bl w:val="nil"/>
                  </w:tcBorders>
                  <w:vAlign w:val="center"/>
                </w:tcPr>
                <w:p w14:paraId="153BE0DE">
                  <w:pPr>
                    <w:jc w:val="center"/>
                    <w:rPr>
                      <w:rFonts w:hint="eastAsia"/>
                      <w:bCs/>
                      <w:color w:val="auto"/>
                      <w:kern w:val="0"/>
                      <w:sz w:val="21"/>
                      <w:szCs w:val="21"/>
                      <w:lang w:eastAsia="zh-CN"/>
                    </w:rPr>
                  </w:pPr>
                </w:p>
              </w:tc>
              <w:tc>
                <w:tcPr>
                  <w:tcW w:w="330" w:type="pct"/>
                  <w:tcBorders>
                    <w:tl2br w:val="nil"/>
                    <w:tr2bl w:val="nil"/>
                  </w:tcBorders>
                  <w:tcMar>
                    <w:left w:w="0" w:type="dxa"/>
                    <w:right w:w="0" w:type="dxa"/>
                  </w:tcMar>
                  <w:vAlign w:val="center"/>
                </w:tcPr>
                <w:p w14:paraId="3D503DC5">
                  <w:pPr>
                    <w:jc w:val="center"/>
                    <w:rPr>
                      <w:color w:val="auto"/>
                      <w:kern w:val="0"/>
                      <w:sz w:val="21"/>
                      <w:szCs w:val="21"/>
                    </w:rPr>
                  </w:pPr>
                  <w:r>
                    <w:rPr>
                      <w:color w:val="auto"/>
                      <w:kern w:val="0"/>
                      <w:sz w:val="21"/>
                      <w:szCs w:val="21"/>
                    </w:rPr>
                    <w:t>达标</w:t>
                  </w:r>
                </w:p>
              </w:tc>
            </w:tr>
            <w:tr w14:paraId="4D36D9F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22" w:hRule="atLeast"/>
                <w:jc w:val="center"/>
              </w:trPr>
              <w:tc>
                <w:tcPr>
                  <w:tcW w:w="425" w:type="pct"/>
                  <w:vMerge w:val="continue"/>
                  <w:tcBorders>
                    <w:tl2br w:val="nil"/>
                    <w:tr2bl w:val="nil"/>
                  </w:tcBorders>
                  <w:tcMar>
                    <w:left w:w="0" w:type="dxa"/>
                    <w:right w:w="0" w:type="dxa"/>
                  </w:tcMar>
                  <w:vAlign w:val="center"/>
                </w:tcPr>
                <w:p w14:paraId="3C19D065">
                  <w:pPr>
                    <w:jc w:val="center"/>
                    <w:textAlignment w:val="bottom"/>
                    <w:rPr>
                      <w:rFonts w:hint="eastAsia"/>
                      <w:color w:val="auto"/>
                      <w:kern w:val="0"/>
                      <w:sz w:val="21"/>
                      <w:szCs w:val="21"/>
                    </w:rPr>
                  </w:pPr>
                </w:p>
              </w:tc>
              <w:tc>
                <w:tcPr>
                  <w:tcW w:w="433" w:type="pct"/>
                  <w:vMerge w:val="continue"/>
                  <w:tcBorders>
                    <w:tl2br w:val="nil"/>
                    <w:tr2bl w:val="nil"/>
                  </w:tcBorders>
                  <w:tcMar>
                    <w:left w:w="0" w:type="dxa"/>
                    <w:right w:w="0" w:type="dxa"/>
                  </w:tcMar>
                  <w:vAlign w:val="center"/>
                </w:tcPr>
                <w:p w14:paraId="3A003F67">
                  <w:pPr>
                    <w:jc w:val="center"/>
                    <w:textAlignment w:val="bottom"/>
                    <w:rPr>
                      <w:rFonts w:hint="eastAsia"/>
                      <w:color w:val="auto"/>
                      <w:kern w:val="0"/>
                      <w:sz w:val="21"/>
                      <w:szCs w:val="21"/>
                      <w:lang w:val="en-US" w:eastAsia="zh-CN"/>
                    </w:rPr>
                  </w:pPr>
                </w:p>
              </w:tc>
              <w:tc>
                <w:tcPr>
                  <w:tcW w:w="606" w:type="pct"/>
                  <w:tcBorders>
                    <w:tl2br w:val="nil"/>
                    <w:tr2bl w:val="nil"/>
                  </w:tcBorders>
                  <w:tcMar>
                    <w:left w:w="0" w:type="dxa"/>
                    <w:right w:w="0" w:type="dxa"/>
                  </w:tcMar>
                  <w:vAlign w:val="center"/>
                </w:tcPr>
                <w:p w14:paraId="6CC646B6">
                  <w:pPr>
                    <w:pStyle w:val="656"/>
                    <w:snapToGrid w:val="0"/>
                    <w:rPr>
                      <w:rFonts w:hint="default"/>
                      <w:bCs/>
                      <w:color w:val="auto"/>
                      <w:kern w:val="0"/>
                      <w:sz w:val="21"/>
                      <w:szCs w:val="21"/>
                      <w:lang w:val="en-US" w:eastAsia="zh-CN"/>
                    </w:rPr>
                  </w:pPr>
                  <w:r>
                    <w:rPr>
                      <w:rFonts w:hint="eastAsia" w:eastAsia="宋体"/>
                      <w:color w:val="auto"/>
                      <w:sz w:val="21"/>
                      <w:szCs w:val="21"/>
                      <w:lang w:val="en-US" w:eastAsia="zh-CN"/>
                    </w:rPr>
                    <w:t>苯系物</w:t>
                  </w:r>
                </w:p>
              </w:tc>
              <w:tc>
                <w:tcPr>
                  <w:tcW w:w="517" w:type="pct"/>
                  <w:tcBorders>
                    <w:tl2br w:val="nil"/>
                    <w:tr2bl w:val="nil"/>
                  </w:tcBorders>
                  <w:tcMar>
                    <w:left w:w="0" w:type="dxa"/>
                    <w:right w:w="0" w:type="dxa"/>
                  </w:tcMar>
                  <w:vAlign w:val="center"/>
                </w:tcPr>
                <w:p w14:paraId="2ABA3E67">
                  <w:pPr>
                    <w:pStyle w:val="656"/>
                    <w:snapToGrid w:val="0"/>
                    <w:rPr>
                      <w:rFonts w:hint="default" w:eastAsia="宋体"/>
                      <w:color w:val="auto"/>
                      <w:sz w:val="21"/>
                      <w:szCs w:val="21"/>
                      <w:lang w:val="en-US" w:eastAsia="zh-CN"/>
                    </w:rPr>
                  </w:pPr>
                  <w:r>
                    <w:rPr>
                      <w:rFonts w:hint="eastAsia" w:eastAsia="宋体" w:cs="Times New Roman"/>
                      <w:snapToGrid w:val="0"/>
                      <w:color w:val="auto"/>
                      <w:kern w:val="2"/>
                      <w:sz w:val="21"/>
                      <w:szCs w:val="21"/>
                      <w:lang w:val="en-US" w:eastAsia="zh-CN" w:bidi="ar-SA"/>
                    </w:rPr>
                    <w:t>0.8</w:t>
                  </w:r>
                </w:p>
              </w:tc>
              <w:tc>
                <w:tcPr>
                  <w:tcW w:w="443" w:type="pct"/>
                  <w:tcBorders>
                    <w:tl2br w:val="nil"/>
                    <w:tr2bl w:val="nil"/>
                  </w:tcBorders>
                  <w:tcMar>
                    <w:left w:w="0" w:type="dxa"/>
                    <w:right w:w="0" w:type="dxa"/>
                  </w:tcMar>
                  <w:vAlign w:val="center"/>
                </w:tcPr>
                <w:p w14:paraId="194DDB19">
                  <w:pPr>
                    <w:pStyle w:val="656"/>
                    <w:snapToGrid w:val="0"/>
                    <w:rPr>
                      <w:rFonts w:hint="default" w:eastAsia="宋体"/>
                      <w:color w:val="auto"/>
                      <w:sz w:val="21"/>
                      <w:szCs w:val="21"/>
                      <w:lang w:val="en-US" w:eastAsia="zh-CN"/>
                    </w:rPr>
                  </w:pPr>
                  <w:r>
                    <w:rPr>
                      <w:rFonts w:hint="eastAsia" w:eastAsia="宋体" w:cs="Times New Roman"/>
                      <w:snapToGrid w:val="0"/>
                      <w:color w:val="auto"/>
                      <w:kern w:val="2"/>
                      <w:sz w:val="21"/>
                      <w:szCs w:val="21"/>
                      <w:lang w:val="en-US" w:eastAsia="zh-CN" w:bidi="ar-SA"/>
                    </w:rPr>
                    <w:t>0.02</w:t>
                  </w:r>
                </w:p>
              </w:tc>
              <w:tc>
                <w:tcPr>
                  <w:tcW w:w="489" w:type="pct"/>
                  <w:tcBorders>
                    <w:tl2br w:val="nil"/>
                    <w:tr2bl w:val="nil"/>
                  </w:tcBorders>
                  <w:tcMar>
                    <w:left w:w="0" w:type="dxa"/>
                    <w:right w:w="0" w:type="dxa"/>
                  </w:tcMar>
                  <w:vAlign w:val="center"/>
                </w:tcPr>
                <w:p w14:paraId="62614A4A">
                  <w:pPr>
                    <w:jc w:val="center"/>
                    <w:rPr>
                      <w:rFonts w:hint="default"/>
                      <w:color w:val="auto"/>
                      <w:kern w:val="0"/>
                      <w:sz w:val="21"/>
                      <w:szCs w:val="21"/>
                      <w:lang w:val="en-US" w:eastAsia="zh-CN"/>
                    </w:rPr>
                  </w:pPr>
                  <w:r>
                    <w:rPr>
                      <w:rFonts w:hint="eastAsia"/>
                      <w:color w:val="auto"/>
                      <w:lang w:val="en-US" w:eastAsia="zh-CN"/>
                    </w:rPr>
                    <w:t>20</w:t>
                  </w:r>
                </w:p>
              </w:tc>
              <w:tc>
                <w:tcPr>
                  <w:tcW w:w="444" w:type="pct"/>
                  <w:tcBorders>
                    <w:tl2br w:val="nil"/>
                    <w:tr2bl w:val="nil"/>
                  </w:tcBorders>
                  <w:tcMar>
                    <w:left w:w="0" w:type="dxa"/>
                    <w:right w:w="0" w:type="dxa"/>
                  </w:tcMar>
                  <w:vAlign w:val="center"/>
                </w:tcPr>
                <w:p w14:paraId="7046D4BB">
                  <w:pPr>
                    <w:jc w:val="center"/>
                    <w:rPr>
                      <w:rFonts w:hint="default"/>
                      <w:color w:val="auto"/>
                      <w:kern w:val="0"/>
                      <w:sz w:val="21"/>
                      <w:szCs w:val="21"/>
                      <w:lang w:val="en-US" w:eastAsia="zh-CN"/>
                    </w:rPr>
                  </w:pPr>
                  <w:r>
                    <w:rPr>
                      <w:rFonts w:hint="eastAsia"/>
                      <w:color w:val="auto"/>
                      <w:lang w:val="en-US" w:eastAsia="zh-CN"/>
                    </w:rPr>
                    <w:t>0.8</w:t>
                  </w:r>
                </w:p>
              </w:tc>
              <w:tc>
                <w:tcPr>
                  <w:tcW w:w="1310" w:type="pct"/>
                  <w:vMerge w:val="restart"/>
                  <w:tcBorders>
                    <w:tl2br w:val="nil"/>
                    <w:tr2bl w:val="nil"/>
                  </w:tcBorders>
                  <w:vAlign w:val="center"/>
                </w:tcPr>
                <w:p w14:paraId="522FFEBA">
                  <w:pPr>
                    <w:jc w:val="center"/>
                    <w:rPr>
                      <w:rFonts w:hint="eastAsia"/>
                      <w:bCs/>
                      <w:color w:val="auto"/>
                      <w:kern w:val="0"/>
                      <w:sz w:val="21"/>
                      <w:szCs w:val="21"/>
                      <w:lang w:eastAsia="zh-CN"/>
                    </w:rPr>
                  </w:pPr>
                  <w:r>
                    <w:rPr>
                      <w:rFonts w:hint="eastAsia"/>
                      <w:color w:val="auto"/>
                      <w:kern w:val="0"/>
                      <w:sz w:val="21"/>
                      <w:szCs w:val="21"/>
                    </w:rPr>
                    <w:t>《大气污染物综合排放标准》（DB32/ 4041-2021）表1</w:t>
                  </w:r>
                </w:p>
              </w:tc>
              <w:tc>
                <w:tcPr>
                  <w:tcW w:w="330" w:type="pct"/>
                  <w:vMerge w:val="restart"/>
                  <w:tcBorders>
                    <w:tl2br w:val="nil"/>
                    <w:tr2bl w:val="nil"/>
                  </w:tcBorders>
                  <w:tcMar>
                    <w:left w:w="0" w:type="dxa"/>
                    <w:right w:w="0" w:type="dxa"/>
                  </w:tcMar>
                  <w:vAlign w:val="center"/>
                </w:tcPr>
                <w:p w14:paraId="2C5B7E1F">
                  <w:pPr>
                    <w:jc w:val="center"/>
                    <w:rPr>
                      <w:rFonts w:hint="eastAsia" w:eastAsia="宋体"/>
                      <w:color w:val="auto"/>
                      <w:kern w:val="0"/>
                      <w:sz w:val="21"/>
                      <w:szCs w:val="21"/>
                      <w:lang w:val="en-US" w:eastAsia="zh-CN"/>
                    </w:rPr>
                  </w:pPr>
                  <w:r>
                    <w:rPr>
                      <w:rFonts w:hint="eastAsia"/>
                      <w:color w:val="auto"/>
                      <w:kern w:val="0"/>
                      <w:sz w:val="21"/>
                      <w:szCs w:val="21"/>
                      <w:lang w:val="en-US" w:eastAsia="zh-CN"/>
                    </w:rPr>
                    <w:t>达标</w:t>
                  </w:r>
                </w:p>
              </w:tc>
            </w:tr>
            <w:tr w14:paraId="0618D88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22" w:hRule="atLeast"/>
                <w:jc w:val="center"/>
              </w:trPr>
              <w:tc>
                <w:tcPr>
                  <w:tcW w:w="425" w:type="pct"/>
                  <w:vMerge w:val="continue"/>
                  <w:tcBorders>
                    <w:tl2br w:val="nil"/>
                    <w:tr2bl w:val="nil"/>
                  </w:tcBorders>
                  <w:tcMar>
                    <w:left w:w="0" w:type="dxa"/>
                    <w:right w:w="0" w:type="dxa"/>
                  </w:tcMar>
                  <w:vAlign w:val="center"/>
                </w:tcPr>
                <w:p w14:paraId="0AA85B1C">
                  <w:pPr>
                    <w:jc w:val="center"/>
                    <w:textAlignment w:val="bottom"/>
                    <w:rPr>
                      <w:rFonts w:hint="eastAsia"/>
                      <w:color w:val="auto"/>
                      <w:kern w:val="0"/>
                      <w:sz w:val="21"/>
                      <w:szCs w:val="21"/>
                    </w:rPr>
                  </w:pPr>
                </w:p>
              </w:tc>
              <w:tc>
                <w:tcPr>
                  <w:tcW w:w="433" w:type="pct"/>
                  <w:vMerge w:val="continue"/>
                  <w:tcBorders>
                    <w:tl2br w:val="nil"/>
                    <w:tr2bl w:val="nil"/>
                  </w:tcBorders>
                  <w:tcMar>
                    <w:left w:w="0" w:type="dxa"/>
                    <w:right w:w="0" w:type="dxa"/>
                  </w:tcMar>
                  <w:vAlign w:val="center"/>
                </w:tcPr>
                <w:p w14:paraId="5C549A87">
                  <w:pPr>
                    <w:jc w:val="center"/>
                    <w:textAlignment w:val="bottom"/>
                    <w:rPr>
                      <w:rFonts w:hint="eastAsia"/>
                      <w:color w:val="auto"/>
                      <w:kern w:val="0"/>
                      <w:sz w:val="21"/>
                      <w:szCs w:val="21"/>
                      <w:lang w:val="en-US" w:eastAsia="zh-CN"/>
                    </w:rPr>
                  </w:pPr>
                </w:p>
              </w:tc>
              <w:tc>
                <w:tcPr>
                  <w:tcW w:w="606" w:type="pct"/>
                  <w:tcBorders>
                    <w:tl2br w:val="nil"/>
                    <w:tr2bl w:val="nil"/>
                  </w:tcBorders>
                  <w:tcMar>
                    <w:left w:w="0" w:type="dxa"/>
                    <w:right w:w="0" w:type="dxa"/>
                  </w:tcMar>
                  <w:vAlign w:val="center"/>
                </w:tcPr>
                <w:p w14:paraId="70365A3E">
                  <w:pPr>
                    <w:pStyle w:val="656"/>
                    <w:snapToGrid w:val="0"/>
                    <w:rPr>
                      <w:rFonts w:hint="eastAsia"/>
                      <w:bCs/>
                      <w:color w:val="auto"/>
                      <w:kern w:val="0"/>
                      <w:sz w:val="21"/>
                      <w:szCs w:val="21"/>
                      <w:lang w:val="en-US" w:eastAsia="zh-CN"/>
                    </w:rPr>
                  </w:pPr>
                  <w:r>
                    <w:rPr>
                      <w:rFonts w:hint="eastAsia" w:eastAsia="宋体"/>
                      <w:color w:val="auto"/>
                      <w:sz w:val="21"/>
                      <w:szCs w:val="21"/>
                      <w:lang w:val="en-US" w:eastAsia="zh-CN"/>
                    </w:rPr>
                    <w:t>二甲苯</w:t>
                  </w:r>
                </w:p>
              </w:tc>
              <w:tc>
                <w:tcPr>
                  <w:tcW w:w="517" w:type="pct"/>
                  <w:tcBorders>
                    <w:tl2br w:val="nil"/>
                    <w:tr2bl w:val="nil"/>
                  </w:tcBorders>
                  <w:tcMar>
                    <w:left w:w="0" w:type="dxa"/>
                    <w:right w:w="0" w:type="dxa"/>
                  </w:tcMar>
                  <w:vAlign w:val="center"/>
                </w:tcPr>
                <w:p w14:paraId="681BEB53">
                  <w:pPr>
                    <w:pStyle w:val="656"/>
                    <w:snapToGrid w:val="0"/>
                    <w:rPr>
                      <w:rFonts w:hint="eastAsia" w:eastAsia="宋体"/>
                      <w:color w:val="auto"/>
                      <w:sz w:val="21"/>
                      <w:szCs w:val="21"/>
                      <w:lang w:val="en-US" w:eastAsia="zh-CN"/>
                    </w:rPr>
                  </w:pPr>
                  <w:r>
                    <w:rPr>
                      <w:rFonts w:hint="eastAsia" w:eastAsia="宋体"/>
                      <w:color w:val="auto"/>
                      <w:sz w:val="21"/>
                      <w:szCs w:val="21"/>
                      <w:lang w:val="en-US" w:eastAsia="zh-CN"/>
                    </w:rPr>
                    <w:t>0.544</w:t>
                  </w:r>
                </w:p>
              </w:tc>
              <w:tc>
                <w:tcPr>
                  <w:tcW w:w="443" w:type="pct"/>
                  <w:tcBorders>
                    <w:tl2br w:val="nil"/>
                    <w:tr2bl w:val="nil"/>
                  </w:tcBorders>
                  <w:tcMar>
                    <w:left w:w="0" w:type="dxa"/>
                    <w:right w:w="0" w:type="dxa"/>
                  </w:tcMar>
                  <w:vAlign w:val="center"/>
                </w:tcPr>
                <w:p w14:paraId="0393B657">
                  <w:pPr>
                    <w:pStyle w:val="656"/>
                    <w:snapToGrid w:val="0"/>
                    <w:rPr>
                      <w:rFonts w:hint="eastAsia" w:eastAsia="宋体"/>
                      <w:color w:val="auto"/>
                      <w:sz w:val="21"/>
                      <w:szCs w:val="21"/>
                      <w:lang w:val="en-US" w:eastAsia="zh-CN"/>
                    </w:rPr>
                  </w:pPr>
                  <w:r>
                    <w:rPr>
                      <w:rFonts w:hint="eastAsia" w:eastAsia="宋体"/>
                      <w:color w:val="auto"/>
                      <w:sz w:val="21"/>
                      <w:szCs w:val="21"/>
                      <w:lang w:val="en-US" w:eastAsia="zh-CN"/>
                    </w:rPr>
                    <w:t>0.0136</w:t>
                  </w:r>
                </w:p>
              </w:tc>
              <w:tc>
                <w:tcPr>
                  <w:tcW w:w="489" w:type="pct"/>
                  <w:tcBorders>
                    <w:tl2br w:val="nil"/>
                    <w:tr2bl w:val="nil"/>
                  </w:tcBorders>
                  <w:tcMar>
                    <w:left w:w="0" w:type="dxa"/>
                    <w:right w:w="0" w:type="dxa"/>
                  </w:tcMar>
                  <w:vAlign w:val="center"/>
                </w:tcPr>
                <w:p w14:paraId="0E3E0F47">
                  <w:pPr>
                    <w:jc w:val="center"/>
                    <w:rPr>
                      <w:rFonts w:hint="eastAsia"/>
                      <w:color w:val="auto"/>
                      <w:kern w:val="0"/>
                      <w:sz w:val="21"/>
                      <w:szCs w:val="21"/>
                      <w:lang w:val="en-US" w:eastAsia="zh-CN"/>
                    </w:rPr>
                  </w:pPr>
                  <w:r>
                    <w:rPr>
                      <w:rFonts w:hint="eastAsia"/>
                      <w:color w:val="auto"/>
                      <w:lang w:val="en-US" w:eastAsia="zh-CN"/>
                    </w:rPr>
                    <w:t>10</w:t>
                  </w:r>
                </w:p>
              </w:tc>
              <w:tc>
                <w:tcPr>
                  <w:tcW w:w="444" w:type="pct"/>
                  <w:tcBorders>
                    <w:tl2br w:val="nil"/>
                    <w:tr2bl w:val="nil"/>
                  </w:tcBorders>
                  <w:tcMar>
                    <w:left w:w="0" w:type="dxa"/>
                    <w:right w:w="0" w:type="dxa"/>
                  </w:tcMar>
                  <w:vAlign w:val="center"/>
                </w:tcPr>
                <w:p w14:paraId="1478386A">
                  <w:pPr>
                    <w:jc w:val="center"/>
                    <w:rPr>
                      <w:rFonts w:hint="eastAsia"/>
                      <w:color w:val="auto"/>
                      <w:kern w:val="0"/>
                      <w:sz w:val="21"/>
                      <w:szCs w:val="21"/>
                      <w:lang w:val="en-US" w:eastAsia="zh-CN"/>
                    </w:rPr>
                  </w:pPr>
                  <w:r>
                    <w:rPr>
                      <w:rFonts w:hint="eastAsia"/>
                      <w:color w:val="auto"/>
                      <w:lang w:val="en-US" w:eastAsia="zh-CN"/>
                    </w:rPr>
                    <w:t>0.72</w:t>
                  </w:r>
                </w:p>
              </w:tc>
              <w:tc>
                <w:tcPr>
                  <w:tcW w:w="1310" w:type="pct"/>
                  <w:vMerge w:val="continue"/>
                  <w:tcBorders>
                    <w:tl2br w:val="nil"/>
                    <w:tr2bl w:val="nil"/>
                  </w:tcBorders>
                  <w:vAlign w:val="center"/>
                </w:tcPr>
                <w:p w14:paraId="0B1D7B59">
                  <w:pPr>
                    <w:jc w:val="center"/>
                    <w:rPr>
                      <w:rFonts w:hint="eastAsia"/>
                      <w:color w:val="auto"/>
                      <w:kern w:val="0"/>
                      <w:sz w:val="21"/>
                      <w:szCs w:val="21"/>
                    </w:rPr>
                  </w:pPr>
                </w:p>
              </w:tc>
              <w:tc>
                <w:tcPr>
                  <w:tcW w:w="330" w:type="pct"/>
                  <w:vMerge w:val="continue"/>
                  <w:tcBorders>
                    <w:tl2br w:val="nil"/>
                    <w:tr2bl w:val="nil"/>
                  </w:tcBorders>
                  <w:tcMar>
                    <w:left w:w="0" w:type="dxa"/>
                    <w:right w:w="0" w:type="dxa"/>
                  </w:tcMar>
                  <w:vAlign w:val="center"/>
                </w:tcPr>
                <w:p w14:paraId="483FA4A5">
                  <w:pPr>
                    <w:jc w:val="center"/>
                    <w:rPr>
                      <w:rFonts w:hint="eastAsia"/>
                      <w:color w:val="auto"/>
                      <w:kern w:val="0"/>
                      <w:sz w:val="21"/>
                      <w:szCs w:val="21"/>
                      <w:lang w:val="en-US" w:eastAsia="zh-CN"/>
                    </w:rPr>
                  </w:pPr>
                </w:p>
              </w:tc>
            </w:tr>
          </w:tbl>
          <w:p w14:paraId="46888E21">
            <w:pPr>
              <w:pStyle w:val="697"/>
              <w:adjustRightInd w:val="0"/>
              <w:snapToGrid w:val="0"/>
              <w:spacing w:line="360" w:lineRule="auto"/>
              <w:ind w:firstLine="420"/>
              <w:rPr>
                <w:rFonts w:eastAsia="宋体"/>
                <w:color w:val="auto"/>
                <w:kern w:val="0"/>
                <w:sz w:val="21"/>
                <w:szCs w:val="21"/>
              </w:rPr>
            </w:pPr>
            <w:r>
              <w:rPr>
                <w:rFonts w:eastAsia="宋体"/>
                <w:color w:val="auto"/>
                <w:kern w:val="0"/>
                <w:sz w:val="21"/>
                <w:szCs w:val="21"/>
              </w:rPr>
              <w:t>项目无组织废气经治理后排放量较低，企业应加强生产管理，增加员工意识，规范操作，定期检查集气设施的密闭情况，确保无组织排放废气厂界达标。</w:t>
            </w:r>
          </w:p>
          <w:p w14:paraId="2726EB1F">
            <w:pPr>
              <w:pStyle w:val="5"/>
              <w:adjustRightInd w:val="0"/>
              <w:snapToGrid w:val="0"/>
              <w:spacing w:line="360" w:lineRule="auto"/>
              <w:ind w:firstLine="422" w:firstLineChars="200"/>
              <w:rPr>
                <w:b/>
                <w:color w:val="auto"/>
                <w:kern w:val="0"/>
                <w:szCs w:val="21"/>
              </w:rPr>
            </w:pPr>
            <w:r>
              <w:rPr>
                <w:rFonts w:hint="eastAsia"/>
                <w:b/>
                <w:color w:val="auto"/>
                <w:kern w:val="0"/>
                <w:szCs w:val="21"/>
              </w:rPr>
              <w:t>（6）污染物排放量核算</w:t>
            </w:r>
          </w:p>
          <w:p w14:paraId="784A4BBC">
            <w:pPr>
              <w:pStyle w:val="238"/>
              <w:adjustRightInd w:val="0"/>
              <w:snapToGrid w:val="0"/>
              <w:spacing w:before="0" w:line="240" w:lineRule="auto"/>
              <w:rPr>
                <w:rFonts w:ascii="Times New Roman" w:hAnsi="Times New Roman" w:eastAsia="宋体"/>
                <w:b/>
                <w:color w:val="auto"/>
                <w:kern w:val="0"/>
                <w:sz w:val="21"/>
                <w:szCs w:val="21"/>
              </w:rPr>
            </w:pPr>
            <w:r>
              <w:rPr>
                <w:rFonts w:ascii="Times New Roman" w:hAnsi="Times New Roman" w:eastAsia="宋体"/>
                <w:b/>
                <w:color w:val="auto"/>
                <w:kern w:val="0"/>
                <w:sz w:val="21"/>
                <w:szCs w:val="21"/>
              </w:rPr>
              <w:t>表4</w:t>
            </w:r>
            <w:r>
              <w:rPr>
                <w:rFonts w:hint="eastAsia" w:ascii="Times New Roman" w:hAnsi="Times New Roman" w:eastAsia="宋体"/>
                <w:b/>
                <w:color w:val="auto"/>
                <w:kern w:val="0"/>
                <w:sz w:val="21"/>
                <w:szCs w:val="21"/>
                <w:lang w:val="en-US" w:eastAsia="zh-CN"/>
              </w:rPr>
              <w:t>-8</w:t>
            </w:r>
            <w:r>
              <w:rPr>
                <w:rFonts w:hint="eastAsia" w:ascii="Times New Roman" w:hAnsi="Times New Roman" w:eastAsia="宋体"/>
                <w:b/>
                <w:color w:val="auto"/>
                <w:kern w:val="0"/>
                <w:sz w:val="21"/>
                <w:szCs w:val="21"/>
              </w:rPr>
              <w:t xml:space="preserve">   </w:t>
            </w:r>
            <w:r>
              <w:rPr>
                <w:rFonts w:ascii="Times New Roman" w:hAnsi="Times New Roman" w:eastAsia="宋体"/>
                <w:b/>
                <w:color w:val="auto"/>
                <w:kern w:val="0"/>
                <w:sz w:val="21"/>
                <w:szCs w:val="21"/>
              </w:rPr>
              <w:t>项目大气污染物有组织排放量核算表</w:t>
            </w:r>
          </w:p>
          <w:tbl>
            <w:tblPr>
              <w:tblStyle w:val="59"/>
              <w:tblW w:w="5000"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0" w:type="dxa"/>
                <w:bottom w:w="0" w:type="dxa"/>
                <w:right w:w="0" w:type="dxa"/>
              </w:tblCellMar>
            </w:tblPr>
            <w:tblGrid>
              <w:gridCol w:w="804"/>
              <w:gridCol w:w="1535"/>
              <w:gridCol w:w="1381"/>
              <w:gridCol w:w="1482"/>
              <w:gridCol w:w="1474"/>
              <w:gridCol w:w="2185"/>
            </w:tblGrid>
            <w:tr w14:paraId="2375145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453" w:type="pct"/>
                  <w:tcBorders>
                    <w:tl2br w:val="nil"/>
                    <w:tr2bl w:val="nil"/>
                  </w:tcBorders>
                  <w:vAlign w:val="center"/>
                </w:tcPr>
                <w:p w14:paraId="72297695">
                  <w:pPr>
                    <w:pStyle w:val="693"/>
                    <w:rPr>
                      <w:rFonts w:eastAsia="宋体"/>
                      <w:color w:val="auto"/>
                      <w:kern w:val="0"/>
                      <w:sz w:val="21"/>
                      <w:szCs w:val="21"/>
                    </w:rPr>
                  </w:pPr>
                  <w:r>
                    <w:rPr>
                      <w:rFonts w:eastAsia="宋体"/>
                      <w:color w:val="auto"/>
                      <w:kern w:val="0"/>
                      <w:sz w:val="21"/>
                      <w:szCs w:val="21"/>
                    </w:rPr>
                    <w:t>序号</w:t>
                  </w:r>
                </w:p>
              </w:tc>
              <w:tc>
                <w:tcPr>
                  <w:tcW w:w="866" w:type="pct"/>
                  <w:tcBorders>
                    <w:tl2br w:val="nil"/>
                    <w:tr2bl w:val="nil"/>
                  </w:tcBorders>
                  <w:vAlign w:val="center"/>
                </w:tcPr>
                <w:p w14:paraId="49D2E519">
                  <w:pPr>
                    <w:pStyle w:val="693"/>
                    <w:rPr>
                      <w:rFonts w:eastAsia="宋体"/>
                      <w:color w:val="auto"/>
                      <w:kern w:val="0"/>
                      <w:sz w:val="21"/>
                      <w:szCs w:val="21"/>
                    </w:rPr>
                  </w:pPr>
                  <w:r>
                    <w:rPr>
                      <w:rFonts w:eastAsia="宋体"/>
                      <w:color w:val="auto"/>
                      <w:kern w:val="0"/>
                      <w:sz w:val="21"/>
                      <w:szCs w:val="21"/>
                    </w:rPr>
                    <w:t>排放口编号</w:t>
                  </w:r>
                </w:p>
              </w:tc>
              <w:tc>
                <w:tcPr>
                  <w:tcW w:w="779" w:type="pct"/>
                  <w:tcBorders>
                    <w:tl2br w:val="nil"/>
                    <w:tr2bl w:val="nil"/>
                  </w:tcBorders>
                  <w:vAlign w:val="center"/>
                </w:tcPr>
                <w:p w14:paraId="6211770A">
                  <w:pPr>
                    <w:pStyle w:val="693"/>
                    <w:rPr>
                      <w:rFonts w:eastAsia="宋体"/>
                      <w:color w:val="auto"/>
                      <w:kern w:val="0"/>
                      <w:sz w:val="21"/>
                      <w:szCs w:val="21"/>
                    </w:rPr>
                  </w:pPr>
                  <w:r>
                    <w:rPr>
                      <w:rFonts w:eastAsia="宋体"/>
                      <w:color w:val="auto"/>
                      <w:kern w:val="0"/>
                      <w:sz w:val="21"/>
                      <w:szCs w:val="21"/>
                    </w:rPr>
                    <w:t>污染物</w:t>
                  </w:r>
                </w:p>
              </w:tc>
              <w:tc>
                <w:tcPr>
                  <w:tcW w:w="836" w:type="pct"/>
                  <w:tcBorders>
                    <w:tl2br w:val="nil"/>
                    <w:tr2bl w:val="nil"/>
                  </w:tcBorders>
                  <w:vAlign w:val="center"/>
                </w:tcPr>
                <w:p w14:paraId="4CC39726">
                  <w:pPr>
                    <w:pStyle w:val="693"/>
                    <w:rPr>
                      <w:rFonts w:eastAsia="宋体"/>
                      <w:color w:val="auto"/>
                      <w:kern w:val="0"/>
                      <w:sz w:val="21"/>
                      <w:szCs w:val="21"/>
                    </w:rPr>
                  </w:pPr>
                  <w:r>
                    <w:rPr>
                      <w:rFonts w:eastAsia="宋体"/>
                      <w:color w:val="auto"/>
                      <w:kern w:val="0"/>
                      <w:sz w:val="21"/>
                      <w:szCs w:val="21"/>
                    </w:rPr>
                    <w:t>核算排放浓度mg/m</w:t>
                  </w:r>
                  <w:r>
                    <w:rPr>
                      <w:rFonts w:eastAsia="宋体"/>
                      <w:color w:val="auto"/>
                      <w:kern w:val="0"/>
                      <w:sz w:val="21"/>
                      <w:szCs w:val="21"/>
                      <w:vertAlign w:val="superscript"/>
                    </w:rPr>
                    <w:t>3</w:t>
                  </w:r>
                </w:p>
              </w:tc>
              <w:tc>
                <w:tcPr>
                  <w:tcW w:w="831" w:type="pct"/>
                  <w:tcBorders>
                    <w:tl2br w:val="nil"/>
                    <w:tr2bl w:val="nil"/>
                  </w:tcBorders>
                  <w:vAlign w:val="center"/>
                </w:tcPr>
                <w:p w14:paraId="71A7244A">
                  <w:pPr>
                    <w:pStyle w:val="693"/>
                    <w:rPr>
                      <w:rFonts w:eastAsia="宋体"/>
                      <w:color w:val="auto"/>
                      <w:kern w:val="0"/>
                      <w:sz w:val="21"/>
                      <w:szCs w:val="21"/>
                    </w:rPr>
                  </w:pPr>
                  <w:r>
                    <w:rPr>
                      <w:rFonts w:eastAsia="宋体"/>
                      <w:color w:val="auto"/>
                      <w:kern w:val="0"/>
                      <w:sz w:val="21"/>
                      <w:szCs w:val="21"/>
                    </w:rPr>
                    <w:t>核算排放速率kg/h</w:t>
                  </w:r>
                </w:p>
              </w:tc>
              <w:tc>
                <w:tcPr>
                  <w:tcW w:w="1232" w:type="pct"/>
                  <w:tcBorders>
                    <w:tl2br w:val="nil"/>
                    <w:tr2bl w:val="nil"/>
                  </w:tcBorders>
                  <w:vAlign w:val="center"/>
                </w:tcPr>
                <w:p w14:paraId="3B6060C8">
                  <w:pPr>
                    <w:pStyle w:val="693"/>
                    <w:rPr>
                      <w:rFonts w:eastAsia="宋体"/>
                      <w:color w:val="auto"/>
                      <w:kern w:val="0"/>
                      <w:sz w:val="21"/>
                      <w:szCs w:val="21"/>
                    </w:rPr>
                  </w:pPr>
                  <w:r>
                    <w:rPr>
                      <w:rFonts w:eastAsia="宋体"/>
                      <w:color w:val="auto"/>
                      <w:kern w:val="0"/>
                      <w:sz w:val="21"/>
                      <w:szCs w:val="21"/>
                    </w:rPr>
                    <w:t>核算年排放量t/a</w:t>
                  </w:r>
                </w:p>
              </w:tc>
            </w:tr>
            <w:tr w14:paraId="59F5717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5000" w:type="pct"/>
                  <w:gridSpan w:val="6"/>
                  <w:tcBorders>
                    <w:tl2br w:val="nil"/>
                    <w:tr2bl w:val="nil"/>
                  </w:tcBorders>
                  <w:vAlign w:val="center"/>
                </w:tcPr>
                <w:p w14:paraId="2865078A">
                  <w:pPr>
                    <w:pStyle w:val="698"/>
                    <w:rPr>
                      <w:rFonts w:eastAsia="宋体"/>
                      <w:color w:val="auto"/>
                      <w:kern w:val="0"/>
                      <w:sz w:val="21"/>
                      <w:szCs w:val="21"/>
                    </w:rPr>
                  </w:pPr>
                  <w:r>
                    <w:rPr>
                      <w:rFonts w:eastAsia="宋体"/>
                      <w:color w:val="auto"/>
                      <w:kern w:val="0"/>
                      <w:sz w:val="21"/>
                      <w:szCs w:val="21"/>
                    </w:rPr>
                    <w:t>一般排放口</w:t>
                  </w:r>
                </w:p>
              </w:tc>
            </w:tr>
            <w:tr w14:paraId="5AB197F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453" w:type="pct"/>
                  <w:tcBorders>
                    <w:tl2br w:val="nil"/>
                    <w:tr2bl w:val="nil"/>
                  </w:tcBorders>
                  <w:vAlign w:val="center"/>
                </w:tcPr>
                <w:p w14:paraId="6C33F2CC">
                  <w:pPr>
                    <w:pStyle w:val="693"/>
                    <w:rPr>
                      <w:rFonts w:eastAsia="宋体"/>
                      <w:b w:val="0"/>
                      <w:bCs/>
                      <w:color w:val="auto"/>
                      <w:kern w:val="0"/>
                      <w:sz w:val="21"/>
                      <w:szCs w:val="21"/>
                    </w:rPr>
                  </w:pPr>
                  <w:r>
                    <w:rPr>
                      <w:rFonts w:eastAsia="宋体"/>
                      <w:b w:val="0"/>
                      <w:bCs/>
                      <w:color w:val="auto"/>
                      <w:kern w:val="0"/>
                      <w:sz w:val="21"/>
                      <w:szCs w:val="21"/>
                    </w:rPr>
                    <w:t>1</w:t>
                  </w:r>
                </w:p>
              </w:tc>
              <w:tc>
                <w:tcPr>
                  <w:tcW w:w="866" w:type="pct"/>
                  <w:tcBorders>
                    <w:tl2br w:val="nil"/>
                    <w:tr2bl w:val="nil"/>
                  </w:tcBorders>
                  <w:vAlign w:val="center"/>
                </w:tcPr>
                <w:p w14:paraId="0C137B27">
                  <w:pPr>
                    <w:pStyle w:val="698"/>
                    <w:rPr>
                      <w:rFonts w:eastAsia="宋体"/>
                      <w:color w:val="auto"/>
                      <w:kern w:val="0"/>
                      <w:sz w:val="21"/>
                      <w:szCs w:val="21"/>
                    </w:rPr>
                  </w:pPr>
                  <w:r>
                    <w:rPr>
                      <w:rFonts w:hint="eastAsia" w:eastAsia="宋体"/>
                      <w:color w:val="auto"/>
                      <w:kern w:val="0"/>
                      <w:sz w:val="21"/>
                      <w:szCs w:val="21"/>
                    </w:rPr>
                    <w:t>DA001</w:t>
                  </w:r>
                </w:p>
              </w:tc>
              <w:tc>
                <w:tcPr>
                  <w:tcW w:w="779" w:type="pct"/>
                  <w:tcBorders>
                    <w:tl2br w:val="nil"/>
                    <w:tr2bl w:val="nil"/>
                  </w:tcBorders>
                  <w:vAlign w:val="center"/>
                </w:tcPr>
                <w:p w14:paraId="70382265">
                  <w:pPr>
                    <w:jc w:val="center"/>
                    <w:textAlignment w:val="bottom"/>
                    <w:rPr>
                      <w:rFonts w:hint="eastAsia" w:eastAsia="宋体"/>
                      <w:color w:val="auto"/>
                      <w:kern w:val="0"/>
                      <w:sz w:val="21"/>
                      <w:szCs w:val="21"/>
                      <w:lang w:eastAsia="zh-CN"/>
                    </w:rPr>
                  </w:pPr>
                  <w:r>
                    <w:rPr>
                      <w:rFonts w:hint="eastAsia"/>
                      <w:bCs/>
                      <w:color w:val="auto"/>
                      <w:kern w:val="0"/>
                      <w:sz w:val="21"/>
                      <w:szCs w:val="21"/>
                      <w:lang w:val="en-US" w:eastAsia="zh-CN"/>
                    </w:rPr>
                    <w:t>颗粒物</w:t>
                  </w:r>
                </w:p>
              </w:tc>
              <w:tc>
                <w:tcPr>
                  <w:tcW w:w="836" w:type="pct"/>
                  <w:tcBorders>
                    <w:tl2br w:val="nil"/>
                    <w:tr2bl w:val="nil"/>
                  </w:tcBorders>
                  <w:vAlign w:val="center"/>
                </w:tcPr>
                <w:p w14:paraId="78E7323B">
                  <w:pPr>
                    <w:pStyle w:val="656"/>
                    <w:snapToGrid w:val="0"/>
                    <w:rPr>
                      <w:rFonts w:hint="default" w:eastAsia="宋体"/>
                      <w:color w:val="auto"/>
                      <w:kern w:val="0"/>
                      <w:sz w:val="21"/>
                      <w:szCs w:val="21"/>
                      <w:lang w:val="en-US" w:eastAsia="zh-CN"/>
                    </w:rPr>
                  </w:pPr>
                  <w:r>
                    <w:rPr>
                      <w:rFonts w:hint="eastAsia" w:eastAsia="宋体"/>
                      <w:color w:val="auto"/>
                      <w:sz w:val="21"/>
                      <w:szCs w:val="21"/>
                      <w:lang w:val="en-US" w:eastAsia="zh-CN"/>
                    </w:rPr>
                    <w:t>1.55</w:t>
                  </w:r>
                </w:p>
              </w:tc>
              <w:tc>
                <w:tcPr>
                  <w:tcW w:w="831" w:type="pct"/>
                  <w:tcBorders>
                    <w:tl2br w:val="nil"/>
                    <w:tr2bl w:val="nil"/>
                  </w:tcBorders>
                  <w:vAlign w:val="center"/>
                </w:tcPr>
                <w:p w14:paraId="492AD81B">
                  <w:pPr>
                    <w:pStyle w:val="656"/>
                    <w:snapToGrid w:val="0"/>
                    <w:rPr>
                      <w:rFonts w:hint="default" w:eastAsia="宋体"/>
                      <w:color w:val="auto"/>
                      <w:kern w:val="0"/>
                      <w:sz w:val="21"/>
                      <w:szCs w:val="21"/>
                      <w:lang w:val="en-US" w:eastAsia="zh-CN"/>
                    </w:rPr>
                  </w:pPr>
                  <w:r>
                    <w:rPr>
                      <w:rFonts w:hint="eastAsia" w:eastAsia="宋体"/>
                      <w:color w:val="auto"/>
                      <w:sz w:val="21"/>
                      <w:szCs w:val="21"/>
                      <w:lang w:val="en-US" w:eastAsia="zh-CN"/>
                    </w:rPr>
                    <w:t>0.038</w:t>
                  </w:r>
                </w:p>
              </w:tc>
              <w:tc>
                <w:tcPr>
                  <w:tcW w:w="1232" w:type="pct"/>
                  <w:tcBorders>
                    <w:tl2br w:val="nil"/>
                    <w:tr2bl w:val="nil"/>
                  </w:tcBorders>
                  <w:vAlign w:val="center"/>
                </w:tcPr>
                <w:p w14:paraId="158F81B0">
                  <w:pPr>
                    <w:pStyle w:val="656"/>
                    <w:snapToGrid w:val="0"/>
                    <w:rPr>
                      <w:rFonts w:hint="default" w:eastAsia="宋体"/>
                      <w:color w:val="auto"/>
                      <w:kern w:val="0"/>
                      <w:sz w:val="21"/>
                      <w:szCs w:val="21"/>
                      <w:lang w:val="en-US" w:eastAsia="zh-CN"/>
                    </w:rPr>
                  </w:pPr>
                  <w:r>
                    <w:rPr>
                      <w:rFonts w:hint="eastAsia" w:eastAsia="宋体"/>
                      <w:color w:val="auto"/>
                      <w:sz w:val="21"/>
                      <w:szCs w:val="21"/>
                      <w:lang w:val="en-US" w:eastAsia="zh-CN"/>
                    </w:rPr>
                    <w:t>0.0232</w:t>
                  </w:r>
                </w:p>
              </w:tc>
            </w:tr>
            <w:tr w14:paraId="13B002C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453" w:type="pct"/>
                  <w:tcBorders>
                    <w:tl2br w:val="nil"/>
                    <w:tr2bl w:val="nil"/>
                  </w:tcBorders>
                  <w:vAlign w:val="center"/>
                </w:tcPr>
                <w:p w14:paraId="19659544">
                  <w:pPr>
                    <w:pStyle w:val="693"/>
                    <w:rPr>
                      <w:rFonts w:hint="eastAsia" w:eastAsia="宋体"/>
                      <w:b w:val="0"/>
                      <w:bCs/>
                      <w:color w:val="auto"/>
                      <w:kern w:val="0"/>
                      <w:sz w:val="21"/>
                      <w:szCs w:val="21"/>
                      <w:lang w:val="en-US" w:eastAsia="zh-CN"/>
                    </w:rPr>
                  </w:pPr>
                  <w:r>
                    <w:rPr>
                      <w:rFonts w:hint="eastAsia" w:eastAsia="宋体"/>
                      <w:b w:val="0"/>
                      <w:bCs/>
                      <w:color w:val="auto"/>
                      <w:kern w:val="0"/>
                      <w:sz w:val="21"/>
                      <w:szCs w:val="21"/>
                      <w:lang w:val="en-US" w:eastAsia="zh-CN"/>
                    </w:rPr>
                    <w:t>2</w:t>
                  </w:r>
                </w:p>
              </w:tc>
              <w:tc>
                <w:tcPr>
                  <w:tcW w:w="866" w:type="pct"/>
                  <w:vMerge w:val="restart"/>
                  <w:tcBorders>
                    <w:tl2br w:val="nil"/>
                    <w:tr2bl w:val="nil"/>
                  </w:tcBorders>
                  <w:vAlign w:val="center"/>
                </w:tcPr>
                <w:p w14:paraId="1FBEAAA4">
                  <w:pPr>
                    <w:pStyle w:val="698"/>
                    <w:rPr>
                      <w:rFonts w:hint="default" w:eastAsia="宋体"/>
                      <w:color w:val="auto"/>
                      <w:kern w:val="0"/>
                      <w:sz w:val="21"/>
                      <w:szCs w:val="21"/>
                      <w:lang w:val="en-US" w:eastAsia="zh-CN"/>
                    </w:rPr>
                  </w:pPr>
                  <w:r>
                    <w:rPr>
                      <w:rFonts w:hint="eastAsia" w:eastAsia="宋体"/>
                      <w:color w:val="auto"/>
                      <w:kern w:val="0"/>
                      <w:sz w:val="21"/>
                      <w:szCs w:val="21"/>
                      <w:lang w:val="en-US" w:eastAsia="zh-CN"/>
                    </w:rPr>
                    <w:t>DA002</w:t>
                  </w:r>
                </w:p>
              </w:tc>
              <w:tc>
                <w:tcPr>
                  <w:tcW w:w="779" w:type="pct"/>
                  <w:tcBorders>
                    <w:tl2br w:val="nil"/>
                    <w:tr2bl w:val="nil"/>
                  </w:tcBorders>
                  <w:vAlign w:val="center"/>
                </w:tcPr>
                <w:p w14:paraId="6B55CC47">
                  <w:pPr>
                    <w:jc w:val="center"/>
                    <w:textAlignment w:val="bottom"/>
                    <w:rPr>
                      <w:rFonts w:hint="eastAsia" w:eastAsia="宋体"/>
                      <w:bCs/>
                      <w:color w:val="auto"/>
                      <w:kern w:val="0"/>
                      <w:sz w:val="21"/>
                      <w:szCs w:val="21"/>
                      <w:lang w:val="en-US" w:eastAsia="zh-CN"/>
                    </w:rPr>
                  </w:pPr>
                  <w:r>
                    <w:rPr>
                      <w:rFonts w:hint="eastAsia"/>
                      <w:bCs/>
                      <w:color w:val="auto"/>
                      <w:kern w:val="0"/>
                      <w:sz w:val="21"/>
                      <w:szCs w:val="21"/>
                      <w:lang w:val="en-US" w:eastAsia="zh-CN"/>
                    </w:rPr>
                    <w:t>颗粒物</w:t>
                  </w:r>
                </w:p>
              </w:tc>
              <w:tc>
                <w:tcPr>
                  <w:tcW w:w="1482" w:type="dxa"/>
                  <w:tcBorders>
                    <w:tl2br w:val="nil"/>
                    <w:tr2bl w:val="nil"/>
                  </w:tcBorders>
                  <w:vAlign w:val="center"/>
                </w:tcPr>
                <w:p w14:paraId="69EA3F27">
                  <w:pPr>
                    <w:pStyle w:val="656"/>
                    <w:snapToGrid w:val="0"/>
                    <w:rPr>
                      <w:rFonts w:hint="eastAsia" w:eastAsia="宋体"/>
                      <w:color w:val="auto"/>
                      <w:sz w:val="21"/>
                      <w:szCs w:val="21"/>
                      <w:lang w:val="en-US" w:eastAsia="zh-CN"/>
                    </w:rPr>
                  </w:pPr>
                  <w:r>
                    <w:rPr>
                      <w:rFonts w:hint="eastAsia" w:eastAsia="宋体"/>
                      <w:color w:val="auto"/>
                      <w:sz w:val="21"/>
                      <w:szCs w:val="21"/>
                      <w:lang w:val="en-US" w:eastAsia="zh-CN"/>
                    </w:rPr>
                    <w:t>1.96</w:t>
                  </w:r>
                </w:p>
              </w:tc>
              <w:tc>
                <w:tcPr>
                  <w:tcW w:w="1474" w:type="dxa"/>
                  <w:tcBorders>
                    <w:tl2br w:val="nil"/>
                    <w:tr2bl w:val="nil"/>
                  </w:tcBorders>
                  <w:vAlign w:val="center"/>
                </w:tcPr>
                <w:p w14:paraId="0B7B110C">
                  <w:pPr>
                    <w:pStyle w:val="656"/>
                    <w:snapToGrid w:val="0"/>
                    <w:rPr>
                      <w:rFonts w:hint="eastAsia" w:eastAsia="宋体"/>
                      <w:color w:val="auto"/>
                      <w:sz w:val="21"/>
                      <w:szCs w:val="21"/>
                      <w:lang w:val="en-US" w:eastAsia="zh-CN"/>
                    </w:rPr>
                  </w:pPr>
                  <w:r>
                    <w:rPr>
                      <w:rFonts w:hint="eastAsia" w:eastAsia="宋体"/>
                      <w:color w:val="auto"/>
                      <w:sz w:val="21"/>
                      <w:szCs w:val="21"/>
                      <w:lang w:val="en-US" w:eastAsia="zh-CN"/>
                    </w:rPr>
                    <w:t>0.049</w:t>
                  </w:r>
                </w:p>
              </w:tc>
              <w:tc>
                <w:tcPr>
                  <w:tcW w:w="2185" w:type="dxa"/>
                  <w:tcBorders>
                    <w:tl2br w:val="nil"/>
                    <w:tr2bl w:val="nil"/>
                  </w:tcBorders>
                  <w:vAlign w:val="center"/>
                </w:tcPr>
                <w:p w14:paraId="5A51963D">
                  <w:pPr>
                    <w:pStyle w:val="656"/>
                    <w:snapToGrid w:val="0"/>
                    <w:rPr>
                      <w:rFonts w:hint="default" w:eastAsia="宋体"/>
                      <w:color w:val="auto"/>
                      <w:kern w:val="0"/>
                      <w:sz w:val="21"/>
                      <w:szCs w:val="21"/>
                      <w:lang w:val="en-US" w:eastAsia="zh-CN"/>
                    </w:rPr>
                  </w:pPr>
                  <w:r>
                    <w:rPr>
                      <w:rFonts w:hint="eastAsia" w:eastAsia="宋体"/>
                      <w:color w:val="auto"/>
                      <w:sz w:val="21"/>
                      <w:szCs w:val="21"/>
                      <w:lang w:val="en-US" w:eastAsia="zh-CN"/>
                    </w:rPr>
                    <w:t>0.14555</w:t>
                  </w:r>
                </w:p>
              </w:tc>
            </w:tr>
            <w:tr w14:paraId="257E55E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453" w:type="pct"/>
                  <w:tcBorders>
                    <w:tl2br w:val="nil"/>
                    <w:tr2bl w:val="nil"/>
                  </w:tcBorders>
                  <w:vAlign w:val="center"/>
                </w:tcPr>
                <w:p w14:paraId="775DD2BD">
                  <w:pPr>
                    <w:pStyle w:val="693"/>
                    <w:rPr>
                      <w:rFonts w:hint="eastAsia" w:eastAsia="宋体"/>
                      <w:b w:val="0"/>
                      <w:bCs/>
                      <w:color w:val="auto"/>
                      <w:kern w:val="0"/>
                      <w:sz w:val="21"/>
                      <w:szCs w:val="21"/>
                      <w:lang w:val="en-US" w:eastAsia="zh-CN"/>
                    </w:rPr>
                  </w:pPr>
                  <w:r>
                    <w:rPr>
                      <w:rFonts w:hint="eastAsia" w:eastAsia="宋体"/>
                      <w:b w:val="0"/>
                      <w:bCs/>
                      <w:color w:val="auto"/>
                      <w:kern w:val="0"/>
                      <w:sz w:val="21"/>
                      <w:szCs w:val="21"/>
                      <w:lang w:val="en-US" w:eastAsia="zh-CN"/>
                    </w:rPr>
                    <w:t>3</w:t>
                  </w:r>
                </w:p>
              </w:tc>
              <w:tc>
                <w:tcPr>
                  <w:tcW w:w="866" w:type="pct"/>
                  <w:vMerge w:val="continue"/>
                  <w:tcBorders>
                    <w:tl2br w:val="nil"/>
                    <w:tr2bl w:val="nil"/>
                  </w:tcBorders>
                  <w:vAlign w:val="center"/>
                </w:tcPr>
                <w:p w14:paraId="4F3D2506">
                  <w:pPr>
                    <w:pStyle w:val="698"/>
                    <w:rPr>
                      <w:rFonts w:hint="eastAsia" w:eastAsia="宋体"/>
                      <w:color w:val="auto"/>
                      <w:kern w:val="0"/>
                      <w:sz w:val="21"/>
                      <w:szCs w:val="21"/>
                    </w:rPr>
                  </w:pPr>
                </w:p>
              </w:tc>
              <w:tc>
                <w:tcPr>
                  <w:tcW w:w="779" w:type="pct"/>
                  <w:tcBorders>
                    <w:tl2br w:val="nil"/>
                    <w:tr2bl w:val="nil"/>
                  </w:tcBorders>
                  <w:vAlign w:val="center"/>
                </w:tcPr>
                <w:p w14:paraId="63E847E5">
                  <w:pPr>
                    <w:jc w:val="center"/>
                    <w:textAlignment w:val="bottom"/>
                    <w:rPr>
                      <w:rFonts w:hint="eastAsia" w:eastAsia="宋体"/>
                      <w:bCs/>
                      <w:color w:val="auto"/>
                      <w:kern w:val="0"/>
                      <w:sz w:val="21"/>
                      <w:szCs w:val="21"/>
                      <w:lang w:val="en-US" w:eastAsia="zh-CN"/>
                    </w:rPr>
                  </w:pPr>
                  <w:r>
                    <w:rPr>
                      <w:rFonts w:hint="eastAsia"/>
                      <w:bCs/>
                      <w:color w:val="auto"/>
                      <w:kern w:val="0"/>
                      <w:sz w:val="21"/>
                      <w:szCs w:val="21"/>
                      <w:lang w:val="en-US" w:eastAsia="zh-CN"/>
                    </w:rPr>
                    <w:t>非甲烷总烃</w:t>
                  </w:r>
                </w:p>
              </w:tc>
              <w:tc>
                <w:tcPr>
                  <w:tcW w:w="1482" w:type="dxa"/>
                  <w:tcBorders>
                    <w:tl2br w:val="nil"/>
                    <w:tr2bl w:val="nil"/>
                  </w:tcBorders>
                  <w:vAlign w:val="center"/>
                </w:tcPr>
                <w:p w14:paraId="05D397AC">
                  <w:pPr>
                    <w:pStyle w:val="656"/>
                    <w:snapToGrid w:val="0"/>
                    <w:rPr>
                      <w:rFonts w:hint="default" w:eastAsia="宋体"/>
                      <w:color w:val="auto"/>
                      <w:sz w:val="21"/>
                      <w:szCs w:val="21"/>
                      <w:lang w:val="en-US" w:eastAsia="zh-CN"/>
                    </w:rPr>
                  </w:pPr>
                  <w:r>
                    <w:rPr>
                      <w:rFonts w:hint="eastAsia" w:eastAsia="宋体"/>
                      <w:color w:val="auto"/>
                      <w:sz w:val="21"/>
                      <w:szCs w:val="21"/>
                      <w:lang w:val="en-US" w:eastAsia="zh-CN"/>
                    </w:rPr>
                    <w:t>1.51</w:t>
                  </w:r>
                </w:p>
              </w:tc>
              <w:tc>
                <w:tcPr>
                  <w:tcW w:w="1474" w:type="dxa"/>
                  <w:tcBorders>
                    <w:tl2br w:val="nil"/>
                    <w:tr2bl w:val="nil"/>
                  </w:tcBorders>
                  <w:vAlign w:val="center"/>
                </w:tcPr>
                <w:p w14:paraId="2BAE2F49">
                  <w:pPr>
                    <w:pStyle w:val="656"/>
                    <w:snapToGrid w:val="0"/>
                    <w:rPr>
                      <w:rFonts w:hint="default" w:eastAsia="宋体"/>
                      <w:color w:val="auto"/>
                      <w:sz w:val="21"/>
                      <w:szCs w:val="21"/>
                      <w:lang w:val="en-US" w:eastAsia="zh-CN"/>
                    </w:rPr>
                  </w:pPr>
                  <w:r>
                    <w:rPr>
                      <w:rFonts w:hint="eastAsia" w:eastAsia="宋体"/>
                      <w:color w:val="auto"/>
                      <w:sz w:val="21"/>
                      <w:szCs w:val="21"/>
                      <w:lang w:val="en-US" w:eastAsia="zh-CN"/>
                    </w:rPr>
                    <w:t>0.0378</w:t>
                  </w:r>
                </w:p>
              </w:tc>
              <w:tc>
                <w:tcPr>
                  <w:tcW w:w="2185" w:type="dxa"/>
                  <w:tcBorders>
                    <w:tl2br w:val="nil"/>
                    <w:tr2bl w:val="nil"/>
                  </w:tcBorders>
                  <w:vAlign w:val="center"/>
                </w:tcPr>
                <w:p w14:paraId="38B08E1F">
                  <w:pPr>
                    <w:pStyle w:val="656"/>
                    <w:snapToGrid w:val="0"/>
                    <w:rPr>
                      <w:rFonts w:hint="default" w:eastAsia="宋体"/>
                      <w:color w:val="auto"/>
                      <w:kern w:val="0"/>
                      <w:sz w:val="21"/>
                      <w:szCs w:val="21"/>
                      <w:lang w:val="en-US" w:eastAsia="zh-CN"/>
                    </w:rPr>
                  </w:pPr>
                  <w:r>
                    <w:rPr>
                      <w:rFonts w:hint="eastAsia" w:eastAsia="宋体"/>
                      <w:color w:val="auto"/>
                      <w:sz w:val="21"/>
                      <w:szCs w:val="21"/>
                      <w:lang w:val="en-US" w:eastAsia="zh-CN"/>
                    </w:rPr>
                    <w:t>0.11308</w:t>
                  </w:r>
                </w:p>
              </w:tc>
            </w:tr>
            <w:tr w14:paraId="32DDBE0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1319" w:type="pct"/>
                  <w:gridSpan w:val="2"/>
                  <w:vMerge w:val="restart"/>
                  <w:tcBorders>
                    <w:tl2br w:val="nil"/>
                    <w:tr2bl w:val="nil"/>
                  </w:tcBorders>
                  <w:vAlign w:val="center"/>
                </w:tcPr>
                <w:p w14:paraId="7B6B5509">
                  <w:pPr>
                    <w:pStyle w:val="698"/>
                    <w:rPr>
                      <w:rFonts w:eastAsia="宋体"/>
                      <w:color w:val="auto"/>
                      <w:kern w:val="0"/>
                      <w:sz w:val="21"/>
                      <w:szCs w:val="21"/>
                    </w:rPr>
                  </w:pPr>
                  <w:r>
                    <w:rPr>
                      <w:rFonts w:eastAsia="宋体"/>
                      <w:color w:val="auto"/>
                      <w:kern w:val="0"/>
                      <w:sz w:val="21"/>
                      <w:szCs w:val="21"/>
                    </w:rPr>
                    <w:t>一般排放口合计</w:t>
                  </w:r>
                </w:p>
              </w:tc>
              <w:tc>
                <w:tcPr>
                  <w:tcW w:w="2447" w:type="pct"/>
                  <w:gridSpan w:val="3"/>
                  <w:tcBorders>
                    <w:tl2br w:val="nil"/>
                    <w:tr2bl w:val="nil"/>
                  </w:tcBorders>
                  <w:vAlign w:val="center"/>
                </w:tcPr>
                <w:p w14:paraId="6F283D01">
                  <w:pPr>
                    <w:jc w:val="center"/>
                    <w:textAlignment w:val="bottom"/>
                    <w:rPr>
                      <w:rFonts w:hint="eastAsia" w:eastAsia="宋体"/>
                      <w:color w:val="auto"/>
                      <w:kern w:val="0"/>
                      <w:sz w:val="21"/>
                      <w:szCs w:val="21"/>
                      <w:lang w:eastAsia="zh-CN" w:bidi="ar"/>
                    </w:rPr>
                  </w:pPr>
                  <w:r>
                    <w:rPr>
                      <w:rFonts w:hint="eastAsia"/>
                      <w:bCs/>
                      <w:color w:val="auto"/>
                      <w:kern w:val="0"/>
                      <w:sz w:val="21"/>
                      <w:szCs w:val="21"/>
                      <w:lang w:val="en-US" w:eastAsia="zh-CN"/>
                    </w:rPr>
                    <w:t>颗粒物</w:t>
                  </w:r>
                </w:p>
              </w:tc>
              <w:tc>
                <w:tcPr>
                  <w:tcW w:w="2185" w:type="dxa"/>
                  <w:tcBorders>
                    <w:tl2br w:val="nil"/>
                    <w:tr2bl w:val="nil"/>
                  </w:tcBorders>
                  <w:vAlign w:val="center"/>
                </w:tcPr>
                <w:p w14:paraId="5EFB3D6E">
                  <w:pPr>
                    <w:pStyle w:val="656"/>
                    <w:snapToGrid w:val="0"/>
                    <w:rPr>
                      <w:rFonts w:hint="default" w:eastAsia="宋体"/>
                      <w:color w:val="auto"/>
                      <w:kern w:val="0"/>
                      <w:sz w:val="21"/>
                      <w:szCs w:val="21"/>
                      <w:lang w:val="en-US" w:eastAsia="zh-CN" w:bidi="ar"/>
                    </w:rPr>
                  </w:pPr>
                  <w:r>
                    <w:rPr>
                      <w:rFonts w:hint="eastAsia" w:eastAsia="宋体"/>
                      <w:color w:val="auto"/>
                      <w:kern w:val="0"/>
                      <w:sz w:val="21"/>
                      <w:szCs w:val="21"/>
                      <w:lang w:val="en-US" w:eastAsia="zh-CN" w:bidi="ar"/>
                    </w:rPr>
                    <w:t>0.16875</w:t>
                  </w:r>
                </w:p>
              </w:tc>
            </w:tr>
            <w:tr w14:paraId="4426455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1319" w:type="pct"/>
                  <w:gridSpan w:val="2"/>
                  <w:vMerge w:val="continue"/>
                  <w:tcBorders>
                    <w:tl2br w:val="nil"/>
                    <w:tr2bl w:val="nil"/>
                  </w:tcBorders>
                  <w:vAlign w:val="center"/>
                </w:tcPr>
                <w:p w14:paraId="0F572610">
                  <w:pPr>
                    <w:pStyle w:val="698"/>
                    <w:rPr>
                      <w:rFonts w:eastAsia="宋体"/>
                      <w:color w:val="auto"/>
                      <w:kern w:val="0"/>
                      <w:sz w:val="21"/>
                      <w:szCs w:val="21"/>
                    </w:rPr>
                  </w:pPr>
                </w:p>
              </w:tc>
              <w:tc>
                <w:tcPr>
                  <w:tcW w:w="2447" w:type="pct"/>
                  <w:gridSpan w:val="3"/>
                  <w:tcBorders>
                    <w:tl2br w:val="nil"/>
                    <w:tr2bl w:val="nil"/>
                  </w:tcBorders>
                  <w:vAlign w:val="center"/>
                </w:tcPr>
                <w:p w14:paraId="0E39F241">
                  <w:pPr>
                    <w:jc w:val="center"/>
                    <w:textAlignment w:val="bottom"/>
                    <w:rPr>
                      <w:rFonts w:hint="eastAsia" w:eastAsia="宋体"/>
                      <w:bCs/>
                      <w:color w:val="auto"/>
                      <w:kern w:val="0"/>
                      <w:sz w:val="21"/>
                      <w:szCs w:val="21"/>
                      <w:lang w:val="en-US" w:eastAsia="zh-CN"/>
                    </w:rPr>
                  </w:pPr>
                  <w:r>
                    <w:rPr>
                      <w:rFonts w:hint="eastAsia"/>
                      <w:bCs/>
                      <w:color w:val="auto"/>
                      <w:kern w:val="0"/>
                      <w:sz w:val="21"/>
                      <w:szCs w:val="21"/>
                      <w:lang w:val="en-US" w:eastAsia="zh-CN"/>
                    </w:rPr>
                    <w:t>非甲烷总烃</w:t>
                  </w:r>
                </w:p>
              </w:tc>
              <w:tc>
                <w:tcPr>
                  <w:tcW w:w="2185" w:type="dxa"/>
                  <w:tcBorders>
                    <w:tl2br w:val="nil"/>
                    <w:tr2bl w:val="nil"/>
                  </w:tcBorders>
                  <w:vAlign w:val="center"/>
                </w:tcPr>
                <w:p w14:paraId="6913A364">
                  <w:pPr>
                    <w:pStyle w:val="656"/>
                    <w:snapToGrid w:val="0"/>
                    <w:rPr>
                      <w:rFonts w:hint="default" w:eastAsia="宋体"/>
                      <w:color w:val="auto"/>
                      <w:kern w:val="0"/>
                      <w:sz w:val="21"/>
                      <w:szCs w:val="21"/>
                      <w:lang w:val="en-US" w:eastAsia="zh-CN"/>
                    </w:rPr>
                  </w:pPr>
                  <w:r>
                    <w:rPr>
                      <w:rFonts w:hint="eastAsia" w:eastAsia="宋体"/>
                      <w:color w:val="auto"/>
                      <w:kern w:val="0"/>
                      <w:sz w:val="21"/>
                      <w:szCs w:val="21"/>
                      <w:lang w:val="en-US" w:eastAsia="zh-CN"/>
                    </w:rPr>
                    <w:t>0.11308</w:t>
                  </w:r>
                </w:p>
              </w:tc>
            </w:tr>
            <w:tr w14:paraId="5EBA105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5000" w:type="pct"/>
                  <w:gridSpan w:val="6"/>
                  <w:tcBorders>
                    <w:tl2br w:val="nil"/>
                    <w:tr2bl w:val="nil"/>
                  </w:tcBorders>
                  <w:vAlign w:val="center"/>
                </w:tcPr>
                <w:p w14:paraId="449E7EBB">
                  <w:pPr>
                    <w:pStyle w:val="698"/>
                    <w:rPr>
                      <w:rFonts w:eastAsia="宋体"/>
                      <w:color w:val="auto"/>
                      <w:kern w:val="0"/>
                      <w:sz w:val="21"/>
                      <w:szCs w:val="21"/>
                    </w:rPr>
                  </w:pPr>
                  <w:r>
                    <w:rPr>
                      <w:rFonts w:eastAsia="宋体"/>
                      <w:color w:val="auto"/>
                      <w:kern w:val="0"/>
                      <w:sz w:val="21"/>
                      <w:szCs w:val="21"/>
                    </w:rPr>
                    <w:t>有组织排放</w:t>
                  </w:r>
                </w:p>
              </w:tc>
            </w:tr>
            <w:tr w14:paraId="6A9770D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1319" w:type="pct"/>
                  <w:gridSpan w:val="2"/>
                  <w:vMerge w:val="restart"/>
                  <w:tcBorders>
                    <w:tl2br w:val="nil"/>
                    <w:tr2bl w:val="nil"/>
                  </w:tcBorders>
                  <w:vAlign w:val="center"/>
                </w:tcPr>
                <w:p w14:paraId="7BCEA2BF">
                  <w:pPr>
                    <w:pStyle w:val="698"/>
                    <w:rPr>
                      <w:rFonts w:eastAsia="宋体"/>
                      <w:color w:val="auto"/>
                      <w:kern w:val="0"/>
                      <w:sz w:val="21"/>
                      <w:szCs w:val="21"/>
                    </w:rPr>
                  </w:pPr>
                  <w:r>
                    <w:rPr>
                      <w:rFonts w:eastAsia="宋体"/>
                      <w:color w:val="auto"/>
                      <w:kern w:val="0"/>
                      <w:sz w:val="21"/>
                      <w:szCs w:val="21"/>
                    </w:rPr>
                    <w:t>有组织排放总计</w:t>
                  </w:r>
                </w:p>
              </w:tc>
              <w:tc>
                <w:tcPr>
                  <w:tcW w:w="4337" w:type="dxa"/>
                  <w:gridSpan w:val="3"/>
                  <w:tcBorders>
                    <w:tl2br w:val="nil"/>
                    <w:tr2bl w:val="nil"/>
                  </w:tcBorders>
                  <w:vAlign w:val="center"/>
                </w:tcPr>
                <w:p w14:paraId="7E76B773">
                  <w:pPr>
                    <w:jc w:val="center"/>
                    <w:textAlignment w:val="bottom"/>
                    <w:rPr>
                      <w:color w:val="auto"/>
                      <w:kern w:val="0"/>
                      <w:sz w:val="21"/>
                      <w:szCs w:val="21"/>
                    </w:rPr>
                  </w:pPr>
                  <w:r>
                    <w:rPr>
                      <w:rFonts w:hint="eastAsia"/>
                      <w:bCs/>
                      <w:color w:val="auto"/>
                      <w:kern w:val="0"/>
                      <w:sz w:val="21"/>
                      <w:szCs w:val="21"/>
                      <w:lang w:val="en-US" w:eastAsia="zh-CN"/>
                    </w:rPr>
                    <w:t>颗粒物</w:t>
                  </w:r>
                </w:p>
              </w:tc>
              <w:tc>
                <w:tcPr>
                  <w:tcW w:w="2185" w:type="dxa"/>
                  <w:tcBorders>
                    <w:tl2br w:val="nil"/>
                    <w:tr2bl w:val="nil"/>
                  </w:tcBorders>
                  <w:vAlign w:val="center"/>
                </w:tcPr>
                <w:p w14:paraId="47226E80">
                  <w:pPr>
                    <w:pStyle w:val="656"/>
                    <w:snapToGrid w:val="0"/>
                    <w:rPr>
                      <w:rFonts w:hint="default" w:eastAsia="宋体"/>
                      <w:color w:val="auto"/>
                      <w:kern w:val="0"/>
                      <w:sz w:val="21"/>
                      <w:szCs w:val="21"/>
                      <w:lang w:val="en-US" w:bidi="ar"/>
                    </w:rPr>
                  </w:pPr>
                  <w:r>
                    <w:rPr>
                      <w:rFonts w:hint="eastAsia" w:eastAsia="宋体"/>
                      <w:color w:val="auto"/>
                      <w:kern w:val="0"/>
                      <w:sz w:val="21"/>
                      <w:szCs w:val="21"/>
                      <w:lang w:val="en-US" w:eastAsia="zh-CN" w:bidi="ar"/>
                    </w:rPr>
                    <w:t>0.16875</w:t>
                  </w:r>
                </w:p>
              </w:tc>
            </w:tr>
            <w:tr w14:paraId="0A28D29F">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1319" w:type="pct"/>
                  <w:gridSpan w:val="2"/>
                  <w:vMerge w:val="continue"/>
                  <w:tcBorders>
                    <w:tl2br w:val="nil"/>
                    <w:tr2bl w:val="nil"/>
                  </w:tcBorders>
                  <w:vAlign w:val="center"/>
                </w:tcPr>
                <w:p w14:paraId="4C1CAF0B">
                  <w:pPr>
                    <w:pStyle w:val="698"/>
                    <w:rPr>
                      <w:rFonts w:eastAsia="宋体"/>
                      <w:color w:val="auto"/>
                      <w:kern w:val="0"/>
                      <w:sz w:val="21"/>
                      <w:szCs w:val="21"/>
                    </w:rPr>
                  </w:pPr>
                </w:p>
              </w:tc>
              <w:tc>
                <w:tcPr>
                  <w:tcW w:w="4337" w:type="dxa"/>
                  <w:gridSpan w:val="3"/>
                  <w:tcBorders>
                    <w:tl2br w:val="nil"/>
                    <w:tr2bl w:val="nil"/>
                  </w:tcBorders>
                  <w:vAlign w:val="center"/>
                </w:tcPr>
                <w:p w14:paraId="0E4043F4">
                  <w:pPr>
                    <w:jc w:val="center"/>
                    <w:textAlignment w:val="bottom"/>
                    <w:rPr>
                      <w:rFonts w:hint="eastAsia" w:eastAsia="宋体"/>
                      <w:bCs/>
                      <w:color w:val="auto"/>
                      <w:kern w:val="0"/>
                      <w:sz w:val="21"/>
                      <w:szCs w:val="21"/>
                      <w:lang w:val="en-US" w:eastAsia="zh-CN"/>
                    </w:rPr>
                  </w:pPr>
                  <w:r>
                    <w:rPr>
                      <w:rFonts w:hint="eastAsia"/>
                      <w:bCs/>
                      <w:color w:val="auto"/>
                      <w:kern w:val="0"/>
                      <w:sz w:val="21"/>
                      <w:szCs w:val="21"/>
                      <w:lang w:val="en-US" w:eastAsia="zh-CN"/>
                    </w:rPr>
                    <w:t>非甲烷总烃</w:t>
                  </w:r>
                </w:p>
              </w:tc>
              <w:tc>
                <w:tcPr>
                  <w:tcW w:w="2185" w:type="dxa"/>
                  <w:tcBorders>
                    <w:tl2br w:val="nil"/>
                    <w:tr2bl w:val="nil"/>
                  </w:tcBorders>
                  <w:vAlign w:val="center"/>
                </w:tcPr>
                <w:p w14:paraId="0BF5E650">
                  <w:pPr>
                    <w:pStyle w:val="656"/>
                    <w:snapToGrid w:val="0"/>
                    <w:rPr>
                      <w:rFonts w:hint="default" w:eastAsia="宋体"/>
                      <w:color w:val="auto"/>
                      <w:kern w:val="0"/>
                      <w:sz w:val="21"/>
                      <w:szCs w:val="21"/>
                      <w:lang w:val="en-US" w:eastAsia="zh-CN"/>
                    </w:rPr>
                  </w:pPr>
                  <w:r>
                    <w:rPr>
                      <w:rFonts w:hint="eastAsia" w:eastAsia="宋体"/>
                      <w:color w:val="auto"/>
                      <w:kern w:val="0"/>
                      <w:sz w:val="21"/>
                      <w:szCs w:val="21"/>
                      <w:lang w:val="en-US" w:eastAsia="zh-CN"/>
                    </w:rPr>
                    <w:t>0.11308</w:t>
                  </w:r>
                </w:p>
              </w:tc>
            </w:tr>
          </w:tbl>
          <w:p w14:paraId="713D44D3">
            <w:pPr>
              <w:pStyle w:val="699"/>
              <w:adjustRightInd w:val="0"/>
              <w:snapToGrid w:val="0"/>
              <w:spacing w:beforeLines="0" w:afterLines="0"/>
              <w:rPr>
                <w:rFonts w:eastAsia="宋体"/>
                <w:color w:val="auto"/>
                <w:kern w:val="0"/>
                <w:sz w:val="21"/>
                <w:szCs w:val="21"/>
              </w:rPr>
            </w:pPr>
            <w:r>
              <w:rPr>
                <w:rFonts w:eastAsia="宋体"/>
                <w:color w:val="auto"/>
                <w:kern w:val="0"/>
                <w:sz w:val="21"/>
                <w:szCs w:val="21"/>
              </w:rPr>
              <w:t>表4</w:t>
            </w:r>
            <w:r>
              <w:rPr>
                <w:rFonts w:hint="eastAsia" w:eastAsia="宋体"/>
                <w:color w:val="auto"/>
                <w:kern w:val="0"/>
                <w:sz w:val="21"/>
                <w:szCs w:val="21"/>
                <w:lang w:val="en-US" w:eastAsia="zh-CN"/>
              </w:rPr>
              <w:t>-9</w:t>
            </w:r>
            <w:r>
              <w:rPr>
                <w:rFonts w:hint="eastAsia" w:eastAsia="宋体"/>
                <w:color w:val="auto"/>
                <w:kern w:val="0"/>
                <w:sz w:val="21"/>
                <w:szCs w:val="21"/>
              </w:rPr>
              <w:t xml:space="preserve">   </w:t>
            </w:r>
            <w:r>
              <w:rPr>
                <w:rFonts w:eastAsia="宋体"/>
                <w:color w:val="auto"/>
                <w:kern w:val="0"/>
                <w:sz w:val="21"/>
                <w:szCs w:val="21"/>
              </w:rPr>
              <w:t>项目大气污染物无组织排放核算表</w:t>
            </w:r>
          </w:p>
          <w:tbl>
            <w:tblPr>
              <w:tblStyle w:val="59"/>
              <w:tblpPr w:leftFromText="180" w:rightFromText="180" w:vertAnchor="text" w:tblpXSpec="center" w:tblpY="1"/>
              <w:tblOverlap w:val="never"/>
              <w:tblW w:w="4997"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0" w:type="dxa"/>
                <w:bottom w:w="0" w:type="dxa"/>
                <w:right w:w="0" w:type="dxa"/>
              </w:tblCellMar>
            </w:tblPr>
            <w:tblGrid>
              <w:gridCol w:w="1195"/>
              <w:gridCol w:w="1290"/>
              <w:gridCol w:w="1146"/>
              <w:gridCol w:w="2796"/>
              <w:gridCol w:w="1417"/>
              <w:gridCol w:w="1012"/>
            </w:tblGrid>
            <w:tr w14:paraId="2B36B4B7">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674" w:type="pct"/>
                  <w:vMerge w:val="restart"/>
                  <w:tcBorders>
                    <w:tl2br w:val="nil"/>
                    <w:tr2bl w:val="nil"/>
                  </w:tcBorders>
                  <w:vAlign w:val="center"/>
                </w:tcPr>
                <w:p w14:paraId="630EBE0F">
                  <w:pPr>
                    <w:pStyle w:val="693"/>
                    <w:rPr>
                      <w:rFonts w:eastAsia="宋体"/>
                      <w:color w:val="auto"/>
                      <w:kern w:val="0"/>
                    </w:rPr>
                  </w:pPr>
                  <w:r>
                    <w:rPr>
                      <w:rFonts w:eastAsia="宋体"/>
                      <w:color w:val="auto"/>
                      <w:kern w:val="0"/>
                    </w:rPr>
                    <w:t>产污环节</w:t>
                  </w:r>
                </w:p>
              </w:tc>
              <w:tc>
                <w:tcPr>
                  <w:tcW w:w="728" w:type="pct"/>
                  <w:vMerge w:val="restart"/>
                  <w:tcBorders>
                    <w:tl2br w:val="nil"/>
                    <w:tr2bl w:val="nil"/>
                  </w:tcBorders>
                  <w:vAlign w:val="center"/>
                </w:tcPr>
                <w:p w14:paraId="24C2F888">
                  <w:pPr>
                    <w:pStyle w:val="698"/>
                    <w:rPr>
                      <w:rFonts w:eastAsia="宋体"/>
                      <w:b/>
                      <w:bCs/>
                      <w:color w:val="auto"/>
                      <w:kern w:val="0"/>
                    </w:rPr>
                  </w:pPr>
                  <w:r>
                    <w:rPr>
                      <w:rFonts w:eastAsia="宋体"/>
                      <w:b/>
                      <w:bCs/>
                      <w:color w:val="auto"/>
                      <w:kern w:val="0"/>
                    </w:rPr>
                    <w:t>污染物</w:t>
                  </w:r>
                </w:p>
              </w:tc>
              <w:tc>
                <w:tcPr>
                  <w:tcW w:w="647" w:type="pct"/>
                  <w:vMerge w:val="restart"/>
                  <w:tcBorders>
                    <w:tl2br w:val="nil"/>
                    <w:tr2bl w:val="nil"/>
                  </w:tcBorders>
                  <w:vAlign w:val="center"/>
                </w:tcPr>
                <w:p w14:paraId="67718C7C">
                  <w:pPr>
                    <w:pStyle w:val="698"/>
                    <w:rPr>
                      <w:rFonts w:eastAsia="宋体"/>
                      <w:b/>
                      <w:bCs/>
                      <w:color w:val="auto"/>
                      <w:kern w:val="0"/>
                    </w:rPr>
                  </w:pPr>
                  <w:r>
                    <w:rPr>
                      <w:rFonts w:eastAsia="宋体"/>
                      <w:b/>
                      <w:bCs/>
                      <w:color w:val="auto"/>
                      <w:kern w:val="0"/>
                    </w:rPr>
                    <w:t>主要污染防治措施</w:t>
                  </w:r>
                </w:p>
              </w:tc>
              <w:tc>
                <w:tcPr>
                  <w:tcW w:w="2378" w:type="pct"/>
                  <w:gridSpan w:val="2"/>
                  <w:tcBorders>
                    <w:tl2br w:val="nil"/>
                    <w:tr2bl w:val="nil"/>
                  </w:tcBorders>
                  <w:vAlign w:val="center"/>
                </w:tcPr>
                <w:p w14:paraId="1D4F17CC">
                  <w:pPr>
                    <w:pStyle w:val="698"/>
                    <w:rPr>
                      <w:rFonts w:eastAsia="宋体"/>
                      <w:b/>
                      <w:bCs/>
                      <w:color w:val="auto"/>
                      <w:kern w:val="0"/>
                    </w:rPr>
                  </w:pPr>
                  <w:r>
                    <w:rPr>
                      <w:rFonts w:eastAsia="宋体"/>
                      <w:b/>
                      <w:bCs/>
                      <w:color w:val="auto"/>
                      <w:kern w:val="0"/>
                    </w:rPr>
                    <w:t>国家或地方污染物排放标准</w:t>
                  </w:r>
                </w:p>
              </w:tc>
              <w:tc>
                <w:tcPr>
                  <w:tcW w:w="571" w:type="pct"/>
                  <w:vMerge w:val="restart"/>
                  <w:tcBorders>
                    <w:tl2br w:val="nil"/>
                    <w:tr2bl w:val="nil"/>
                  </w:tcBorders>
                  <w:vAlign w:val="center"/>
                </w:tcPr>
                <w:p w14:paraId="16F5EE91">
                  <w:pPr>
                    <w:pStyle w:val="693"/>
                    <w:rPr>
                      <w:rFonts w:eastAsia="宋体"/>
                      <w:color w:val="auto"/>
                      <w:kern w:val="0"/>
                    </w:rPr>
                  </w:pPr>
                  <w:r>
                    <w:rPr>
                      <w:rFonts w:eastAsia="宋体"/>
                      <w:color w:val="auto"/>
                      <w:kern w:val="0"/>
                    </w:rPr>
                    <w:t>年排放量t/a</w:t>
                  </w:r>
                </w:p>
              </w:tc>
            </w:tr>
            <w:tr w14:paraId="6E06766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674" w:type="pct"/>
                  <w:vMerge w:val="continue"/>
                  <w:tcBorders>
                    <w:tl2br w:val="nil"/>
                    <w:tr2bl w:val="nil"/>
                  </w:tcBorders>
                  <w:vAlign w:val="center"/>
                </w:tcPr>
                <w:p w14:paraId="3EEA705B">
                  <w:pPr>
                    <w:pStyle w:val="698"/>
                    <w:rPr>
                      <w:rFonts w:eastAsia="宋体"/>
                      <w:color w:val="auto"/>
                      <w:kern w:val="0"/>
                    </w:rPr>
                  </w:pPr>
                </w:p>
              </w:tc>
              <w:tc>
                <w:tcPr>
                  <w:tcW w:w="728" w:type="pct"/>
                  <w:vMerge w:val="continue"/>
                  <w:tcBorders>
                    <w:tl2br w:val="nil"/>
                    <w:tr2bl w:val="nil"/>
                  </w:tcBorders>
                  <w:vAlign w:val="center"/>
                </w:tcPr>
                <w:p w14:paraId="2C641804">
                  <w:pPr>
                    <w:pStyle w:val="698"/>
                    <w:rPr>
                      <w:rFonts w:eastAsia="宋体"/>
                      <w:b/>
                      <w:bCs/>
                      <w:color w:val="auto"/>
                      <w:kern w:val="0"/>
                    </w:rPr>
                  </w:pPr>
                </w:p>
              </w:tc>
              <w:tc>
                <w:tcPr>
                  <w:tcW w:w="647" w:type="pct"/>
                  <w:vMerge w:val="continue"/>
                  <w:tcBorders>
                    <w:tl2br w:val="nil"/>
                    <w:tr2bl w:val="nil"/>
                  </w:tcBorders>
                  <w:vAlign w:val="center"/>
                </w:tcPr>
                <w:p w14:paraId="51B802BE">
                  <w:pPr>
                    <w:pStyle w:val="698"/>
                    <w:rPr>
                      <w:rFonts w:eastAsia="宋体"/>
                      <w:b/>
                      <w:bCs/>
                      <w:color w:val="auto"/>
                      <w:kern w:val="0"/>
                    </w:rPr>
                  </w:pPr>
                </w:p>
              </w:tc>
              <w:tc>
                <w:tcPr>
                  <w:tcW w:w="1578" w:type="pct"/>
                  <w:tcBorders>
                    <w:tl2br w:val="nil"/>
                    <w:tr2bl w:val="nil"/>
                  </w:tcBorders>
                  <w:vAlign w:val="center"/>
                </w:tcPr>
                <w:p w14:paraId="7FFF4D2B">
                  <w:pPr>
                    <w:pStyle w:val="698"/>
                    <w:rPr>
                      <w:rFonts w:eastAsia="宋体"/>
                      <w:b/>
                      <w:bCs/>
                      <w:color w:val="auto"/>
                      <w:kern w:val="0"/>
                    </w:rPr>
                  </w:pPr>
                  <w:r>
                    <w:rPr>
                      <w:rFonts w:eastAsia="宋体"/>
                      <w:b/>
                      <w:bCs/>
                      <w:color w:val="auto"/>
                      <w:kern w:val="0"/>
                    </w:rPr>
                    <w:t>标准名称</w:t>
                  </w:r>
                </w:p>
              </w:tc>
              <w:tc>
                <w:tcPr>
                  <w:tcW w:w="800" w:type="pct"/>
                  <w:tcBorders>
                    <w:tl2br w:val="nil"/>
                    <w:tr2bl w:val="nil"/>
                  </w:tcBorders>
                  <w:vAlign w:val="center"/>
                </w:tcPr>
                <w:p w14:paraId="00829CDB">
                  <w:pPr>
                    <w:pStyle w:val="693"/>
                    <w:rPr>
                      <w:rFonts w:eastAsia="宋体"/>
                      <w:color w:val="auto"/>
                      <w:kern w:val="0"/>
                    </w:rPr>
                  </w:pPr>
                  <w:r>
                    <w:rPr>
                      <w:rFonts w:eastAsia="宋体"/>
                      <w:color w:val="auto"/>
                      <w:kern w:val="0"/>
                    </w:rPr>
                    <w:t>浓度限值mg/m</w:t>
                  </w:r>
                  <w:r>
                    <w:rPr>
                      <w:rFonts w:eastAsia="宋体"/>
                      <w:color w:val="auto"/>
                      <w:kern w:val="0"/>
                      <w:vertAlign w:val="superscript"/>
                    </w:rPr>
                    <w:t>3</w:t>
                  </w:r>
                </w:p>
              </w:tc>
              <w:tc>
                <w:tcPr>
                  <w:tcW w:w="571" w:type="pct"/>
                  <w:vMerge w:val="continue"/>
                  <w:tcBorders>
                    <w:tl2br w:val="nil"/>
                    <w:tr2bl w:val="nil"/>
                  </w:tcBorders>
                  <w:vAlign w:val="center"/>
                </w:tcPr>
                <w:p w14:paraId="512160CF">
                  <w:pPr>
                    <w:pStyle w:val="698"/>
                    <w:rPr>
                      <w:rFonts w:eastAsia="宋体"/>
                      <w:color w:val="auto"/>
                      <w:kern w:val="0"/>
                    </w:rPr>
                  </w:pPr>
                </w:p>
              </w:tc>
            </w:tr>
            <w:tr w14:paraId="28B8B08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674" w:type="pct"/>
                  <w:vMerge w:val="restart"/>
                  <w:tcBorders>
                    <w:tl2br w:val="nil"/>
                    <w:tr2bl w:val="nil"/>
                  </w:tcBorders>
                  <w:vAlign w:val="center"/>
                </w:tcPr>
                <w:p w14:paraId="457C1399">
                  <w:pPr>
                    <w:pStyle w:val="698"/>
                    <w:rPr>
                      <w:rFonts w:hint="eastAsia" w:eastAsia="宋体"/>
                      <w:color w:val="auto"/>
                      <w:kern w:val="0"/>
                    </w:rPr>
                  </w:pPr>
                  <w:r>
                    <w:rPr>
                      <w:rFonts w:hint="eastAsia" w:eastAsia="宋体"/>
                      <w:color w:val="auto"/>
                      <w:kern w:val="0"/>
                    </w:rPr>
                    <w:t>生产车间</w:t>
                  </w:r>
                </w:p>
              </w:tc>
              <w:tc>
                <w:tcPr>
                  <w:tcW w:w="1290" w:type="dxa"/>
                  <w:tcBorders>
                    <w:tl2br w:val="nil"/>
                    <w:tr2bl w:val="nil"/>
                  </w:tcBorders>
                  <w:shd w:val="clear" w:color="auto" w:fill="auto"/>
                  <w:vAlign w:val="center"/>
                </w:tcPr>
                <w:p w14:paraId="53365DB2">
                  <w:pPr>
                    <w:jc w:val="center"/>
                    <w:textAlignment w:val="bottom"/>
                    <w:rPr>
                      <w:rFonts w:hint="eastAsia" w:ascii="Times New Roman" w:hAnsi="Times New Roman" w:eastAsia="宋体" w:cs="Times New Roman"/>
                      <w:snapToGrid w:val="0"/>
                      <w:color w:val="auto"/>
                      <w:kern w:val="0"/>
                      <w:sz w:val="21"/>
                      <w:szCs w:val="21"/>
                      <w:lang w:val="en-US" w:eastAsia="zh-CN" w:bidi="ar-SA"/>
                    </w:rPr>
                  </w:pPr>
                  <w:r>
                    <w:rPr>
                      <w:rFonts w:hint="eastAsia"/>
                      <w:bCs/>
                      <w:color w:val="auto"/>
                      <w:kern w:val="0"/>
                      <w:sz w:val="21"/>
                      <w:szCs w:val="21"/>
                      <w:lang w:val="en-US" w:eastAsia="zh-CN"/>
                    </w:rPr>
                    <w:t>颗粒物</w:t>
                  </w:r>
                </w:p>
              </w:tc>
              <w:tc>
                <w:tcPr>
                  <w:tcW w:w="647" w:type="pct"/>
                  <w:tcBorders>
                    <w:tl2br w:val="nil"/>
                    <w:tr2bl w:val="nil"/>
                  </w:tcBorders>
                  <w:shd w:val="clear" w:color="auto" w:fill="auto"/>
                  <w:vAlign w:val="center"/>
                </w:tcPr>
                <w:p w14:paraId="2E7205B2">
                  <w:pPr>
                    <w:pStyle w:val="698"/>
                    <w:rPr>
                      <w:rFonts w:ascii="Times New Roman" w:hAnsi="Times New Roman" w:eastAsia="宋体" w:cs="Times New Roman"/>
                      <w:snapToGrid w:val="0"/>
                      <w:color w:val="auto"/>
                      <w:kern w:val="0"/>
                      <w:sz w:val="21"/>
                      <w:szCs w:val="21"/>
                      <w:lang w:val="en-US" w:eastAsia="zh-CN" w:bidi="ar-SA"/>
                    </w:rPr>
                  </w:pPr>
                  <w:r>
                    <w:rPr>
                      <w:rFonts w:eastAsia="宋体"/>
                      <w:color w:val="auto"/>
                      <w:kern w:val="0"/>
                    </w:rPr>
                    <w:t>/</w:t>
                  </w:r>
                </w:p>
              </w:tc>
              <w:tc>
                <w:tcPr>
                  <w:tcW w:w="1578" w:type="pct"/>
                  <w:vMerge w:val="restart"/>
                  <w:tcBorders>
                    <w:tl2br w:val="nil"/>
                    <w:tr2bl w:val="nil"/>
                  </w:tcBorders>
                  <w:vAlign w:val="center"/>
                </w:tcPr>
                <w:p w14:paraId="531059DA">
                  <w:pPr>
                    <w:adjustRightInd w:val="0"/>
                    <w:snapToGrid w:val="0"/>
                    <w:jc w:val="center"/>
                    <w:rPr>
                      <w:color w:val="auto"/>
                      <w:kern w:val="0"/>
                    </w:rPr>
                  </w:pPr>
                  <w:r>
                    <w:rPr>
                      <w:rFonts w:hint="eastAsia"/>
                      <w:color w:val="auto"/>
                      <w:kern w:val="0"/>
                      <w:sz w:val="21"/>
                      <w:szCs w:val="21"/>
                      <w:lang w:eastAsia="zh-CN"/>
                    </w:rPr>
                    <w:t>《</w:t>
                  </w:r>
                  <w:r>
                    <w:rPr>
                      <w:rFonts w:hint="eastAsia"/>
                      <w:color w:val="auto"/>
                      <w:kern w:val="0"/>
                      <w:sz w:val="21"/>
                      <w:szCs w:val="21"/>
                      <w:lang w:val="en-US" w:eastAsia="zh-CN"/>
                    </w:rPr>
                    <w:t>大气污染物综合排放标准</w:t>
                  </w:r>
                  <w:r>
                    <w:rPr>
                      <w:rFonts w:hint="eastAsia"/>
                      <w:color w:val="auto"/>
                      <w:kern w:val="0"/>
                      <w:sz w:val="21"/>
                      <w:szCs w:val="21"/>
                      <w:lang w:eastAsia="zh-CN"/>
                    </w:rPr>
                    <w:t>》（</w:t>
                  </w:r>
                  <w:r>
                    <w:rPr>
                      <w:rFonts w:hint="eastAsia"/>
                      <w:color w:val="auto"/>
                      <w:kern w:val="0"/>
                      <w:sz w:val="21"/>
                      <w:szCs w:val="21"/>
                      <w:lang w:val="en-US" w:eastAsia="zh-CN"/>
                    </w:rPr>
                    <w:t>DB32 4041-2021</w:t>
                  </w:r>
                  <w:r>
                    <w:rPr>
                      <w:rFonts w:hint="eastAsia"/>
                      <w:color w:val="auto"/>
                      <w:kern w:val="0"/>
                      <w:sz w:val="21"/>
                      <w:szCs w:val="21"/>
                      <w:lang w:eastAsia="zh-CN"/>
                    </w:rPr>
                    <w:t>）</w:t>
                  </w:r>
                  <w:r>
                    <w:rPr>
                      <w:rFonts w:hint="eastAsia"/>
                      <w:color w:val="auto"/>
                      <w:kern w:val="0"/>
                      <w:sz w:val="21"/>
                      <w:szCs w:val="21"/>
                      <w:lang w:val="en-US" w:eastAsia="zh-CN"/>
                    </w:rPr>
                    <w:t>表3</w:t>
                  </w:r>
                </w:p>
              </w:tc>
              <w:tc>
                <w:tcPr>
                  <w:tcW w:w="800" w:type="pct"/>
                  <w:tcBorders>
                    <w:tl2br w:val="nil"/>
                    <w:tr2bl w:val="nil"/>
                  </w:tcBorders>
                  <w:vAlign w:val="center"/>
                </w:tcPr>
                <w:p w14:paraId="14D50B36">
                  <w:pPr>
                    <w:pStyle w:val="698"/>
                    <w:rPr>
                      <w:rFonts w:hint="eastAsia" w:eastAsia="宋体"/>
                      <w:color w:val="auto"/>
                      <w:kern w:val="0"/>
                      <w:lang w:val="en-US" w:eastAsia="zh-CN"/>
                    </w:rPr>
                  </w:pPr>
                  <w:r>
                    <w:rPr>
                      <w:rFonts w:eastAsia="宋体"/>
                      <w:color w:val="auto"/>
                      <w:kern w:val="0"/>
                    </w:rPr>
                    <w:t>4.0</w:t>
                  </w:r>
                </w:p>
              </w:tc>
              <w:tc>
                <w:tcPr>
                  <w:tcW w:w="571" w:type="pct"/>
                  <w:tcBorders>
                    <w:tl2br w:val="nil"/>
                    <w:tr2bl w:val="nil"/>
                  </w:tcBorders>
                  <w:vAlign w:val="center"/>
                </w:tcPr>
                <w:p w14:paraId="50FE0B54">
                  <w:pPr>
                    <w:pStyle w:val="698"/>
                    <w:rPr>
                      <w:rFonts w:hint="default" w:eastAsia="宋体"/>
                      <w:color w:val="auto"/>
                      <w:kern w:val="0"/>
                      <w:lang w:val="en-US" w:eastAsia="zh-CN"/>
                    </w:rPr>
                  </w:pPr>
                  <w:r>
                    <w:rPr>
                      <w:rFonts w:hint="eastAsia" w:eastAsia="宋体"/>
                      <w:color w:val="auto"/>
                      <w:kern w:val="0"/>
                      <w:lang w:val="en-US" w:eastAsia="zh-CN"/>
                    </w:rPr>
                    <w:t>0.039138</w:t>
                  </w:r>
                </w:p>
              </w:tc>
            </w:tr>
            <w:tr w14:paraId="20216EB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674" w:type="pct"/>
                  <w:vMerge w:val="continue"/>
                  <w:tcBorders>
                    <w:tl2br w:val="nil"/>
                    <w:tr2bl w:val="nil"/>
                  </w:tcBorders>
                  <w:vAlign w:val="center"/>
                </w:tcPr>
                <w:p w14:paraId="5FB97142">
                  <w:pPr>
                    <w:pStyle w:val="698"/>
                    <w:rPr>
                      <w:rFonts w:eastAsia="宋体"/>
                      <w:color w:val="auto"/>
                      <w:kern w:val="0"/>
                    </w:rPr>
                  </w:pPr>
                </w:p>
              </w:tc>
              <w:tc>
                <w:tcPr>
                  <w:tcW w:w="1290" w:type="dxa"/>
                  <w:tcBorders>
                    <w:tl2br w:val="nil"/>
                    <w:tr2bl w:val="nil"/>
                  </w:tcBorders>
                  <w:vAlign w:val="center"/>
                </w:tcPr>
                <w:p w14:paraId="6591982B">
                  <w:pPr>
                    <w:jc w:val="center"/>
                    <w:textAlignment w:val="bottom"/>
                    <w:rPr>
                      <w:rFonts w:eastAsia="宋体"/>
                      <w:bCs/>
                      <w:color w:val="auto"/>
                      <w:kern w:val="0"/>
                    </w:rPr>
                  </w:pPr>
                  <w:r>
                    <w:rPr>
                      <w:rFonts w:hint="eastAsia"/>
                      <w:bCs/>
                      <w:color w:val="auto"/>
                      <w:kern w:val="0"/>
                      <w:sz w:val="21"/>
                      <w:szCs w:val="21"/>
                      <w:lang w:val="en-US" w:eastAsia="zh-CN"/>
                    </w:rPr>
                    <w:t>非甲烷总烃</w:t>
                  </w:r>
                </w:p>
              </w:tc>
              <w:tc>
                <w:tcPr>
                  <w:tcW w:w="647" w:type="pct"/>
                  <w:tcBorders>
                    <w:tl2br w:val="nil"/>
                    <w:tr2bl w:val="nil"/>
                  </w:tcBorders>
                  <w:vAlign w:val="center"/>
                </w:tcPr>
                <w:p w14:paraId="0C641871">
                  <w:pPr>
                    <w:pStyle w:val="698"/>
                    <w:rPr>
                      <w:rFonts w:eastAsia="宋体"/>
                      <w:color w:val="auto"/>
                      <w:kern w:val="0"/>
                    </w:rPr>
                  </w:pPr>
                  <w:r>
                    <w:rPr>
                      <w:rFonts w:eastAsia="宋体"/>
                      <w:color w:val="auto"/>
                      <w:kern w:val="0"/>
                    </w:rPr>
                    <w:t>/</w:t>
                  </w:r>
                </w:p>
              </w:tc>
              <w:tc>
                <w:tcPr>
                  <w:tcW w:w="1578" w:type="pct"/>
                  <w:vMerge w:val="continue"/>
                  <w:tcBorders>
                    <w:tl2br w:val="nil"/>
                    <w:tr2bl w:val="nil"/>
                  </w:tcBorders>
                  <w:vAlign w:val="center"/>
                </w:tcPr>
                <w:p w14:paraId="44EB362F">
                  <w:pPr>
                    <w:adjustRightInd w:val="0"/>
                    <w:snapToGrid w:val="0"/>
                    <w:jc w:val="center"/>
                    <w:rPr>
                      <w:color w:val="auto"/>
                      <w:kern w:val="0"/>
                    </w:rPr>
                  </w:pPr>
                </w:p>
              </w:tc>
              <w:tc>
                <w:tcPr>
                  <w:tcW w:w="800" w:type="pct"/>
                  <w:tcBorders>
                    <w:tl2br w:val="nil"/>
                    <w:tr2bl w:val="nil"/>
                  </w:tcBorders>
                  <w:vAlign w:val="center"/>
                </w:tcPr>
                <w:p w14:paraId="2CBFC0E4">
                  <w:pPr>
                    <w:pStyle w:val="698"/>
                    <w:rPr>
                      <w:rFonts w:eastAsia="宋体"/>
                      <w:color w:val="auto"/>
                      <w:kern w:val="0"/>
                    </w:rPr>
                  </w:pPr>
                  <w:r>
                    <w:rPr>
                      <w:rFonts w:hint="eastAsia" w:eastAsia="宋体"/>
                      <w:color w:val="auto"/>
                      <w:kern w:val="0"/>
                      <w:lang w:val="en-US" w:eastAsia="zh-CN"/>
                    </w:rPr>
                    <w:t>0.5</w:t>
                  </w:r>
                </w:p>
              </w:tc>
              <w:tc>
                <w:tcPr>
                  <w:tcW w:w="571" w:type="pct"/>
                  <w:tcBorders>
                    <w:tl2br w:val="nil"/>
                    <w:tr2bl w:val="nil"/>
                  </w:tcBorders>
                  <w:vAlign w:val="center"/>
                </w:tcPr>
                <w:p w14:paraId="3C9097EB">
                  <w:pPr>
                    <w:pStyle w:val="698"/>
                    <w:rPr>
                      <w:rFonts w:hint="default" w:eastAsia="宋体"/>
                      <w:color w:val="auto"/>
                      <w:kern w:val="0"/>
                      <w:lang w:val="en-US" w:eastAsia="zh-CN"/>
                    </w:rPr>
                  </w:pPr>
                  <w:r>
                    <w:rPr>
                      <w:rFonts w:hint="eastAsia" w:eastAsia="宋体"/>
                      <w:color w:val="auto"/>
                      <w:kern w:val="0"/>
                      <w:lang w:val="en-US" w:eastAsia="zh-CN"/>
                    </w:rPr>
                    <w:t>0.0232</w:t>
                  </w:r>
                </w:p>
              </w:tc>
            </w:tr>
            <w:tr w14:paraId="1F71798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1403" w:type="pct"/>
                  <w:gridSpan w:val="2"/>
                  <w:vMerge w:val="restart"/>
                  <w:tcBorders>
                    <w:tl2br w:val="nil"/>
                    <w:tr2bl w:val="nil"/>
                  </w:tcBorders>
                  <w:vAlign w:val="center"/>
                </w:tcPr>
                <w:p w14:paraId="4BE31537">
                  <w:pPr>
                    <w:pStyle w:val="698"/>
                    <w:rPr>
                      <w:rFonts w:eastAsia="宋体"/>
                      <w:color w:val="auto"/>
                      <w:kern w:val="0"/>
                    </w:rPr>
                  </w:pPr>
                  <w:r>
                    <w:rPr>
                      <w:rFonts w:eastAsia="宋体"/>
                      <w:color w:val="auto"/>
                      <w:kern w:val="0"/>
                    </w:rPr>
                    <w:t>无组织排放总计</w:t>
                  </w:r>
                </w:p>
              </w:tc>
              <w:tc>
                <w:tcPr>
                  <w:tcW w:w="5359" w:type="dxa"/>
                  <w:gridSpan w:val="3"/>
                  <w:tcBorders>
                    <w:tl2br w:val="nil"/>
                    <w:tr2bl w:val="nil"/>
                  </w:tcBorders>
                  <w:vAlign w:val="center"/>
                </w:tcPr>
                <w:p w14:paraId="135623B8">
                  <w:pPr>
                    <w:jc w:val="center"/>
                    <w:textAlignment w:val="bottom"/>
                    <w:rPr>
                      <w:rFonts w:eastAsia="宋体"/>
                      <w:color w:val="auto"/>
                      <w:kern w:val="0"/>
                    </w:rPr>
                  </w:pPr>
                  <w:r>
                    <w:rPr>
                      <w:rFonts w:hint="eastAsia"/>
                      <w:bCs/>
                      <w:color w:val="auto"/>
                      <w:kern w:val="0"/>
                      <w:sz w:val="21"/>
                      <w:szCs w:val="21"/>
                      <w:lang w:val="en-US" w:eastAsia="zh-CN"/>
                    </w:rPr>
                    <w:t>颗粒物</w:t>
                  </w:r>
                </w:p>
              </w:tc>
              <w:tc>
                <w:tcPr>
                  <w:tcW w:w="1012" w:type="dxa"/>
                  <w:tcBorders>
                    <w:tl2br w:val="nil"/>
                    <w:tr2bl w:val="nil"/>
                  </w:tcBorders>
                  <w:vAlign w:val="center"/>
                </w:tcPr>
                <w:p w14:paraId="591B6B50">
                  <w:pPr>
                    <w:pStyle w:val="698"/>
                    <w:rPr>
                      <w:rFonts w:hint="default" w:eastAsia="宋体"/>
                      <w:color w:val="auto"/>
                      <w:kern w:val="0"/>
                      <w:lang w:val="en-US"/>
                    </w:rPr>
                  </w:pPr>
                  <w:r>
                    <w:rPr>
                      <w:rFonts w:hint="eastAsia" w:eastAsia="宋体"/>
                      <w:color w:val="auto"/>
                      <w:kern w:val="0"/>
                      <w:lang w:val="en-US" w:eastAsia="zh-CN"/>
                    </w:rPr>
                    <w:t>0.039138</w:t>
                  </w:r>
                </w:p>
              </w:tc>
            </w:tr>
            <w:tr w14:paraId="160D49C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1403" w:type="pct"/>
                  <w:gridSpan w:val="2"/>
                  <w:vMerge w:val="continue"/>
                  <w:tcBorders>
                    <w:tl2br w:val="nil"/>
                    <w:tr2bl w:val="nil"/>
                  </w:tcBorders>
                  <w:vAlign w:val="center"/>
                </w:tcPr>
                <w:p w14:paraId="119403AB">
                  <w:pPr>
                    <w:pStyle w:val="698"/>
                    <w:rPr>
                      <w:rFonts w:eastAsia="宋体"/>
                      <w:color w:val="auto"/>
                      <w:kern w:val="0"/>
                    </w:rPr>
                  </w:pPr>
                </w:p>
              </w:tc>
              <w:tc>
                <w:tcPr>
                  <w:tcW w:w="5359" w:type="dxa"/>
                  <w:gridSpan w:val="3"/>
                  <w:tcBorders>
                    <w:tl2br w:val="nil"/>
                    <w:tr2bl w:val="nil"/>
                  </w:tcBorders>
                  <w:vAlign w:val="center"/>
                </w:tcPr>
                <w:p w14:paraId="557B28F5">
                  <w:pPr>
                    <w:jc w:val="center"/>
                    <w:textAlignment w:val="bottom"/>
                    <w:rPr>
                      <w:rFonts w:eastAsia="宋体"/>
                      <w:bCs/>
                      <w:color w:val="auto"/>
                      <w:kern w:val="0"/>
                    </w:rPr>
                  </w:pPr>
                  <w:r>
                    <w:rPr>
                      <w:rFonts w:hint="eastAsia"/>
                      <w:bCs/>
                      <w:color w:val="auto"/>
                      <w:kern w:val="0"/>
                      <w:sz w:val="21"/>
                      <w:szCs w:val="21"/>
                      <w:lang w:val="en-US" w:eastAsia="zh-CN"/>
                    </w:rPr>
                    <w:t>非甲烷总烃</w:t>
                  </w:r>
                </w:p>
              </w:tc>
              <w:tc>
                <w:tcPr>
                  <w:tcW w:w="1012" w:type="dxa"/>
                  <w:tcBorders>
                    <w:tl2br w:val="nil"/>
                    <w:tr2bl w:val="nil"/>
                  </w:tcBorders>
                  <w:vAlign w:val="center"/>
                </w:tcPr>
                <w:p w14:paraId="032E7531">
                  <w:pPr>
                    <w:pStyle w:val="698"/>
                    <w:rPr>
                      <w:rFonts w:hint="default" w:eastAsia="宋体"/>
                      <w:color w:val="auto"/>
                      <w:kern w:val="0"/>
                      <w:lang w:val="en-US"/>
                    </w:rPr>
                  </w:pPr>
                  <w:r>
                    <w:rPr>
                      <w:rFonts w:hint="eastAsia" w:eastAsia="宋体"/>
                      <w:color w:val="auto"/>
                      <w:kern w:val="0"/>
                      <w:lang w:val="en-US" w:eastAsia="zh-CN"/>
                    </w:rPr>
                    <w:t>0.0232</w:t>
                  </w:r>
                </w:p>
              </w:tc>
            </w:tr>
          </w:tbl>
          <w:p w14:paraId="4FAC3331">
            <w:pPr>
              <w:pStyle w:val="699"/>
              <w:adjustRightInd w:val="0"/>
              <w:snapToGrid w:val="0"/>
              <w:spacing w:beforeLines="0" w:afterLines="0"/>
              <w:rPr>
                <w:rFonts w:eastAsia="宋体"/>
                <w:color w:val="auto"/>
                <w:kern w:val="0"/>
                <w:sz w:val="21"/>
                <w:szCs w:val="21"/>
              </w:rPr>
            </w:pPr>
            <w:r>
              <w:rPr>
                <w:rFonts w:eastAsia="宋体"/>
                <w:color w:val="auto"/>
                <w:kern w:val="0"/>
                <w:sz w:val="21"/>
                <w:szCs w:val="21"/>
              </w:rPr>
              <w:t>表4-</w:t>
            </w:r>
            <w:r>
              <w:rPr>
                <w:rFonts w:hint="eastAsia" w:eastAsia="宋体"/>
                <w:color w:val="auto"/>
                <w:kern w:val="0"/>
                <w:sz w:val="21"/>
                <w:szCs w:val="21"/>
              </w:rPr>
              <w:t>1</w:t>
            </w:r>
            <w:r>
              <w:rPr>
                <w:rFonts w:hint="eastAsia" w:eastAsia="宋体"/>
                <w:color w:val="auto"/>
                <w:kern w:val="0"/>
                <w:sz w:val="21"/>
                <w:szCs w:val="21"/>
                <w:lang w:val="en-US" w:eastAsia="zh-CN"/>
              </w:rPr>
              <w:t>0</w:t>
            </w:r>
            <w:r>
              <w:rPr>
                <w:rFonts w:hint="eastAsia" w:eastAsia="宋体"/>
                <w:color w:val="auto"/>
                <w:kern w:val="0"/>
                <w:sz w:val="21"/>
                <w:szCs w:val="21"/>
              </w:rPr>
              <w:t xml:space="preserve">   </w:t>
            </w:r>
            <w:r>
              <w:rPr>
                <w:rFonts w:eastAsia="宋体"/>
                <w:color w:val="auto"/>
                <w:kern w:val="0"/>
                <w:sz w:val="21"/>
                <w:szCs w:val="21"/>
              </w:rPr>
              <w:t>项目大气污染物年排放量核算表</w:t>
            </w:r>
          </w:p>
          <w:tbl>
            <w:tblPr>
              <w:tblStyle w:val="59"/>
              <w:tblW w:w="5000"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0" w:type="dxa"/>
                <w:bottom w:w="0" w:type="dxa"/>
                <w:right w:w="0" w:type="dxa"/>
              </w:tblCellMar>
            </w:tblPr>
            <w:tblGrid>
              <w:gridCol w:w="2119"/>
              <w:gridCol w:w="3418"/>
              <w:gridCol w:w="3324"/>
            </w:tblGrid>
            <w:tr w14:paraId="0287755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1196" w:type="pct"/>
                  <w:tcBorders>
                    <w:tl2br w:val="nil"/>
                    <w:tr2bl w:val="nil"/>
                  </w:tcBorders>
                  <w:vAlign w:val="center"/>
                </w:tcPr>
                <w:p w14:paraId="149F41CD">
                  <w:pPr>
                    <w:pStyle w:val="700"/>
                    <w:rPr>
                      <w:rFonts w:eastAsia="宋体"/>
                      <w:color w:val="auto"/>
                      <w:kern w:val="0"/>
                      <w:szCs w:val="21"/>
                    </w:rPr>
                  </w:pPr>
                  <w:r>
                    <w:rPr>
                      <w:rFonts w:eastAsia="宋体"/>
                      <w:color w:val="auto"/>
                      <w:kern w:val="0"/>
                      <w:szCs w:val="21"/>
                    </w:rPr>
                    <w:t>序号</w:t>
                  </w:r>
                </w:p>
              </w:tc>
              <w:tc>
                <w:tcPr>
                  <w:tcW w:w="1928" w:type="pct"/>
                  <w:tcBorders>
                    <w:tl2br w:val="nil"/>
                    <w:tr2bl w:val="nil"/>
                  </w:tcBorders>
                  <w:vAlign w:val="center"/>
                </w:tcPr>
                <w:p w14:paraId="3748BA1E">
                  <w:pPr>
                    <w:pStyle w:val="700"/>
                    <w:rPr>
                      <w:rFonts w:eastAsia="宋体"/>
                      <w:color w:val="auto"/>
                      <w:kern w:val="0"/>
                      <w:szCs w:val="21"/>
                    </w:rPr>
                  </w:pPr>
                  <w:r>
                    <w:rPr>
                      <w:rFonts w:eastAsia="宋体"/>
                      <w:color w:val="auto"/>
                      <w:kern w:val="0"/>
                      <w:szCs w:val="21"/>
                    </w:rPr>
                    <w:t>污染物</w:t>
                  </w:r>
                </w:p>
              </w:tc>
              <w:tc>
                <w:tcPr>
                  <w:tcW w:w="1875" w:type="pct"/>
                  <w:tcBorders>
                    <w:tl2br w:val="nil"/>
                    <w:tr2bl w:val="nil"/>
                  </w:tcBorders>
                  <w:vAlign w:val="center"/>
                </w:tcPr>
                <w:p w14:paraId="4F03BBDF">
                  <w:pPr>
                    <w:pStyle w:val="700"/>
                    <w:rPr>
                      <w:rFonts w:eastAsia="宋体"/>
                      <w:color w:val="auto"/>
                      <w:kern w:val="0"/>
                      <w:szCs w:val="21"/>
                    </w:rPr>
                  </w:pPr>
                  <w:r>
                    <w:rPr>
                      <w:rFonts w:eastAsia="宋体"/>
                      <w:color w:val="auto"/>
                      <w:kern w:val="0"/>
                      <w:szCs w:val="21"/>
                    </w:rPr>
                    <w:t>年排放量t/a</w:t>
                  </w:r>
                </w:p>
              </w:tc>
            </w:tr>
            <w:tr w14:paraId="7A71750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1196" w:type="pct"/>
                  <w:tcBorders>
                    <w:tl2br w:val="nil"/>
                    <w:tr2bl w:val="nil"/>
                  </w:tcBorders>
                  <w:vAlign w:val="center"/>
                </w:tcPr>
                <w:p w14:paraId="569E75DB">
                  <w:pPr>
                    <w:pStyle w:val="698"/>
                    <w:rPr>
                      <w:rFonts w:eastAsia="宋体"/>
                      <w:color w:val="auto"/>
                      <w:kern w:val="0"/>
                    </w:rPr>
                  </w:pPr>
                  <w:r>
                    <w:rPr>
                      <w:rFonts w:eastAsia="宋体"/>
                      <w:color w:val="auto"/>
                      <w:kern w:val="0"/>
                    </w:rPr>
                    <w:t>1</w:t>
                  </w:r>
                </w:p>
              </w:tc>
              <w:tc>
                <w:tcPr>
                  <w:tcW w:w="3418" w:type="dxa"/>
                  <w:tcBorders>
                    <w:tl2br w:val="nil"/>
                    <w:tr2bl w:val="nil"/>
                  </w:tcBorders>
                  <w:vAlign w:val="center"/>
                </w:tcPr>
                <w:p w14:paraId="492503E8">
                  <w:pPr>
                    <w:jc w:val="center"/>
                    <w:textAlignment w:val="bottom"/>
                    <w:rPr>
                      <w:rFonts w:eastAsia="宋体"/>
                      <w:color w:val="auto"/>
                      <w:kern w:val="0"/>
                    </w:rPr>
                  </w:pPr>
                  <w:r>
                    <w:rPr>
                      <w:rFonts w:hint="eastAsia"/>
                      <w:bCs/>
                      <w:color w:val="auto"/>
                      <w:kern w:val="0"/>
                      <w:sz w:val="21"/>
                      <w:szCs w:val="21"/>
                      <w:lang w:val="en-US" w:eastAsia="zh-CN"/>
                    </w:rPr>
                    <w:t>颗粒物</w:t>
                  </w:r>
                </w:p>
              </w:tc>
              <w:tc>
                <w:tcPr>
                  <w:tcW w:w="3324" w:type="dxa"/>
                  <w:tcBorders>
                    <w:tl2br w:val="nil"/>
                    <w:tr2bl w:val="nil"/>
                  </w:tcBorders>
                  <w:vAlign w:val="center"/>
                </w:tcPr>
                <w:p w14:paraId="63BF9309">
                  <w:pPr>
                    <w:widowControl/>
                    <w:jc w:val="center"/>
                    <w:textAlignment w:val="center"/>
                    <w:rPr>
                      <w:rFonts w:hint="default" w:eastAsia="宋体"/>
                      <w:color w:val="auto"/>
                      <w:kern w:val="0"/>
                      <w:lang w:val="en-US" w:eastAsia="zh-CN"/>
                    </w:rPr>
                  </w:pPr>
                  <w:r>
                    <w:rPr>
                      <w:rFonts w:hint="eastAsia"/>
                      <w:color w:val="auto"/>
                      <w:kern w:val="0"/>
                      <w:lang w:val="en-US" w:eastAsia="zh-CN"/>
                    </w:rPr>
                    <w:t>0.2079</w:t>
                  </w:r>
                </w:p>
              </w:tc>
            </w:tr>
            <w:tr w14:paraId="5DD76B2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1196" w:type="pct"/>
                  <w:tcBorders>
                    <w:tl2br w:val="nil"/>
                    <w:tr2bl w:val="nil"/>
                  </w:tcBorders>
                  <w:vAlign w:val="center"/>
                </w:tcPr>
                <w:p w14:paraId="2DFDACDC">
                  <w:pPr>
                    <w:pStyle w:val="698"/>
                    <w:rPr>
                      <w:rFonts w:eastAsia="宋体"/>
                      <w:color w:val="auto"/>
                      <w:kern w:val="0"/>
                    </w:rPr>
                  </w:pPr>
                  <w:r>
                    <w:rPr>
                      <w:rFonts w:hint="eastAsia" w:eastAsia="宋体"/>
                      <w:color w:val="auto"/>
                      <w:kern w:val="0"/>
                    </w:rPr>
                    <w:t>2</w:t>
                  </w:r>
                </w:p>
              </w:tc>
              <w:tc>
                <w:tcPr>
                  <w:tcW w:w="3418" w:type="dxa"/>
                  <w:tcBorders>
                    <w:tl2br w:val="nil"/>
                    <w:tr2bl w:val="nil"/>
                  </w:tcBorders>
                  <w:vAlign w:val="center"/>
                </w:tcPr>
                <w:p w14:paraId="0A761576">
                  <w:pPr>
                    <w:jc w:val="center"/>
                    <w:textAlignment w:val="bottom"/>
                    <w:rPr>
                      <w:rFonts w:eastAsia="宋体"/>
                      <w:color w:val="auto"/>
                      <w:kern w:val="0"/>
                    </w:rPr>
                  </w:pPr>
                  <w:r>
                    <w:rPr>
                      <w:rFonts w:hint="eastAsia"/>
                      <w:bCs/>
                      <w:color w:val="auto"/>
                      <w:kern w:val="0"/>
                      <w:sz w:val="21"/>
                      <w:szCs w:val="21"/>
                      <w:lang w:val="en-US" w:eastAsia="zh-CN"/>
                    </w:rPr>
                    <w:t>非甲烷总烃</w:t>
                  </w:r>
                </w:p>
              </w:tc>
              <w:tc>
                <w:tcPr>
                  <w:tcW w:w="3324" w:type="dxa"/>
                  <w:tcBorders>
                    <w:tl2br w:val="nil"/>
                    <w:tr2bl w:val="nil"/>
                  </w:tcBorders>
                  <w:vAlign w:val="center"/>
                </w:tcPr>
                <w:p w14:paraId="1D6D2A29">
                  <w:pPr>
                    <w:widowControl/>
                    <w:jc w:val="center"/>
                    <w:textAlignment w:val="center"/>
                    <w:rPr>
                      <w:rFonts w:hint="default" w:eastAsia="宋体"/>
                      <w:color w:val="auto"/>
                      <w:kern w:val="0"/>
                      <w:lang w:val="en-US" w:eastAsia="zh-CN"/>
                    </w:rPr>
                  </w:pPr>
                  <w:r>
                    <w:rPr>
                      <w:rFonts w:hint="eastAsia"/>
                      <w:color w:val="auto"/>
                      <w:kern w:val="0"/>
                      <w:lang w:val="en-US" w:eastAsia="zh-CN"/>
                    </w:rPr>
                    <w:t>0.13628</w:t>
                  </w:r>
                </w:p>
              </w:tc>
            </w:tr>
          </w:tbl>
          <w:p w14:paraId="11C9260F">
            <w:pPr>
              <w:pStyle w:val="5"/>
              <w:adjustRightInd w:val="0"/>
              <w:snapToGrid w:val="0"/>
              <w:spacing w:line="360" w:lineRule="auto"/>
              <w:ind w:firstLine="422" w:firstLineChars="200"/>
              <w:rPr>
                <w:b/>
                <w:color w:val="auto"/>
                <w:kern w:val="0"/>
                <w:szCs w:val="21"/>
              </w:rPr>
            </w:pPr>
            <w:r>
              <w:rPr>
                <w:rFonts w:hint="eastAsia"/>
                <w:b/>
                <w:color w:val="auto"/>
                <w:kern w:val="0"/>
                <w:szCs w:val="21"/>
              </w:rPr>
              <w:t>（7）卫生防护距离</w:t>
            </w:r>
          </w:p>
          <w:p w14:paraId="54FE2356">
            <w:pPr>
              <w:pStyle w:val="697"/>
              <w:adjustRightInd w:val="0"/>
              <w:snapToGrid w:val="0"/>
              <w:spacing w:line="360" w:lineRule="auto"/>
              <w:ind w:firstLine="420"/>
              <w:jc w:val="both"/>
              <w:rPr>
                <w:rFonts w:eastAsia="宋体"/>
                <w:bCs/>
                <w:color w:val="auto"/>
                <w:sz w:val="21"/>
                <w:szCs w:val="21"/>
              </w:rPr>
            </w:pPr>
            <w:r>
              <w:rPr>
                <w:rFonts w:eastAsia="宋体"/>
                <w:bCs/>
                <w:color w:val="auto"/>
                <w:sz w:val="21"/>
                <w:szCs w:val="21"/>
              </w:rPr>
              <w:t>根据《大气有害物质无组织排放卫生防护距离推导技术导则》（GB/T39499-2020）规定，无组织排入有害气体的生产单元（生产区、车间、工段）与居民区之间应设置卫生防护距离，卫生防护距离L按下式计算：</w:t>
            </w:r>
          </w:p>
          <w:p w14:paraId="6BC3B569">
            <w:pPr>
              <w:adjustRightInd w:val="0"/>
              <w:snapToGrid w:val="0"/>
              <w:spacing w:line="360" w:lineRule="auto"/>
              <w:ind w:firstLine="420" w:firstLineChars="200"/>
              <w:jc w:val="center"/>
              <w:rPr>
                <w:color w:val="auto"/>
                <w:kern w:val="0"/>
              </w:rPr>
            </w:pPr>
            <w:r>
              <w:rPr>
                <w:color w:val="auto"/>
                <w:kern w:val="0"/>
              </w:rPr>
              <w:object>
                <v:shape id="_x0000_i1031" o:spt="75" type="#_x0000_t75" style="height:36.75pt;width:162pt;" o:ole="t" filled="f" o:preferrelative="t" stroked="f" coordsize="21600,21600">
                  <v:path/>
                  <v:fill on="f" focussize="0,0"/>
                  <v:stroke on="f" joinstyle="miter"/>
                  <v:imagedata r:id="rId24" o:title=""/>
                  <o:lock v:ext="edit" aspectratio="t"/>
                  <w10:wrap type="none"/>
                  <w10:anchorlock/>
                </v:shape>
                <o:OLEObject Type="Embed" ProgID="Equation.3" ShapeID="_x0000_i1031" DrawAspect="Content" ObjectID="_1468075731" r:id="rId23">
                  <o:LockedField>false</o:LockedField>
                </o:OLEObject>
              </w:object>
            </w:r>
          </w:p>
          <w:p w14:paraId="5FAA6FD3">
            <w:pPr>
              <w:widowControl/>
              <w:adjustRightInd w:val="0"/>
              <w:snapToGrid w:val="0"/>
              <w:spacing w:line="360" w:lineRule="auto"/>
              <w:ind w:firstLine="420" w:firstLineChars="200"/>
              <w:jc w:val="left"/>
              <w:rPr>
                <w:color w:val="auto"/>
                <w:kern w:val="0"/>
              </w:rPr>
            </w:pPr>
            <w:r>
              <w:rPr>
                <w:rFonts w:hint="eastAsia"/>
                <w:color w:val="auto"/>
                <w:kern w:val="0"/>
                <w:lang w:bidi="ar"/>
              </w:rPr>
              <w:t>式中：</w:t>
            </w:r>
            <w:r>
              <w:rPr>
                <w:i/>
                <w:iCs/>
                <w:color w:val="auto"/>
                <w:kern w:val="0"/>
                <w:lang w:bidi="ar"/>
              </w:rPr>
              <w:t>Q</w:t>
            </w:r>
            <w:r>
              <w:rPr>
                <w:i/>
                <w:iCs/>
                <w:color w:val="auto"/>
                <w:kern w:val="0"/>
                <w:vertAlign w:val="subscript"/>
                <w:lang w:bidi="ar"/>
              </w:rPr>
              <w:t>C</w:t>
            </w:r>
            <w:r>
              <w:rPr>
                <w:color w:val="auto"/>
                <w:kern w:val="0"/>
                <w:lang w:bidi="ar"/>
              </w:rPr>
              <w:t>——</w:t>
            </w:r>
            <w:r>
              <w:rPr>
                <w:rFonts w:hint="eastAsia"/>
                <w:color w:val="auto"/>
                <w:kern w:val="0"/>
                <w:lang w:bidi="ar"/>
              </w:rPr>
              <w:t>污染物的无组织排放量，</w:t>
            </w:r>
            <w:r>
              <w:rPr>
                <w:color w:val="auto"/>
                <w:kern w:val="0"/>
                <w:lang w:bidi="ar"/>
              </w:rPr>
              <w:t>kg/h</w:t>
            </w:r>
            <w:r>
              <w:rPr>
                <w:rFonts w:hint="eastAsia"/>
                <w:color w:val="auto"/>
                <w:kern w:val="0"/>
                <w:lang w:bidi="ar"/>
              </w:rPr>
              <w:t>；</w:t>
            </w:r>
          </w:p>
          <w:p w14:paraId="13EE8677">
            <w:pPr>
              <w:widowControl/>
              <w:adjustRightInd w:val="0"/>
              <w:snapToGrid w:val="0"/>
              <w:spacing w:line="360" w:lineRule="auto"/>
              <w:ind w:firstLine="420" w:firstLineChars="200"/>
              <w:jc w:val="left"/>
              <w:rPr>
                <w:color w:val="auto"/>
                <w:kern w:val="0"/>
              </w:rPr>
            </w:pPr>
            <w:r>
              <w:rPr>
                <w:color w:val="auto"/>
                <w:kern w:val="0"/>
                <w:lang w:bidi="ar"/>
              </w:rPr>
              <w:t>C</w:t>
            </w:r>
            <w:r>
              <w:rPr>
                <w:color w:val="auto"/>
                <w:kern w:val="0"/>
                <w:vertAlign w:val="subscript"/>
                <w:lang w:bidi="ar"/>
              </w:rPr>
              <w:t>m</w:t>
            </w:r>
            <w:r>
              <w:rPr>
                <w:color w:val="auto"/>
                <w:kern w:val="0"/>
                <w:lang w:bidi="ar"/>
              </w:rPr>
              <w:t>——</w:t>
            </w:r>
            <w:r>
              <w:rPr>
                <w:rFonts w:hint="eastAsia"/>
                <w:color w:val="auto"/>
                <w:kern w:val="0"/>
                <w:lang w:bidi="ar"/>
              </w:rPr>
              <w:t>污染物的标准浓度限值，mg/m</w:t>
            </w:r>
            <w:r>
              <w:rPr>
                <w:color w:val="auto"/>
                <w:kern w:val="0"/>
                <w:vertAlign w:val="superscript"/>
                <w:lang w:bidi="ar"/>
              </w:rPr>
              <w:t>3</w:t>
            </w:r>
            <w:r>
              <w:rPr>
                <w:rFonts w:hint="eastAsia"/>
                <w:color w:val="auto"/>
                <w:kern w:val="0"/>
                <w:lang w:bidi="ar"/>
              </w:rPr>
              <w:t>；</w:t>
            </w:r>
          </w:p>
          <w:p w14:paraId="11B118BA">
            <w:pPr>
              <w:widowControl/>
              <w:adjustRightInd w:val="0"/>
              <w:snapToGrid w:val="0"/>
              <w:spacing w:line="360" w:lineRule="auto"/>
              <w:ind w:firstLine="420" w:firstLineChars="200"/>
              <w:jc w:val="left"/>
              <w:rPr>
                <w:color w:val="auto"/>
                <w:kern w:val="0"/>
              </w:rPr>
            </w:pPr>
            <w:r>
              <w:rPr>
                <w:color w:val="auto"/>
                <w:kern w:val="0"/>
                <w:lang w:bidi="ar"/>
              </w:rPr>
              <w:t>L——</w:t>
            </w:r>
            <w:r>
              <w:rPr>
                <w:rFonts w:hint="eastAsia"/>
                <w:color w:val="auto"/>
                <w:kern w:val="0"/>
                <w:lang w:bidi="ar"/>
              </w:rPr>
              <w:t>卫生防护距离，</w:t>
            </w:r>
            <w:r>
              <w:rPr>
                <w:color w:val="auto"/>
                <w:kern w:val="0"/>
                <w:lang w:bidi="ar"/>
              </w:rPr>
              <w:t>m</w:t>
            </w:r>
            <w:r>
              <w:rPr>
                <w:rFonts w:hint="eastAsia"/>
                <w:color w:val="auto"/>
                <w:kern w:val="0"/>
                <w:lang w:bidi="ar"/>
              </w:rPr>
              <w:t>；</w:t>
            </w:r>
          </w:p>
          <w:p w14:paraId="622056EA">
            <w:pPr>
              <w:widowControl/>
              <w:adjustRightInd w:val="0"/>
              <w:snapToGrid w:val="0"/>
              <w:spacing w:line="360" w:lineRule="auto"/>
              <w:ind w:firstLine="420" w:firstLineChars="200"/>
              <w:jc w:val="left"/>
              <w:rPr>
                <w:color w:val="auto"/>
                <w:kern w:val="0"/>
              </w:rPr>
            </w:pPr>
            <w:r>
              <w:rPr>
                <w:rFonts w:hint="eastAsia"/>
                <w:color w:val="auto"/>
                <w:kern w:val="0"/>
                <w:lang w:bidi="ar"/>
              </w:rPr>
              <w:t>r</w:t>
            </w:r>
            <w:r>
              <w:rPr>
                <w:color w:val="auto"/>
                <w:kern w:val="0"/>
                <w:lang w:bidi="ar"/>
              </w:rPr>
              <w:t>——</w:t>
            </w:r>
            <w:r>
              <w:rPr>
                <w:rFonts w:hint="eastAsia"/>
                <w:color w:val="auto"/>
                <w:kern w:val="0"/>
                <w:lang w:bidi="ar"/>
              </w:rPr>
              <w:t>生产单元的等效半径，</w:t>
            </w:r>
            <w:r>
              <w:rPr>
                <w:color w:val="auto"/>
                <w:kern w:val="0"/>
                <w:lang w:bidi="ar"/>
              </w:rPr>
              <w:t>m</w:t>
            </w:r>
            <w:r>
              <w:rPr>
                <w:rFonts w:hint="eastAsia"/>
                <w:color w:val="auto"/>
                <w:kern w:val="0"/>
                <w:lang w:bidi="ar"/>
              </w:rPr>
              <w:t>；</w:t>
            </w:r>
          </w:p>
          <w:p w14:paraId="457A95D8">
            <w:pPr>
              <w:adjustRightInd w:val="0"/>
              <w:snapToGrid w:val="0"/>
              <w:spacing w:line="360" w:lineRule="auto"/>
              <w:ind w:firstLine="420" w:firstLineChars="200"/>
              <w:rPr>
                <w:color w:val="auto"/>
                <w:kern w:val="0"/>
              </w:rPr>
            </w:pPr>
            <w:r>
              <w:rPr>
                <w:color w:val="auto"/>
                <w:kern w:val="0"/>
                <w:lang w:bidi="ar"/>
              </w:rPr>
              <w:t>A</w:t>
            </w:r>
            <w:r>
              <w:rPr>
                <w:rFonts w:hint="eastAsia"/>
                <w:color w:val="auto"/>
                <w:kern w:val="0"/>
                <w:lang w:bidi="ar"/>
              </w:rPr>
              <w:t>、</w:t>
            </w:r>
            <w:r>
              <w:rPr>
                <w:color w:val="auto"/>
                <w:kern w:val="0"/>
                <w:lang w:bidi="ar"/>
              </w:rPr>
              <w:t>B</w:t>
            </w:r>
            <w:r>
              <w:rPr>
                <w:rFonts w:hint="eastAsia"/>
                <w:color w:val="auto"/>
                <w:kern w:val="0"/>
                <w:lang w:bidi="ar"/>
              </w:rPr>
              <w:t>、</w:t>
            </w:r>
            <w:r>
              <w:rPr>
                <w:color w:val="auto"/>
                <w:kern w:val="0"/>
                <w:lang w:bidi="ar"/>
              </w:rPr>
              <w:t>C</w:t>
            </w:r>
            <w:r>
              <w:rPr>
                <w:rFonts w:hint="eastAsia"/>
                <w:color w:val="auto"/>
                <w:kern w:val="0"/>
                <w:lang w:bidi="ar"/>
              </w:rPr>
              <w:t>、</w:t>
            </w:r>
            <w:r>
              <w:rPr>
                <w:color w:val="auto"/>
                <w:kern w:val="0"/>
                <w:lang w:bidi="ar"/>
              </w:rPr>
              <w:t>D——</w:t>
            </w:r>
            <w:r>
              <w:rPr>
                <w:rFonts w:hint="eastAsia"/>
                <w:color w:val="auto"/>
                <w:kern w:val="0"/>
                <w:lang w:bidi="ar"/>
              </w:rPr>
              <w:t>卫生防护距离计算系数，</w:t>
            </w:r>
            <w:r>
              <w:rPr>
                <w:bCs/>
                <w:color w:val="auto"/>
                <w:kern w:val="0"/>
              </w:rPr>
              <w:t>根据所在地近五年来平均风速及工业企业大气污染源构成类别查取。</w:t>
            </w:r>
          </w:p>
          <w:p w14:paraId="0B883715">
            <w:pPr>
              <w:pStyle w:val="697"/>
              <w:spacing w:line="240" w:lineRule="auto"/>
              <w:ind w:firstLine="0" w:firstLineChars="0"/>
              <w:jc w:val="center"/>
              <w:rPr>
                <w:rFonts w:eastAsia="宋体"/>
                <w:b/>
                <w:color w:val="auto"/>
                <w:kern w:val="0"/>
                <w:sz w:val="21"/>
                <w:szCs w:val="21"/>
              </w:rPr>
            </w:pPr>
            <w:r>
              <w:rPr>
                <w:rFonts w:eastAsia="宋体"/>
                <w:b/>
                <w:color w:val="auto"/>
                <w:kern w:val="0"/>
                <w:sz w:val="21"/>
                <w:szCs w:val="21"/>
              </w:rPr>
              <w:t>表4-</w:t>
            </w:r>
            <w:r>
              <w:rPr>
                <w:rFonts w:hint="eastAsia" w:eastAsia="宋体"/>
                <w:b/>
                <w:color w:val="auto"/>
                <w:kern w:val="0"/>
                <w:sz w:val="21"/>
                <w:szCs w:val="21"/>
              </w:rPr>
              <w:t>1</w:t>
            </w:r>
            <w:r>
              <w:rPr>
                <w:rFonts w:hint="eastAsia" w:eastAsia="宋体"/>
                <w:b/>
                <w:color w:val="auto"/>
                <w:kern w:val="0"/>
                <w:sz w:val="21"/>
                <w:szCs w:val="21"/>
                <w:lang w:val="en-US" w:eastAsia="zh-CN"/>
              </w:rPr>
              <w:t>1</w:t>
            </w:r>
            <w:r>
              <w:rPr>
                <w:rFonts w:hint="eastAsia" w:eastAsia="宋体"/>
                <w:b/>
                <w:color w:val="auto"/>
                <w:kern w:val="0"/>
                <w:sz w:val="21"/>
                <w:szCs w:val="21"/>
              </w:rPr>
              <w:t xml:space="preserve">   </w:t>
            </w:r>
            <w:r>
              <w:rPr>
                <w:rFonts w:eastAsia="宋体"/>
                <w:b/>
                <w:color w:val="auto"/>
                <w:kern w:val="0"/>
                <w:sz w:val="21"/>
                <w:szCs w:val="21"/>
              </w:rPr>
              <w:t>卫生防护距离计算系数表</w:t>
            </w:r>
          </w:p>
          <w:tbl>
            <w:tblPr>
              <w:tblStyle w:val="59"/>
              <w:tblW w:w="5000"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0" w:type="dxa"/>
                <w:bottom w:w="0" w:type="dxa"/>
                <w:right w:w="0" w:type="dxa"/>
              </w:tblCellMar>
            </w:tblPr>
            <w:tblGrid>
              <w:gridCol w:w="849"/>
              <w:gridCol w:w="3684"/>
              <w:gridCol w:w="496"/>
              <w:gridCol w:w="532"/>
              <w:gridCol w:w="450"/>
              <w:gridCol w:w="521"/>
              <w:gridCol w:w="551"/>
              <w:gridCol w:w="505"/>
              <w:gridCol w:w="360"/>
              <w:gridCol w:w="475"/>
              <w:gridCol w:w="438"/>
            </w:tblGrid>
            <w:tr w14:paraId="72D0B4A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479" w:type="pct"/>
                  <w:vMerge w:val="restart"/>
                  <w:tcBorders>
                    <w:tl2br w:val="nil"/>
                    <w:tr2bl w:val="nil"/>
                  </w:tcBorders>
                  <w:noWrap/>
                  <w:vAlign w:val="center"/>
                </w:tcPr>
                <w:p w14:paraId="1056471A">
                  <w:pPr>
                    <w:jc w:val="center"/>
                    <w:textAlignment w:val="center"/>
                    <w:rPr>
                      <w:b/>
                      <w:bCs/>
                      <w:color w:val="auto"/>
                      <w:kern w:val="0"/>
                    </w:rPr>
                  </w:pPr>
                  <w:r>
                    <w:rPr>
                      <w:b/>
                      <w:bCs/>
                      <w:color w:val="auto"/>
                      <w:kern w:val="0"/>
                    </w:rPr>
                    <w:t>计算系数</w:t>
                  </w:r>
                </w:p>
              </w:tc>
              <w:tc>
                <w:tcPr>
                  <w:tcW w:w="2079" w:type="pct"/>
                  <w:vMerge w:val="restart"/>
                  <w:tcBorders>
                    <w:tl2br w:val="nil"/>
                    <w:tr2bl w:val="nil"/>
                  </w:tcBorders>
                  <w:noWrap/>
                  <w:vAlign w:val="center"/>
                </w:tcPr>
                <w:p w14:paraId="1B4F44BD">
                  <w:pPr>
                    <w:jc w:val="center"/>
                    <w:textAlignment w:val="center"/>
                    <w:rPr>
                      <w:b/>
                      <w:bCs/>
                      <w:color w:val="auto"/>
                      <w:kern w:val="0"/>
                    </w:rPr>
                  </w:pPr>
                  <w:r>
                    <w:rPr>
                      <w:b/>
                      <w:bCs/>
                      <w:color w:val="auto"/>
                      <w:kern w:val="0"/>
                    </w:rPr>
                    <w:t>工业企业所在地区近5年平均风速m/s</w:t>
                  </w:r>
                </w:p>
              </w:tc>
              <w:tc>
                <w:tcPr>
                  <w:tcW w:w="2441" w:type="pct"/>
                  <w:gridSpan w:val="9"/>
                  <w:tcBorders>
                    <w:tl2br w:val="nil"/>
                    <w:tr2bl w:val="nil"/>
                  </w:tcBorders>
                  <w:noWrap/>
                  <w:vAlign w:val="center"/>
                </w:tcPr>
                <w:p w14:paraId="6D9C228D">
                  <w:pPr>
                    <w:jc w:val="center"/>
                    <w:textAlignment w:val="center"/>
                    <w:rPr>
                      <w:b/>
                      <w:bCs/>
                      <w:color w:val="auto"/>
                      <w:kern w:val="0"/>
                    </w:rPr>
                  </w:pPr>
                  <w:r>
                    <w:rPr>
                      <w:b/>
                      <w:bCs/>
                      <w:color w:val="auto"/>
                      <w:kern w:val="0"/>
                    </w:rPr>
                    <w:t>卫生防护距离L/m</w:t>
                  </w:r>
                </w:p>
              </w:tc>
            </w:tr>
            <w:tr w14:paraId="26A580A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479" w:type="pct"/>
                  <w:vMerge w:val="continue"/>
                  <w:tcBorders>
                    <w:tl2br w:val="nil"/>
                    <w:tr2bl w:val="nil"/>
                  </w:tcBorders>
                  <w:noWrap/>
                  <w:vAlign w:val="center"/>
                </w:tcPr>
                <w:p w14:paraId="4E4019D2">
                  <w:pPr>
                    <w:jc w:val="center"/>
                    <w:textAlignment w:val="center"/>
                    <w:rPr>
                      <w:b/>
                      <w:bCs/>
                      <w:color w:val="auto"/>
                      <w:kern w:val="0"/>
                    </w:rPr>
                  </w:pPr>
                </w:p>
              </w:tc>
              <w:tc>
                <w:tcPr>
                  <w:tcW w:w="2079" w:type="pct"/>
                  <w:vMerge w:val="continue"/>
                  <w:tcBorders>
                    <w:tl2br w:val="nil"/>
                    <w:tr2bl w:val="nil"/>
                  </w:tcBorders>
                  <w:noWrap/>
                  <w:vAlign w:val="center"/>
                </w:tcPr>
                <w:p w14:paraId="09E51A79">
                  <w:pPr>
                    <w:jc w:val="center"/>
                    <w:textAlignment w:val="center"/>
                    <w:rPr>
                      <w:b/>
                      <w:bCs/>
                      <w:color w:val="auto"/>
                      <w:kern w:val="0"/>
                    </w:rPr>
                  </w:pPr>
                </w:p>
              </w:tc>
              <w:tc>
                <w:tcPr>
                  <w:tcW w:w="834" w:type="pct"/>
                  <w:gridSpan w:val="3"/>
                  <w:tcBorders>
                    <w:tl2br w:val="nil"/>
                    <w:tr2bl w:val="nil"/>
                  </w:tcBorders>
                  <w:noWrap/>
                  <w:vAlign w:val="center"/>
                </w:tcPr>
                <w:p w14:paraId="5D24127A">
                  <w:pPr>
                    <w:jc w:val="center"/>
                    <w:textAlignment w:val="center"/>
                    <w:rPr>
                      <w:color w:val="auto"/>
                      <w:kern w:val="0"/>
                    </w:rPr>
                  </w:pPr>
                  <w:r>
                    <w:rPr>
                      <w:color w:val="auto"/>
                      <w:kern w:val="0"/>
                    </w:rPr>
                    <w:t>L≤1000</w:t>
                  </w:r>
                </w:p>
              </w:tc>
              <w:tc>
                <w:tcPr>
                  <w:tcW w:w="890" w:type="pct"/>
                  <w:gridSpan w:val="3"/>
                  <w:tcBorders>
                    <w:tl2br w:val="nil"/>
                    <w:tr2bl w:val="nil"/>
                  </w:tcBorders>
                  <w:noWrap/>
                  <w:vAlign w:val="center"/>
                </w:tcPr>
                <w:p w14:paraId="58718408">
                  <w:pPr>
                    <w:jc w:val="center"/>
                    <w:textAlignment w:val="center"/>
                    <w:rPr>
                      <w:color w:val="auto"/>
                      <w:kern w:val="0"/>
                    </w:rPr>
                  </w:pPr>
                  <w:r>
                    <w:rPr>
                      <w:color w:val="auto"/>
                      <w:kern w:val="0"/>
                    </w:rPr>
                    <w:t>1000&lt;L≤2000</w:t>
                  </w:r>
                </w:p>
              </w:tc>
              <w:tc>
                <w:tcPr>
                  <w:tcW w:w="716" w:type="pct"/>
                  <w:gridSpan w:val="3"/>
                  <w:tcBorders>
                    <w:tl2br w:val="nil"/>
                    <w:tr2bl w:val="nil"/>
                  </w:tcBorders>
                  <w:noWrap/>
                  <w:vAlign w:val="center"/>
                </w:tcPr>
                <w:p w14:paraId="76A2508F">
                  <w:pPr>
                    <w:jc w:val="center"/>
                    <w:textAlignment w:val="center"/>
                    <w:rPr>
                      <w:color w:val="auto"/>
                      <w:kern w:val="0"/>
                    </w:rPr>
                  </w:pPr>
                  <w:r>
                    <w:rPr>
                      <w:color w:val="auto"/>
                      <w:kern w:val="0"/>
                    </w:rPr>
                    <w:t>L&gt;2000</w:t>
                  </w:r>
                </w:p>
              </w:tc>
            </w:tr>
            <w:tr w14:paraId="5EAB7C47">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479" w:type="pct"/>
                  <w:vMerge w:val="continue"/>
                  <w:tcBorders>
                    <w:tl2br w:val="nil"/>
                    <w:tr2bl w:val="nil"/>
                  </w:tcBorders>
                  <w:noWrap/>
                  <w:vAlign w:val="center"/>
                </w:tcPr>
                <w:p w14:paraId="163A7809">
                  <w:pPr>
                    <w:jc w:val="center"/>
                    <w:textAlignment w:val="center"/>
                    <w:rPr>
                      <w:b/>
                      <w:bCs/>
                      <w:color w:val="auto"/>
                      <w:kern w:val="0"/>
                    </w:rPr>
                  </w:pPr>
                </w:p>
              </w:tc>
              <w:tc>
                <w:tcPr>
                  <w:tcW w:w="2079" w:type="pct"/>
                  <w:vMerge w:val="continue"/>
                  <w:tcBorders>
                    <w:tl2br w:val="nil"/>
                    <w:tr2bl w:val="nil"/>
                  </w:tcBorders>
                  <w:noWrap/>
                  <w:vAlign w:val="center"/>
                </w:tcPr>
                <w:p w14:paraId="42F178E9">
                  <w:pPr>
                    <w:jc w:val="center"/>
                    <w:textAlignment w:val="center"/>
                    <w:rPr>
                      <w:b/>
                      <w:bCs/>
                      <w:color w:val="auto"/>
                      <w:kern w:val="0"/>
                    </w:rPr>
                  </w:pPr>
                </w:p>
              </w:tc>
              <w:tc>
                <w:tcPr>
                  <w:tcW w:w="2441" w:type="pct"/>
                  <w:gridSpan w:val="9"/>
                  <w:tcBorders>
                    <w:tl2br w:val="nil"/>
                    <w:tr2bl w:val="nil"/>
                  </w:tcBorders>
                  <w:noWrap/>
                  <w:vAlign w:val="center"/>
                </w:tcPr>
                <w:p w14:paraId="3DD25C68">
                  <w:pPr>
                    <w:jc w:val="center"/>
                    <w:textAlignment w:val="center"/>
                    <w:rPr>
                      <w:b/>
                      <w:bCs/>
                      <w:color w:val="auto"/>
                      <w:kern w:val="0"/>
                    </w:rPr>
                  </w:pPr>
                  <w:r>
                    <w:rPr>
                      <w:b/>
                      <w:bCs/>
                      <w:color w:val="auto"/>
                      <w:kern w:val="0"/>
                    </w:rPr>
                    <w:t>工业大气污染源构成类别</w:t>
                  </w:r>
                </w:p>
              </w:tc>
            </w:tr>
            <w:tr w14:paraId="5AEEA30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479" w:type="pct"/>
                  <w:vMerge w:val="continue"/>
                  <w:tcBorders>
                    <w:tl2br w:val="nil"/>
                    <w:tr2bl w:val="nil"/>
                  </w:tcBorders>
                  <w:noWrap/>
                  <w:vAlign w:val="center"/>
                </w:tcPr>
                <w:p w14:paraId="3A548165">
                  <w:pPr>
                    <w:jc w:val="center"/>
                    <w:textAlignment w:val="center"/>
                    <w:rPr>
                      <w:b/>
                      <w:bCs/>
                      <w:color w:val="auto"/>
                      <w:kern w:val="0"/>
                    </w:rPr>
                  </w:pPr>
                </w:p>
              </w:tc>
              <w:tc>
                <w:tcPr>
                  <w:tcW w:w="2079" w:type="pct"/>
                  <w:vMerge w:val="continue"/>
                  <w:tcBorders>
                    <w:tl2br w:val="nil"/>
                    <w:tr2bl w:val="nil"/>
                  </w:tcBorders>
                  <w:noWrap/>
                  <w:vAlign w:val="center"/>
                </w:tcPr>
                <w:p w14:paraId="552E60F5">
                  <w:pPr>
                    <w:jc w:val="center"/>
                    <w:textAlignment w:val="center"/>
                    <w:rPr>
                      <w:b/>
                      <w:bCs/>
                      <w:color w:val="auto"/>
                      <w:kern w:val="0"/>
                    </w:rPr>
                  </w:pPr>
                </w:p>
              </w:tc>
              <w:tc>
                <w:tcPr>
                  <w:tcW w:w="280" w:type="pct"/>
                  <w:tcBorders>
                    <w:tl2br w:val="nil"/>
                    <w:tr2bl w:val="nil"/>
                  </w:tcBorders>
                  <w:noWrap/>
                  <w:vAlign w:val="center"/>
                </w:tcPr>
                <w:p w14:paraId="23A17648">
                  <w:pPr>
                    <w:jc w:val="center"/>
                    <w:textAlignment w:val="center"/>
                    <w:rPr>
                      <w:color w:val="auto"/>
                      <w:kern w:val="0"/>
                    </w:rPr>
                  </w:pPr>
                  <w:r>
                    <w:rPr>
                      <w:color w:val="auto"/>
                      <w:kern w:val="0"/>
                    </w:rPr>
                    <w:t>Ⅰ</w:t>
                  </w:r>
                </w:p>
              </w:tc>
              <w:tc>
                <w:tcPr>
                  <w:tcW w:w="300" w:type="pct"/>
                  <w:tcBorders>
                    <w:tl2br w:val="nil"/>
                    <w:tr2bl w:val="nil"/>
                  </w:tcBorders>
                  <w:noWrap/>
                  <w:vAlign w:val="center"/>
                </w:tcPr>
                <w:p w14:paraId="79FC0A24">
                  <w:pPr>
                    <w:jc w:val="center"/>
                    <w:textAlignment w:val="center"/>
                    <w:rPr>
                      <w:color w:val="auto"/>
                      <w:kern w:val="0"/>
                    </w:rPr>
                  </w:pPr>
                  <w:r>
                    <w:rPr>
                      <w:color w:val="auto"/>
                      <w:kern w:val="0"/>
                    </w:rPr>
                    <w:t>Ⅱ</w:t>
                  </w:r>
                </w:p>
              </w:tc>
              <w:tc>
                <w:tcPr>
                  <w:tcW w:w="253" w:type="pct"/>
                  <w:tcBorders>
                    <w:tl2br w:val="nil"/>
                    <w:tr2bl w:val="nil"/>
                  </w:tcBorders>
                  <w:noWrap/>
                  <w:vAlign w:val="center"/>
                </w:tcPr>
                <w:p w14:paraId="2C164A1E">
                  <w:pPr>
                    <w:jc w:val="center"/>
                    <w:textAlignment w:val="center"/>
                    <w:rPr>
                      <w:color w:val="auto"/>
                      <w:kern w:val="0"/>
                    </w:rPr>
                  </w:pPr>
                  <w:r>
                    <w:rPr>
                      <w:color w:val="auto"/>
                      <w:kern w:val="0"/>
                    </w:rPr>
                    <w:t>Ⅲ</w:t>
                  </w:r>
                </w:p>
              </w:tc>
              <w:tc>
                <w:tcPr>
                  <w:tcW w:w="294" w:type="pct"/>
                  <w:tcBorders>
                    <w:tl2br w:val="nil"/>
                    <w:tr2bl w:val="nil"/>
                  </w:tcBorders>
                  <w:noWrap/>
                  <w:vAlign w:val="center"/>
                </w:tcPr>
                <w:p w14:paraId="331DD196">
                  <w:pPr>
                    <w:jc w:val="center"/>
                    <w:textAlignment w:val="center"/>
                    <w:rPr>
                      <w:color w:val="auto"/>
                      <w:kern w:val="0"/>
                    </w:rPr>
                  </w:pPr>
                  <w:r>
                    <w:rPr>
                      <w:color w:val="auto"/>
                      <w:kern w:val="0"/>
                    </w:rPr>
                    <w:t>Ⅰ</w:t>
                  </w:r>
                </w:p>
              </w:tc>
              <w:tc>
                <w:tcPr>
                  <w:tcW w:w="311" w:type="pct"/>
                  <w:tcBorders>
                    <w:tl2br w:val="nil"/>
                    <w:tr2bl w:val="nil"/>
                  </w:tcBorders>
                  <w:noWrap/>
                  <w:vAlign w:val="center"/>
                </w:tcPr>
                <w:p w14:paraId="3261FC7A">
                  <w:pPr>
                    <w:jc w:val="center"/>
                    <w:textAlignment w:val="center"/>
                    <w:rPr>
                      <w:color w:val="auto"/>
                      <w:kern w:val="0"/>
                    </w:rPr>
                  </w:pPr>
                  <w:r>
                    <w:rPr>
                      <w:color w:val="auto"/>
                      <w:kern w:val="0"/>
                    </w:rPr>
                    <w:t>Ⅱ</w:t>
                  </w:r>
                </w:p>
              </w:tc>
              <w:tc>
                <w:tcPr>
                  <w:tcW w:w="284" w:type="pct"/>
                  <w:tcBorders>
                    <w:tl2br w:val="nil"/>
                    <w:tr2bl w:val="nil"/>
                  </w:tcBorders>
                  <w:noWrap/>
                  <w:vAlign w:val="center"/>
                </w:tcPr>
                <w:p w14:paraId="69DA5B42">
                  <w:pPr>
                    <w:jc w:val="center"/>
                    <w:textAlignment w:val="center"/>
                    <w:rPr>
                      <w:color w:val="auto"/>
                      <w:kern w:val="0"/>
                    </w:rPr>
                  </w:pPr>
                  <w:r>
                    <w:rPr>
                      <w:color w:val="auto"/>
                      <w:kern w:val="0"/>
                    </w:rPr>
                    <w:t>Ⅲ</w:t>
                  </w:r>
                </w:p>
              </w:tc>
              <w:tc>
                <w:tcPr>
                  <w:tcW w:w="203" w:type="pct"/>
                  <w:tcBorders>
                    <w:tl2br w:val="nil"/>
                    <w:tr2bl w:val="nil"/>
                  </w:tcBorders>
                  <w:noWrap/>
                  <w:vAlign w:val="center"/>
                </w:tcPr>
                <w:p w14:paraId="3F257127">
                  <w:pPr>
                    <w:jc w:val="center"/>
                    <w:textAlignment w:val="center"/>
                    <w:rPr>
                      <w:color w:val="auto"/>
                      <w:kern w:val="0"/>
                    </w:rPr>
                  </w:pPr>
                  <w:r>
                    <w:rPr>
                      <w:color w:val="auto"/>
                      <w:kern w:val="0"/>
                    </w:rPr>
                    <w:t>Ⅰ</w:t>
                  </w:r>
                </w:p>
              </w:tc>
              <w:tc>
                <w:tcPr>
                  <w:tcW w:w="268" w:type="pct"/>
                  <w:tcBorders>
                    <w:tl2br w:val="nil"/>
                    <w:tr2bl w:val="nil"/>
                  </w:tcBorders>
                  <w:noWrap/>
                  <w:vAlign w:val="center"/>
                </w:tcPr>
                <w:p w14:paraId="2A6E6F23">
                  <w:pPr>
                    <w:jc w:val="center"/>
                    <w:textAlignment w:val="center"/>
                    <w:rPr>
                      <w:color w:val="auto"/>
                      <w:kern w:val="0"/>
                    </w:rPr>
                  </w:pPr>
                  <w:r>
                    <w:rPr>
                      <w:color w:val="auto"/>
                      <w:kern w:val="0"/>
                    </w:rPr>
                    <w:t>Ⅱ</w:t>
                  </w:r>
                </w:p>
              </w:tc>
              <w:tc>
                <w:tcPr>
                  <w:tcW w:w="244" w:type="pct"/>
                  <w:tcBorders>
                    <w:tl2br w:val="nil"/>
                    <w:tr2bl w:val="nil"/>
                  </w:tcBorders>
                  <w:noWrap/>
                  <w:vAlign w:val="center"/>
                </w:tcPr>
                <w:p w14:paraId="05B02CB1">
                  <w:pPr>
                    <w:jc w:val="center"/>
                    <w:textAlignment w:val="center"/>
                    <w:rPr>
                      <w:color w:val="auto"/>
                      <w:kern w:val="0"/>
                    </w:rPr>
                  </w:pPr>
                  <w:r>
                    <w:rPr>
                      <w:color w:val="auto"/>
                      <w:kern w:val="0"/>
                    </w:rPr>
                    <w:t>Ⅲ</w:t>
                  </w:r>
                </w:p>
              </w:tc>
            </w:tr>
            <w:tr w14:paraId="2D7CC1B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479" w:type="pct"/>
                  <w:vMerge w:val="restart"/>
                  <w:tcBorders>
                    <w:tl2br w:val="nil"/>
                    <w:tr2bl w:val="nil"/>
                  </w:tcBorders>
                  <w:noWrap/>
                  <w:vAlign w:val="center"/>
                </w:tcPr>
                <w:p w14:paraId="639C4CE0">
                  <w:pPr>
                    <w:jc w:val="center"/>
                    <w:textAlignment w:val="center"/>
                    <w:rPr>
                      <w:color w:val="auto"/>
                      <w:kern w:val="0"/>
                    </w:rPr>
                  </w:pPr>
                  <w:r>
                    <w:rPr>
                      <w:color w:val="auto"/>
                      <w:kern w:val="0"/>
                    </w:rPr>
                    <w:t>A</w:t>
                  </w:r>
                </w:p>
              </w:tc>
              <w:tc>
                <w:tcPr>
                  <w:tcW w:w="2079" w:type="pct"/>
                  <w:tcBorders>
                    <w:tl2br w:val="nil"/>
                    <w:tr2bl w:val="nil"/>
                  </w:tcBorders>
                  <w:noWrap/>
                  <w:vAlign w:val="center"/>
                </w:tcPr>
                <w:p w14:paraId="4D34A778">
                  <w:pPr>
                    <w:jc w:val="center"/>
                    <w:textAlignment w:val="center"/>
                    <w:rPr>
                      <w:color w:val="auto"/>
                      <w:kern w:val="0"/>
                    </w:rPr>
                  </w:pPr>
                  <w:r>
                    <w:rPr>
                      <w:color w:val="auto"/>
                      <w:kern w:val="0"/>
                    </w:rPr>
                    <w:t>&lt;2</w:t>
                  </w:r>
                </w:p>
              </w:tc>
              <w:tc>
                <w:tcPr>
                  <w:tcW w:w="280" w:type="pct"/>
                  <w:tcBorders>
                    <w:tl2br w:val="nil"/>
                    <w:tr2bl w:val="nil"/>
                  </w:tcBorders>
                  <w:noWrap/>
                  <w:vAlign w:val="center"/>
                </w:tcPr>
                <w:p w14:paraId="0678F852">
                  <w:pPr>
                    <w:jc w:val="center"/>
                    <w:textAlignment w:val="center"/>
                    <w:rPr>
                      <w:color w:val="auto"/>
                      <w:kern w:val="0"/>
                    </w:rPr>
                  </w:pPr>
                  <w:r>
                    <w:rPr>
                      <w:color w:val="auto"/>
                      <w:kern w:val="0"/>
                    </w:rPr>
                    <w:t>400</w:t>
                  </w:r>
                </w:p>
              </w:tc>
              <w:tc>
                <w:tcPr>
                  <w:tcW w:w="300" w:type="pct"/>
                  <w:tcBorders>
                    <w:tl2br w:val="nil"/>
                    <w:tr2bl w:val="nil"/>
                  </w:tcBorders>
                  <w:noWrap/>
                  <w:vAlign w:val="center"/>
                </w:tcPr>
                <w:p w14:paraId="4D705380">
                  <w:pPr>
                    <w:jc w:val="center"/>
                    <w:textAlignment w:val="center"/>
                    <w:rPr>
                      <w:color w:val="auto"/>
                      <w:kern w:val="0"/>
                    </w:rPr>
                  </w:pPr>
                  <w:r>
                    <w:rPr>
                      <w:color w:val="auto"/>
                      <w:kern w:val="0"/>
                    </w:rPr>
                    <w:t>400</w:t>
                  </w:r>
                </w:p>
              </w:tc>
              <w:tc>
                <w:tcPr>
                  <w:tcW w:w="253" w:type="pct"/>
                  <w:tcBorders>
                    <w:tl2br w:val="nil"/>
                    <w:tr2bl w:val="nil"/>
                  </w:tcBorders>
                  <w:noWrap/>
                  <w:vAlign w:val="center"/>
                </w:tcPr>
                <w:p w14:paraId="305B82BD">
                  <w:pPr>
                    <w:jc w:val="center"/>
                    <w:textAlignment w:val="center"/>
                    <w:rPr>
                      <w:color w:val="auto"/>
                      <w:kern w:val="0"/>
                    </w:rPr>
                  </w:pPr>
                  <w:r>
                    <w:rPr>
                      <w:color w:val="auto"/>
                      <w:kern w:val="0"/>
                    </w:rPr>
                    <w:t>400</w:t>
                  </w:r>
                </w:p>
              </w:tc>
              <w:tc>
                <w:tcPr>
                  <w:tcW w:w="294" w:type="pct"/>
                  <w:tcBorders>
                    <w:tl2br w:val="nil"/>
                    <w:tr2bl w:val="nil"/>
                  </w:tcBorders>
                  <w:noWrap/>
                  <w:vAlign w:val="center"/>
                </w:tcPr>
                <w:p w14:paraId="3DCA5964">
                  <w:pPr>
                    <w:jc w:val="center"/>
                    <w:textAlignment w:val="center"/>
                    <w:rPr>
                      <w:color w:val="auto"/>
                      <w:kern w:val="0"/>
                    </w:rPr>
                  </w:pPr>
                  <w:r>
                    <w:rPr>
                      <w:color w:val="auto"/>
                      <w:kern w:val="0"/>
                    </w:rPr>
                    <w:t>400</w:t>
                  </w:r>
                </w:p>
              </w:tc>
              <w:tc>
                <w:tcPr>
                  <w:tcW w:w="311" w:type="pct"/>
                  <w:tcBorders>
                    <w:tl2br w:val="nil"/>
                    <w:tr2bl w:val="nil"/>
                  </w:tcBorders>
                  <w:noWrap/>
                  <w:vAlign w:val="center"/>
                </w:tcPr>
                <w:p w14:paraId="5E3B6FC6">
                  <w:pPr>
                    <w:jc w:val="center"/>
                    <w:textAlignment w:val="center"/>
                    <w:rPr>
                      <w:color w:val="auto"/>
                      <w:kern w:val="0"/>
                    </w:rPr>
                  </w:pPr>
                  <w:r>
                    <w:rPr>
                      <w:color w:val="auto"/>
                      <w:kern w:val="0"/>
                    </w:rPr>
                    <w:t>400</w:t>
                  </w:r>
                </w:p>
              </w:tc>
              <w:tc>
                <w:tcPr>
                  <w:tcW w:w="284" w:type="pct"/>
                  <w:tcBorders>
                    <w:tl2br w:val="nil"/>
                    <w:tr2bl w:val="nil"/>
                  </w:tcBorders>
                  <w:noWrap/>
                  <w:vAlign w:val="center"/>
                </w:tcPr>
                <w:p w14:paraId="4141958D">
                  <w:pPr>
                    <w:jc w:val="center"/>
                    <w:textAlignment w:val="center"/>
                    <w:rPr>
                      <w:color w:val="auto"/>
                      <w:kern w:val="0"/>
                    </w:rPr>
                  </w:pPr>
                  <w:r>
                    <w:rPr>
                      <w:color w:val="auto"/>
                      <w:kern w:val="0"/>
                    </w:rPr>
                    <w:t>400</w:t>
                  </w:r>
                </w:p>
              </w:tc>
              <w:tc>
                <w:tcPr>
                  <w:tcW w:w="203" w:type="pct"/>
                  <w:tcBorders>
                    <w:tl2br w:val="nil"/>
                    <w:tr2bl w:val="nil"/>
                  </w:tcBorders>
                  <w:noWrap/>
                  <w:vAlign w:val="center"/>
                </w:tcPr>
                <w:p w14:paraId="4B3F3E4D">
                  <w:pPr>
                    <w:jc w:val="center"/>
                    <w:textAlignment w:val="center"/>
                    <w:rPr>
                      <w:color w:val="auto"/>
                      <w:kern w:val="0"/>
                    </w:rPr>
                  </w:pPr>
                  <w:r>
                    <w:rPr>
                      <w:color w:val="auto"/>
                      <w:kern w:val="0"/>
                    </w:rPr>
                    <w:t>80</w:t>
                  </w:r>
                </w:p>
              </w:tc>
              <w:tc>
                <w:tcPr>
                  <w:tcW w:w="268" w:type="pct"/>
                  <w:tcBorders>
                    <w:tl2br w:val="nil"/>
                    <w:tr2bl w:val="nil"/>
                  </w:tcBorders>
                  <w:noWrap/>
                  <w:vAlign w:val="center"/>
                </w:tcPr>
                <w:p w14:paraId="60D2FA1F">
                  <w:pPr>
                    <w:jc w:val="center"/>
                    <w:textAlignment w:val="center"/>
                    <w:rPr>
                      <w:color w:val="auto"/>
                      <w:kern w:val="0"/>
                    </w:rPr>
                  </w:pPr>
                  <w:r>
                    <w:rPr>
                      <w:color w:val="auto"/>
                      <w:kern w:val="0"/>
                    </w:rPr>
                    <w:t>80</w:t>
                  </w:r>
                </w:p>
              </w:tc>
              <w:tc>
                <w:tcPr>
                  <w:tcW w:w="244" w:type="pct"/>
                  <w:tcBorders>
                    <w:tl2br w:val="nil"/>
                    <w:tr2bl w:val="nil"/>
                  </w:tcBorders>
                  <w:noWrap/>
                  <w:vAlign w:val="center"/>
                </w:tcPr>
                <w:p w14:paraId="3CB8FE4C">
                  <w:pPr>
                    <w:jc w:val="center"/>
                    <w:textAlignment w:val="center"/>
                    <w:rPr>
                      <w:color w:val="auto"/>
                      <w:kern w:val="0"/>
                    </w:rPr>
                  </w:pPr>
                  <w:r>
                    <w:rPr>
                      <w:color w:val="auto"/>
                      <w:kern w:val="0"/>
                    </w:rPr>
                    <w:t>80</w:t>
                  </w:r>
                </w:p>
              </w:tc>
            </w:tr>
            <w:tr w14:paraId="20D42B1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479" w:type="pct"/>
                  <w:vMerge w:val="continue"/>
                  <w:tcBorders>
                    <w:tl2br w:val="nil"/>
                    <w:tr2bl w:val="nil"/>
                  </w:tcBorders>
                  <w:noWrap/>
                  <w:vAlign w:val="center"/>
                </w:tcPr>
                <w:p w14:paraId="2981F9CF">
                  <w:pPr>
                    <w:jc w:val="center"/>
                    <w:textAlignment w:val="center"/>
                    <w:rPr>
                      <w:color w:val="auto"/>
                      <w:kern w:val="0"/>
                    </w:rPr>
                  </w:pPr>
                </w:p>
              </w:tc>
              <w:tc>
                <w:tcPr>
                  <w:tcW w:w="2079" w:type="pct"/>
                  <w:tcBorders>
                    <w:tl2br w:val="nil"/>
                    <w:tr2bl w:val="nil"/>
                  </w:tcBorders>
                  <w:noWrap/>
                  <w:vAlign w:val="center"/>
                </w:tcPr>
                <w:p w14:paraId="0D368F63">
                  <w:pPr>
                    <w:jc w:val="center"/>
                    <w:textAlignment w:val="center"/>
                    <w:rPr>
                      <w:color w:val="auto"/>
                      <w:kern w:val="0"/>
                    </w:rPr>
                  </w:pPr>
                  <w:r>
                    <w:rPr>
                      <w:color w:val="auto"/>
                      <w:kern w:val="0"/>
                    </w:rPr>
                    <w:t>2~4</w:t>
                  </w:r>
                </w:p>
              </w:tc>
              <w:tc>
                <w:tcPr>
                  <w:tcW w:w="280" w:type="pct"/>
                  <w:tcBorders>
                    <w:tl2br w:val="nil"/>
                    <w:tr2bl w:val="nil"/>
                  </w:tcBorders>
                  <w:noWrap/>
                  <w:vAlign w:val="center"/>
                </w:tcPr>
                <w:p w14:paraId="62B8AF5B">
                  <w:pPr>
                    <w:jc w:val="center"/>
                    <w:textAlignment w:val="center"/>
                    <w:rPr>
                      <w:color w:val="auto"/>
                      <w:kern w:val="0"/>
                    </w:rPr>
                  </w:pPr>
                  <w:r>
                    <w:rPr>
                      <w:color w:val="auto"/>
                      <w:kern w:val="0"/>
                    </w:rPr>
                    <w:t>700</w:t>
                  </w:r>
                </w:p>
              </w:tc>
              <w:tc>
                <w:tcPr>
                  <w:tcW w:w="300" w:type="pct"/>
                  <w:tcBorders>
                    <w:tl2br w:val="nil"/>
                    <w:tr2bl w:val="nil"/>
                  </w:tcBorders>
                  <w:noWrap/>
                  <w:vAlign w:val="center"/>
                </w:tcPr>
                <w:p w14:paraId="21E70F03">
                  <w:pPr>
                    <w:jc w:val="center"/>
                    <w:textAlignment w:val="center"/>
                    <w:rPr>
                      <w:color w:val="auto"/>
                      <w:kern w:val="0"/>
                    </w:rPr>
                  </w:pPr>
                  <w:r>
                    <w:rPr>
                      <w:color w:val="auto"/>
                      <w:kern w:val="0"/>
                    </w:rPr>
                    <w:t>470</w:t>
                  </w:r>
                </w:p>
              </w:tc>
              <w:tc>
                <w:tcPr>
                  <w:tcW w:w="253" w:type="pct"/>
                  <w:tcBorders>
                    <w:tl2br w:val="nil"/>
                    <w:tr2bl w:val="nil"/>
                  </w:tcBorders>
                  <w:noWrap/>
                  <w:vAlign w:val="center"/>
                </w:tcPr>
                <w:p w14:paraId="34E3E368">
                  <w:pPr>
                    <w:jc w:val="center"/>
                    <w:textAlignment w:val="center"/>
                    <w:rPr>
                      <w:color w:val="auto"/>
                      <w:kern w:val="0"/>
                    </w:rPr>
                  </w:pPr>
                  <w:r>
                    <w:rPr>
                      <w:color w:val="auto"/>
                      <w:kern w:val="0"/>
                    </w:rPr>
                    <w:t>350</w:t>
                  </w:r>
                </w:p>
              </w:tc>
              <w:tc>
                <w:tcPr>
                  <w:tcW w:w="294" w:type="pct"/>
                  <w:tcBorders>
                    <w:tl2br w:val="nil"/>
                    <w:tr2bl w:val="nil"/>
                  </w:tcBorders>
                  <w:noWrap/>
                  <w:vAlign w:val="center"/>
                </w:tcPr>
                <w:p w14:paraId="02608C60">
                  <w:pPr>
                    <w:jc w:val="center"/>
                    <w:textAlignment w:val="center"/>
                    <w:rPr>
                      <w:color w:val="auto"/>
                      <w:kern w:val="0"/>
                    </w:rPr>
                  </w:pPr>
                  <w:r>
                    <w:rPr>
                      <w:color w:val="auto"/>
                      <w:kern w:val="0"/>
                    </w:rPr>
                    <w:t>700</w:t>
                  </w:r>
                </w:p>
              </w:tc>
              <w:tc>
                <w:tcPr>
                  <w:tcW w:w="311" w:type="pct"/>
                  <w:tcBorders>
                    <w:tl2br w:val="nil"/>
                    <w:tr2bl w:val="nil"/>
                  </w:tcBorders>
                  <w:noWrap/>
                  <w:vAlign w:val="center"/>
                </w:tcPr>
                <w:p w14:paraId="518D300F">
                  <w:pPr>
                    <w:jc w:val="center"/>
                    <w:textAlignment w:val="center"/>
                    <w:rPr>
                      <w:color w:val="auto"/>
                      <w:kern w:val="0"/>
                    </w:rPr>
                  </w:pPr>
                  <w:r>
                    <w:rPr>
                      <w:color w:val="auto"/>
                      <w:kern w:val="0"/>
                    </w:rPr>
                    <w:t>470</w:t>
                  </w:r>
                </w:p>
              </w:tc>
              <w:tc>
                <w:tcPr>
                  <w:tcW w:w="284" w:type="pct"/>
                  <w:tcBorders>
                    <w:tl2br w:val="nil"/>
                    <w:tr2bl w:val="nil"/>
                  </w:tcBorders>
                  <w:noWrap/>
                  <w:vAlign w:val="center"/>
                </w:tcPr>
                <w:p w14:paraId="1FC822C7">
                  <w:pPr>
                    <w:jc w:val="center"/>
                    <w:textAlignment w:val="center"/>
                    <w:rPr>
                      <w:color w:val="auto"/>
                      <w:kern w:val="0"/>
                    </w:rPr>
                  </w:pPr>
                  <w:r>
                    <w:rPr>
                      <w:color w:val="auto"/>
                      <w:kern w:val="0"/>
                    </w:rPr>
                    <w:t>350</w:t>
                  </w:r>
                </w:p>
              </w:tc>
              <w:tc>
                <w:tcPr>
                  <w:tcW w:w="203" w:type="pct"/>
                  <w:tcBorders>
                    <w:tl2br w:val="nil"/>
                    <w:tr2bl w:val="nil"/>
                  </w:tcBorders>
                  <w:noWrap/>
                  <w:vAlign w:val="center"/>
                </w:tcPr>
                <w:p w14:paraId="4DCD1FB3">
                  <w:pPr>
                    <w:jc w:val="center"/>
                    <w:textAlignment w:val="center"/>
                    <w:rPr>
                      <w:color w:val="auto"/>
                      <w:kern w:val="0"/>
                    </w:rPr>
                  </w:pPr>
                  <w:r>
                    <w:rPr>
                      <w:color w:val="auto"/>
                      <w:kern w:val="0"/>
                    </w:rPr>
                    <w:t>380</w:t>
                  </w:r>
                </w:p>
              </w:tc>
              <w:tc>
                <w:tcPr>
                  <w:tcW w:w="268" w:type="pct"/>
                  <w:tcBorders>
                    <w:tl2br w:val="nil"/>
                    <w:tr2bl w:val="nil"/>
                  </w:tcBorders>
                  <w:noWrap/>
                  <w:vAlign w:val="center"/>
                </w:tcPr>
                <w:p w14:paraId="3A171B64">
                  <w:pPr>
                    <w:jc w:val="center"/>
                    <w:textAlignment w:val="center"/>
                    <w:rPr>
                      <w:color w:val="auto"/>
                      <w:kern w:val="0"/>
                    </w:rPr>
                  </w:pPr>
                  <w:r>
                    <w:rPr>
                      <w:color w:val="auto"/>
                      <w:kern w:val="0"/>
                    </w:rPr>
                    <w:t>250</w:t>
                  </w:r>
                </w:p>
              </w:tc>
              <w:tc>
                <w:tcPr>
                  <w:tcW w:w="244" w:type="pct"/>
                  <w:tcBorders>
                    <w:tl2br w:val="nil"/>
                    <w:tr2bl w:val="nil"/>
                  </w:tcBorders>
                  <w:noWrap/>
                  <w:vAlign w:val="center"/>
                </w:tcPr>
                <w:p w14:paraId="49BDB7B6">
                  <w:pPr>
                    <w:jc w:val="center"/>
                    <w:textAlignment w:val="center"/>
                    <w:rPr>
                      <w:color w:val="auto"/>
                      <w:kern w:val="0"/>
                    </w:rPr>
                  </w:pPr>
                  <w:r>
                    <w:rPr>
                      <w:color w:val="auto"/>
                      <w:kern w:val="0"/>
                    </w:rPr>
                    <w:t>190</w:t>
                  </w:r>
                </w:p>
              </w:tc>
            </w:tr>
            <w:tr w14:paraId="67BBFC6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479" w:type="pct"/>
                  <w:vMerge w:val="continue"/>
                  <w:tcBorders>
                    <w:tl2br w:val="nil"/>
                    <w:tr2bl w:val="nil"/>
                  </w:tcBorders>
                  <w:noWrap/>
                  <w:vAlign w:val="center"/>
                </w:tcPr>
                <w:p w14:paraId="3622CAA8">
                  <w:pPr>
                    <w:jc w:val="center"/>
                    <w:textAlignment w:val="center"/>
                    <w:rPr>
                      <w:color w:val="auto"/>
                      <w:kern w:val="0"/>
                    </w:rPr>
                  </w:pPr>
                </w:p>
              </w:tc>
              <w:tc>
                <w:tcPr>
                  <w:tcW w:w="2079" w:type="pct"/>
                  <w:tcBorders>
                    <w:tl2br w:val="nil"/>
                    <w:tr2bl w:val="nil"/>
                  </w:tcBorders>
                  <w:noWrap/>
                  <w:vAlign w:val="center"/>
                </w:tcPr>
                <w:p w14:paraId="077FDD8E">
                  <w:pPr>
                    <w:jc w:val="center"/>
                    <w:textAlignment w:val="center"/>
                    <w:rPr>
                      <w:color w:val="auto"/>
                      <w:kern w:val="0"/>
                    </w:rPr>
                  </w:pPr>
                  <w:r>
                    <w:rPr>
                      <w:color w:val="auto"/>
                      <w:kern w:val="0"/>
                    </w:rPr>
                    <w:t>&gt;4</w:t>
                  </w:r>
                </w:p>
              </w:tc>
              <w:tc>
                <w:tcPr>
                  <w:tcW w:w="280" w:type="pct"/>
                  <w:tcBorders>
                    <w:tl2br w:val="nil"/>
                    <w:tr2bl w:val="nil"/>
                  </w:tcBorders>
                  <w:noWrap/>
                  <w:vAlign w:val="center"/>
                </w:tcPr>
                <w:p w14:paraId="5809C510">
                  <w:pPr>
                    <w:jc w:val="center"/>
                    <w:textAlignment w:val="center"/>
                    <w:rPr>
                      <w:color w:val="auto"/>
                      <w:kern w:val="0"/>
                    </w:rPr>
                  </w:pPr>
                  <w:r>
                    <w:rPr>
                      <w:color w:val="auto"/>
                      <w:kern w:val="0"/>
                    </w:rPr>
                    <w:t>530</w:t>
                  </w:r>
                </w:p>
              </w:tc>
              <w:tc>
                <w:tcPr>
                  <w:tcW w:w="300" w:type="pct"/>
                  <w:tcBorders>
                    <w:tl2br w:val="nil"/>
                    <w:tr2bl w:val="nil"/>
                  </w:tcBorders>
                  <w:noWrap/>
                  <w:vAlign w:val="center"/>
                </w:tcPr>
                <w:p w14:paraId="2AC89EB7">
                  <w:pPr>
                    <w:jc w:val="center"/>
                    <w:textAlignment w:val="center"/>
                    <w:rPr>
                      <w:color w:val="auto"/>
                      <w:kern w:val="0"/>
                    </w:rPr>
                  </w:pPr>
                  <w:r>
                    <w:rPr>
                      <w:color w:val="auto"/>
                      <w:kern w:val="0"/>
                    </w:rPr>
                    <w:t>350</w:t>
                  </w:r>
                </w:p>
              </w:tc>
              <w:tc>
                <w:tcPr>
                  <w:tcW w:w="253" w:type="pct"/>
                  <w:tcBorders>
                    <w:tl2br w:val="nil"/>
                    <w:tr2bl w:val="nil"/>
                  </w:tcBorders>
                  <w:noWrap/>
                  <w:vAlign w:val="center"/>
                </w:tcPr>
                <w:p w14:paraId="75AC827A">
                  <w:pPr>
                    <w:jc w:val="center"/>
                    <w:textAlignment w:val="center"/>
                    <w:rPr>
                      <w:color w:val="auto"/>
                      <w:kern w:val="0"/>
                    </w:rPr>
                  </w:pPr>
                  <w:r>
                    <w:rPr>
                      <w:color w:val="auto"/>
                      <w:kern w:val="0"/>
                    </w:rPr>
                    <w:t>260</w:t>
                  </w:r>
                </w:p>
              </w:tc>
              <w:tc>
                <w:tcPr>
                  <w:tcW w:w="294" w:type="pct"/>
                  <w:tcBorders>
                    <w:tl2br w:val="nil"/>
                    <w:tr2bl w:val="nil"/>
                  </w:tcBorders>
                  <w:noWrap/>
                  <w:vAlign w:val="center"/>
                </w:tcPr>
                <w:p w14:paraId="4EF83FD3">
                  <w:pPr>
                    <w:jc w:val="center"/>
                    <w:textAlignment w:val="center"/>
                    <w:rPr>
                      <w:color w:val="auto"/>
                      <w:kern w:val="0"/>
                    </w:rPr>
                  </w:pPr>
                  <w:r>
                    <w:rPr>
                      <w:color w:val="auto"/>
                      <w:kern w:val="0"/>
                    </w:rPr>
                    <w:t>530</w:t>
                  </w:r>
                </w:p>
              </w:tc>
              <w:tc>
                <w:tcPr>
                  <w:tcW w:w="311" w:type="pct"/>
                  <w:tcBorders>
                    <w:tl2br w:val="nil"/>
                    <w:tr2bl w:val="nil"/>
                  </w:tcBorders>
                  <w:noWrap/>
                  <w:vAlign w:val="center"/>
                </w:tcPr>
                <w:p w14:paraId="20DEF745">
                  <w:pPr>
                    <w:jc w:val="center"/>
                    <w:textAlignment w:val="center"/>
                    <w:rPr>
                      <w:color w:val="auto"/>
                      <w:kern w:val="0"/>
                    </w:rPr>
                  </w:pPr>
                  <w:r>
                    <w:rPr>
                      <w:color w:val="auto"/>
                      <w:kern w:val="0"/>
                    </w:rPr>
                    <w:t>350</w:t>
                  </w:r>
                </w:p>
              </w:tc>
              <w:tc>
                <w:tcPr>
                  <w:tcW w:w="284" w:type="pct"/>
                  <w:tcBorders>
                    <w:tl2br w:val="nil"/>
                    <w:tr2bl w:val="nil"/>
                  </w:tcBorders>
                  <w:noWrap/>
                  <w:vAlign w:val="center"/>
                </w:tcPr>
                <w:p w14:paraId="4133DFDB">
                  <w:pPr>
                    <w:jc w:val="center"/>
                    <w:textAlignment w:val="center"/>
                    <w:rPr>
                      <w:color w:val="auto"/>
                      <w:kern w:val="0"/>
                    </w:rPr>
                  </w:pPr>
                  <w:r>
                    <w:rPr>
                      <w:color w:val="auto"/>
                      <w:kern w:val="0"/>
                    </w:rPr>
                    <w:t>260</w:t>
                  </w:r>
                </w:p>
              </w:tc>
              <w:tc>
                <w:tcPr>
                  <w:tcW w:w="203" w:type="pct"/>
                  <w:tcBorders>
                    <w:tl2br w:val="nil"/>
                    <w:tr2bl w:val="nil"/>
                  </w:tcBorders>
                  <w:noWrap/>
                  <w:vAlign w:val="center"/>
                </w:tcPr>
                <w:p w14:paraId="1B580E90">
                  <w:pPr>
                    <w:jc w:val="center"/>
                    <w:textAlignment w:val="center"/>
                    <w:rPr>
                      <w:color w:val="auto"/>
                      <w:kern w:val="0"/>
                    </w:rPr>
                  </w:pPr>
                  <w:r>
                    <w:rPr>
                      <w:color w:val="auto"/>
                      <w:kern w:val="0"/>
                    </w:rPr>
                    <w:t>290</w:t>
                  </w:r>
                </w:p>
              </w:tc>
              <w:tc>
                <w:tcPr>
                  <w:tcW w:w="268" w:type="pct"/>
                  <w:tcBorders>
                    <w:tl2br w:val="nil"/>
                    <w:tr2bl w:val="nil"/>
                  </w:tcBorders>
                  <w:noWrap/>
                  <w:vAlign w:val="center"/>
                </w:tcPr>
                <w:p w14:paraId="482F0A9A">
                  <w:pPr>
                    <w:jc w:val="center"/>
                    <w:textAlignment w:val="center"/>
                    <w:rPr>
                      <w:color w:val="auto"/>
                      <w:kern w:val="0"/>
                    </w:rPr>
                  </w:pPr>
                  <w:r>
                    <w:rPr>
                      <w:color w:val="auto"/>
                      <w:kern w:val="0"/>
                    </w:rPr>
                    <w:t>190</w:t>
                  </w:r>
                </w:p>
              </w:tc>
              <w:tc>
                <w:tcPr>
                  <w:tcW w:w="244" w:type="pct"/>
                  <w:tcBorders>
                    <w:tl2br w:val="nil"/>
                    <w:tr2bl w:val="nil"/>
                  </w:tcBorders>
                  <w:noWrap/>
                  <w:vAlign w:val="center"/>
                </w:tcPr>
                <w:p w14:paraId="0486E79E">
                  <w:pPr>
                    <w:jc w:val="center"/>
                    <w:textAlignment w:val="center"/>
                    <w:rPr>
                      <w:color w:val="auto"/>
                      <w:kern w:val="0"/>
                    </w:rPr>
                  </w:pPr>
                  <w:r>
                    <w:rPr>
                      <w:color w:val="auto"/>
                      <w:kern w:val="0"/>
                    </w:rPr>
                    <w:t>140</w:t>
                  </w:r>
                </w:p>
              </w:tc>
            </w:tr>
            <w:tr w14:paraId="6BFCB49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479" w:type="pct"/>
                  <w:vMerge w:val="restart"/>
                  <w:tcBorders>
                    <w:tl2br w:val="nil"/>
                    <w:tr2bl w:val="nil"/>
                  </w:tcBorders>
                  <w:noWrap/>
                  <w:vAlign w:val="center"/>
                </w:tcPr>
                <w:p w14:paraId="0A2433B7">
                  <w:pPr>
                    <w:jc w:val="center"/>
                    <w:textAlignment w:val="center"/>
                    <w:rPr>
                      <w:color w:val="auto"/>
                      <w:kern w:val="0"/>
                    </w:rPr>
                  </w:pPr>
                  <w:r>
                    <w:rPr>
                      <w:color w:val="auto"/>
                      <w:kern w:val="0"/>
                    </w:rPr>
                    <w:t>B</w:t>
                  </w:r>
                </w:p>
              </w:tc>
              <w:tc>
                <w:tcPr>
                  <w:tcW w:w="2079" w:type="pct"/>
                  <w:tcBorders>
                    <w:tl2br w:val="nil"/>
                    <w:tr2bl w:val="nil"/>
                  </w:tcBorders>
                  <w:noWrap/>
                  <w:vAlign w:val="center"/>
                </w:tcPr>
                <w:p w14:paraId="65A6BCC4">
                  <w:pPr>
                    <w:jc w:val="center"/>
                    <w:textAlignment w:val="center"/>
                    <w:rPr>
                      <w:color w:val="auto"/>
                      <w:kern w:val="0"/>
                    </w:rPr>
                  </w:pPr>
                  <w:r>
                    <w:rPr>
                      <w:color w:val="auto"/>
                      <w:kern w:val="0"/>
                    </w:rPr>
                    <w:t>&lt;2</w:t>
                  </w:r>
                </w:p>
              </w:tc>
              <w:tc>
                <w:tcPr>
                  <w:tcW w:w="834" w:type="pct"/>
                  <w:gridSpan w:val="3"/>
                  <w:tcBorders>
                    <w:tl2br w:val="nil"/>
                    <w:tr2bl w:val="nil"/>
                  </w:tcBorders>
                  <w:noWrap/>
                  <w:vAlign w:val="center"/>
                </w:tcPr>
                <w:p w14:paraId="5B9BF17E">
                  <w:pPr>
                    <w:jc w:val="center"/>
                    <w:textAlignment w:val="center"/>
                    <w:rPr>
                      <w:color w:val="auto"/>
                      <w:kern w:val="0"/>
                    </w:rPr>
                  </w:pPr>
                  <w:r>
                    <w:rPr>
                      <w:color w:val="auto"/>
                      <w:kern w:val="0"/>
                    </w:rPr>
                    <w:t>0.01</w:t>
                  </w:r>
                </w:p>
              </w:tc>
              <w:tc>
                <w:tcPr>
                  <w:tcW w:w="890" w:type="pct"/>
                  <w:gridSpan w:val="3"/>
                  <w:tcBorders>
                    <w:tl2br w:val="nil"/>
                    <w:tr2bl w:val="nil"/>
                  </w:tcBorders>
                  <w:noWrap/>
                  <w:vAlign w:val="center"/>
                </w:tcPr>
                <w:p w14:paraId="57463E3F">
                  <w:pPr>
                    <w:jc w:val="center"/>
                    <w:textAlignment w:val="center"/>
                    <w:rPr>
                      <w:color w:val="auto"/>
                      <w:kern w:val="0"/>
                    </w:rPr>
                  </w:pPr>
                  <w:r>
                    <w:rPr>
                      <w:color w:val="auto"/>
                      <w:kern w:val="0"/>
                    </w:rPr>
                    <w:t>0.015</w:t>
                  </w:r>
                </w:p>
              </w:tc>
              <w:tc>
                <w:tcPr>
                  <w:tcW w:w="716" w:type="pct"/>
                  <w:gridSpan w:val="3"/>
                  <w:tcBorders>
                    <w:tl2br w:val="nil"/>
                    <w:tr2bl w:val="nil"/>
                  </w:tcBorders>
                  <w:noWrap/>
                  <w:vAlign w:val="center"/>
                </w:tcPr>
                <w:p w14:paraId="3B23783A">
                  <w:pPr>
                    <w:jc w:val="center"/>
                    <w:textAlignment w:val="center"/>
                    <w:rPr>
                      <w:color w:val="auto"/>
                      <w:kern w:val="0"/>
                    </w:rPr>
                  </w:pPr>
                  <w:r>
                    <w:rPr>
                      <w:color w:val="auto"/>
                      <w:kern w:val="0"/>
                    </w:rPr>
                    <w:t>0.015</w:t>
                  </w:r>
                </w:p>
              </w:tc>
            </w:tr>
            <w:tr w14:paraId="40C3C11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479" w:type="pct"/>
                  <w:vMerge w:val="continue"/>
                  <w:tcBorders>
                    <w:tl2br w:val="nil"/>
                    <w:tr2bl w:val="nil"/>
                  </w:tcBorders>
                  <w:noWrap/>
                  <w:vAlign w:val="center"/>
                </w:tcPr>
                <w:p w14:paraId="2F0A969A">
                  <w:pPr>
                    <w:jc w:val="center"/>
                    <w:textAlignment w:val="center"/>
                    <w:rPr>
                      <w:color w:val="auto"/>
                      <w:kern w:val="0"/>
                    </w:rPr>
                  </w:pPr>
                </w:p>
              </w:tc>
              <w:tc>
                <w:tcPr>
                  <w:tcW w:w="2079" w:type="pct"/>
                  <w:tcBorders>
                    <w:tl2br w:val="nil"/>
                    <w:tr2bl w:val="nil"/>
                  </w:tcBorders>
                  <w:noWrap/>
                  <w:vAlign w:val="center"/>
                </w:tcPr>
                <w:p w14:paraId="4F574B03">
                  <w:pPr>
                    <w:jc w:val="center"/>
                    <w:textAlignment w:val="center"/>
                    <w:rPr>
                      <w:color w:val="auto"/>
                      <w:kern w:val="0"/>
                    </w:rPr>
                  </w:pPr>
                  <w:r>
                    <w:rPr>
                      <w:color w:val="auto"/>
                      <w:kern w:val="0"/>
                    </w:rPr>
                    <w:t>&gt;2</w:t>
                  </w:r>
                </w:p>
              </w:tc>
              <w:tc>
                <w:tcPr>
                  <w:tcW w:w="834" w:type="pct"/>
                  <w:gridSpan w:val="3"/>
                  <w:tcBorders>
                    <w:tl2br w:val="nil"/>
                    <w:tr2bl w:val="nil"/>
                  </w:tcBorders>
                  <w:noWrap/>
                  <w:vAlign w:val="center"/>
                </w:tcPr>
                <w:p w14:paraId="72A80C29">
                  <w:pPr>
                    <w:jc w:val="center"/>
                    <w:textAlignment w:val="center"/>
                    <w:rPr>
                      <w:color w:val="auto"/>
                      <w:kern w:val="0"/>
                    </w:rPr>
                  </w:pPr>
                  <w:r>
                    <w:rPr>
                      <w:color w:val="auto"/>
                      <w:kern w:val="0"/>
                    </w:rPr>
                    <w:t>0.021</w:t>
                  </w:r>
                </w:p>
              </w:tc>
              <w:tc>
                <w:tcPr>
                  <w:tcW w:w="890" w:type="pct"/>
                  <w:gridSpan w:val="3"/>
                  <w:tcBorders>
                    <w:tl2br w:val="nil"/>
                    <w:tr2bl w:val="nil"/>
                  </w:tcBorders>
                  <w:noWrap/>
                  <w:vAlign w:val="center"/>
                </w:tcPr>
                <w:p w14:paraId="7EC87F78">
                  <w:pPr>
                    <w:jc w:val="center"/>
                    <w:textAlignment w:val="center"/>
                    <w:rPr>
                      <w:color w:val="auto"/>
                      <w:kern w:val="0"/>
                    </w:rPr>
                  </w:pPr>
                  <w:r>
                    <w:rPr>
                      <w:color w:val="auto"/>
                      <w:kern w:val="0"/>
                    </w:rPr>
                    <w:t>0.036</w:t>
                  </w:r>
                </w:p>
              </w:tc>
              <w:tc>
                <w:tcPr>
                  <w:tcW w:w="716" w:type="pct"/>
                  <w:gridSpan w:val="3"/>
                  <w:tcBorders>
                    <w:tl2br w:val="nil"/>
                    <w:tr2bl w:val="nil"/>
                  </w:tcBorders>
                  <w:noWrap/>
                  <w:vAlign w:val="center"/>
                </w:tcPr>
                <w:p w14:paraId="5515D21F">
                  <w:pPr>
                    <w:jc w:val="center"/>
                    <w:textAlignment w:val="center"/>
                    <w:rPr>
                      <w:color w:val="auto"/>
                      <w:kern w:val="0"/>
                    </w:rPr>
                  </w:pPr>
                  <w:r>
                    <w:rPr>
                      <w:color w:val="auto"/>
                      <w:kern w:val="0"/>
                    </w:rPr>
                    <w:t>0.036</w:t>
                  </w:r>
                </w:p>
              </w:tc>
            </w:tr>
            <w:tr w14:paraId="32A52E4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479" w:type="pct"/>
                  <w:vMerge w:val="restart"/>
                  <w:tcBorders>
                    <w:tl2br w:val="nil"/>
                    <w:tr2bl w:val="nil"/>
                  </w:tcBorders>
                  <w:noWrap/>
                  <w:vAlign w:val="center"/>
                </w:tcPr>
                <w:p w14:paraId="5E8D82D9">
                  <w:pPr>
                    <w:jc w:val="center"/>
                    <w:textAlignment w:val="center"/>
                    <w:rPr>
                      <w:color w:val="auto"/>
                      <w:kern w:val="0"/>
                    </w:rPr>
                  </w:pPr>
                  <w:r>
                    <w:rPr>
                      <w:color w:val="auto"/>
                      <w:kern w:val="0"/>
                    </w:rPr>
                    <w:t>C</w:t>
                  </w:r>
                </w:p>
              </w:tc>
              <w:tc>
                <w:tcPr>
                  <w:tcW w:w="2079" w:type="pct"/>
                  <w:tcBorders>
                    <w:tl2br w:val="nil"/>
                    <w:tr2bl w:val="nil"/>
                  </w:tcBorders>
                  <w:noWrap/>
                  <w:vAlign w:val="center"/>
                </w:tcPr>
                <w:p w14:paraId="201477AF">
                  <w:pPr>
                    <w:jc w:val="center"/>
                    <w:textAlignment w:val="center"/>
                    <w:rPr>
                      <w:color w:val="auto"/>
                      <w:kern w:val="0"/>
                    </w:rPr>
                  </w:pPr>
                  <w:r>
                    <w:rPr>
                      <w:color w:val="auto"/>
                      <w:kern w:val="0"/>
                    </w:rPr>
                    <w:t>&lt;2</w:t>
                  </w:r>
                </w:p>
              </w:tc>
              <w:tc>
                <w:tcPr>
                  <w:tcW w:w="834" w:type="pct"/>
                  <w:gridSpan w:val="3"/>
                  <w:tcBorders>
                    <w:tl2br w:val="nil"/>
                    <w:tr2bl w:val="nil"/>
                  </w:tcBorders>
                  <w:noWrap/>
                  <w:vAlign w:val="center"/>
                </w:tcPr>
                <w:p w14:paraId="0AE35D04">
                  <w:pPr>
                    <w:jc w:val="center"/>
                    <w:textAlignment w:val="center"/>
                    <w:rPr>
                      <w:color w:val="auto"/>
                      <w:kern w:val="0"/>
                    </w:rPr>
                  </w:pPr>
                  <w:r>
                    <w:rPr>
                      <w:color w:val="auto"/>
                      <w:kern w:val="0"/>
                    </w:rPr>
                    <w:t>1.85</w:t>
                  </w:r>
                </w:p>
              </w:tc>
              <w:tc>
                <w:tcPr>
                  <w:tcW w:w="890" w:type="pct"/>
                  <w:gridSpan w:val="3"/>
                  <w:tcBorders>
                    <w:tl2br w:val="nil"/>
                    <w:tr2bl w:val="nil"/>
                  </w:tcBorders>
                  <w:noWrap/>
                  <w:vAlign w:val="center"/>
                </w:tcPr>
                <w:p w14:paraId="73A7ED91">
                  <w:pPr>
                    <w:jc w:val="center"/>
                    <w:textAlignment w:val="center"/>
                    <w:rPr>
                      <w:color w:val="auto"/>
                      <w:kern w:val="0"/>
                    </w:rPr>
                  </w:pPr>
                  <w:r>
                    <w:rPr>
                      <w:color w:val="auto"/>
                      <w:kern w:val="0"/>
                    </w:rPr>
                    <w:t>1.79</w:t>
                  </w:r>
                </w:p>
              </w:tc>
              <w:tc>
                <w:tcPr>
                  <w:tcW w:w="716" w:type="pct"/>
                  <w:gridSpan w:val="3"/>
                  <w:tcBorders>
                    <w:tl2br w:val="nil"/>
                    <w:tr2bl w:val="nil"/>
                  </w:tcBorders>
                  <w:noWrap/>
                  <w:vAlign w:val="center"/>
                </w:tcPr>
                <w:p w14:paraId="2EF04AB1">
                  <w:pPr>
                    <w:jc w:val="center"/>
                    <w:textAlignment w:val="center"/>
                    <w:rPr>
                      <w:color w:val="auto"/>
                      <w:kern w:val="0"/>
                    </w:rPr>
                  </w:pPr>
                  <w:r>
                    <w:rPr>
                      <w:color w:val="auto"/>
                      <w:kern w:val="0"/>
                    </w:rPr>
                    <w:t>1.79</w:t>
                  </w:r>
                </w:p>
              </w:tc>
            </w:tr>
            <w:tr w14:paraId="66C8F76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479" w:type="pct"/>
                  <w:vMerge w:val="continue"/>
                  <w:tcBorders>
                    <w:tl2br w:val="nil"/>
                    <w:tr2bl w:val="nil"/>
                  </w:tcBorders>
                  <w:noWrap/>
                  <w:vAlign w:val="center"/>
                </w:tcPr>
                <w:p w14:paraId="2C54B9B3">
                  <w:pPr>
                    <w:jc w:val="center"/>
                    <w:textAlignment w:val="center"/>
                    <w:rPr>
                      <w:color w:val="auto"/>
                      <w:kern w:val="0"/>
                    </w:rPr>
                  </w:pPr>
                </w:p>
              </w:tc>
              <w:tc>
                <w:tcPr>
                  <w:tcW w:w="2079" w:type="pct"/>
                  <w:tcBorders>
                    <w:tl2br w:val="nil"/>
                    <w:tr2bl w:val="nil"/>
                  </w:tcBorders>
                  <w:noWrap/>
                  <w:vAlign w:val="center"/>
                </w:tcPr>
                <w:p w14:paraId="30B44288">
                  <w:pPr>
                    <w:jc w:val="center"/>
                    <w:textAlignment w:val="center"/>
                    <w:rPr>
                      <w:color w:val="auto"/>
                      <w:kern w:val="0"/>
                    </w:rPr>
                  </w:pPr>
                  <w:r>
                    <w:rPr>
                      <w:color w:val="auto"/>
                      <w:kern w:val="0"/>
                    </w:rPr>
                    <w:t>&gt;2</w:t>
                  </w:r>
                </w:p>
              </w:tc>
              <w:tc>
                <w:tcPr>
                  <w:tcW w:w="834" w:type="pct"/>
                  <w:gridSpan w:val="3"/>
                  <w:tcBorders>
                    <w:tl2br w:val="nil"/>
                    <w:tr2bl w:val="nil"/>
                  </w:tcBorders>
                  <w:noWrap/>
                  <w:vAlign w:val="center"/>
                </w:tcPr>
                <w:p w14:paraId="6E97E916">
                  <w:pPr>
                    <w:jc w:val="center"/>
                    <w:textAlignment w:val="center"/>
                    <w:rPr>
                      <w:color w:val="auto"/>
                      <w:kern w:val="0"/>
                    </w:rPr>
                  </w:pPr>
                  <w:r>
                    <w:rPr>
                      <w:color w:val="auto"/>
                      <w:kern w:val="0"/>
                    </w:rPr>
                    <w:t>1.85</w:t>
                  </w:r>
                </w:p>
              </w:tc>
              <w:tc>
                <w:tcPr>
                  <w:tcW w:w="890" w:type="pct"/>
                  <w:gridSpan w:val="3"/>
                  <w:tcBorders>
                    <w:tl2br w:val="nil"/>
                    <w:tr2bl w:val="nil"/>
                  </w:tcBorders>
                  <w:noWrap/>
                  <w:vAlign w:val="center"/>
                </w:tcPr>
                <w:p w14:paraId="765C2A73">
                  <w:pPr>
                    <w:jc w:val="center"/>
                    <w:textAlignment w:val="center"/>
                    <w:rPr>
                      <w:color w:val="auto"/>
                      <w:kern w:val="0"/>
                    </w:rPr>
                  </w:pPr>
                  <w:r>
                    <w:rPr>
                      <w:color w:val="auto"/>
                      <w:kern w:val="0"/>
                    </w:rPr>
                    <w:t>1.77</w:t>
                  </w:r>
                </w:p>
              </w:tc>
              <w:tc>
                <w:tcPr>
                  <w:tcW w:w="716" w:type="pct"/>
                  <w:gridSpan w:val="3"/>
                  <w:tcBorders>
                    <w:tl2br w:val="nil"/>
                    <w:tr2bl w:val="nil"/>
                  </w:tcBorders>
                  <w:noWrap/>
                  <w:vAlign w:val="center"/>
                </w:tcPr>
                <w:p w14:paraId="580884C0">
                  <w:pPr>
                    <w:jc w:val="center"/>
                    <w:textAlignment w:val="center"/>
                    <w:rPr>
                      <w:color w:val="auto"/>
                      <w:kern w:val="0"/>
                    </w:rPr>
                  </w:pPr>
                  <w:r>
                    <w:rPr>
                      <w:color w:val="auto"/>
                      <w:kern w:val="0"/>
                    </w:rPr>
                    <w:t>1.77</w:t>
                  </w:r>
                </w:p>
              </w:tc>
            </w:tr>
            <w:tr w14:paraId="6B7E7553">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479" w:type="pct"/>
                  <w:vMerge w:val="restart"/>
                  <w:tcBorders>
                    <w:tl2br w:val="nil"/>
                    <w:tr2bl w:val="nil"/>
                  </w:tcBorders>
                  <w:noWrap/>
                  <w:vAlign w:val="center"/>
                </w:tcPr>
                <w:p w14:paraId="10085968">
                  <w:pPr>
                    <w:jc w:val="center"/>
                    <w:textAlignment w:val="center"/>
                    <w:rPr>
                      <w:color w:val="auto"/>
                      <w:kern w:val="0"/>
                    </w:rPr>
                  </w:pPr>
                  <w:r>
                    <w:rPr>
                      <w:color w:val="auto"/>
                      <w:kern w:val="0"/>
                    </w:rPr>
                    <w:t>D</w:t>
                  </w:r>
                </w:p>
              </w:tc>
              <w:tc>
                <w:tcPr>
                  <w:tcW w:w="2079" w:type="pct"/>
                  <w:tcBorders>
                    <w:tl2br w:val="nil"/>
                    <w:tr2bl w:val="nil"/>
                  </w:tcBorders>
                  <w:noWrap/>
                  <w:vAlign w:val="center"/>
                </w:tcPr>
                <w:p w14:paraId="4B00C397">
                  <w:pPr>
                    <w:jc w:val="center"/>
                    <w:textAlignment w:val="center"/>
                    <w:rPr>
                      <w:color w:val="auto"/>
                      <w:kern w:val="0"/>
                    </w:rPr>
                  </w:pPr>
                  <w:r>
                    <w:rPr>
                      <w:color w:val="auto"/>
                      <w:kern w:val="0"/>
                    </w:rPr>
                    <w:t>&lt;2</w:t>
                  </w:r>
                </w:p>
              </w:tc>
              <w:tc>
                <w:tcPr>
                  <w:tcW w:w="834" w:type="pct"/>
                  <w:gridSpan w:val="3"/>
                  <w:tcBorders>
                    <w:tl2br w:val="nil"/>
                    <w:tr2bl w:val="nil"/>
                  </w:tcBorders>
                  <w:noWrap/>
                  <w:vAlign w:val="center"/>
                </w:tcPr>
                <w:p w14:paraId="66EBE9DF">
                  <w:pPr>
                    <w:jc w:val="center"/>
                    <w:textAlignment w:val="center"/>
                    <w:rPr>
                      <w:color w:val="auto"/>
                      <w:kern w:val="0"/>
                    </w:rPr>
                  </w:pPr>
                  <w:r>
                    <w:rPr>
                      <w:color w:val="auto"/>
                      <w:kern w:val="0"/>
                    </w:rPr>
                    <w:t>0.78</w:t>
                  </w:r>
                </w:p>
              </w:tc>
              <w:tc>
                <w:tcPr>
                  <w:tcW w:w="890" w:type="pct"/>
                  <w:gridSpan w:val="3"/>
                  <w:tcBorders>
                    <w:tl2br w:val="nil"/>
                    <w:tr2bl w:val="nil"/>
                  </w:tcBorders>
                  <w:noWrap/>
                  <w:vAlign w:val="center"/>
                </w:tcPr>
                <w:p w14:paraId="7FD3E720">
                  <w:pPr>
                    <w:jc w:val="center"/>
                    <w:textAlignment w:val="center"/>
                    <w:rPr>
                      <w:color w:val="auto"/>
                      <w:kern w:val="0"/>
                    </w:rPr>
                  </w:pPr>
                  <w:r>
                    <w:rPr>
                      <w:color w:val="auto"/>
                      <w:kern w:val="0"/>
                    </w:rPr>
                    <w:t>0.78</w:t>
                  </w:r>
                </w:p>
              </w:tc>
              <w:tc>
                <w:tcPr>
                  <w:tcW w:w="716" w:type="pct"/>
                  <w:gridSpan w:val="3"/>
                  <w:tcBorders>
                    <w:tl2br w:val="nil"/>
                    <w:tr2bl w:val="nil"/>
                  </w:tcBorders>
                  <w:noWrap/>
                  <w:vAlign w:val="center"/>
                </w:tcPr>
                <w:p w14:paraId="08EB7B6C">
                  <w:pPr>
                    <w:jc w:val="center"/>
                    <w:textAlignment w:val="center"/>
                    <w:rPr>
                      <w:color w:val="auto"/>
                      <w:kern w:val="0"/>
                    </w:rPr>
                  </w:pPr>
                  <w:r>
                    <w:rPr>
                      <w:color w:val="auto"/>
                      <w:kern w:val="0"/>
                    </w:rPr>
                    <w:t>0.57</w:t>
                  </w:r>
                </w:p>
              </w:tc>
            </w:tr>
            <w:tr w14:paraId="2ABE448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479" w:type="pct"/>
                  <w:vMerge w:val="continue"/>
                  <w:tcBorders>
                    <w:tl2br w:val="nil"/>
                    <w:tr2bl w:val="nil"/>
                  </w:tcBorders>
                  <w:noWrap/>
                  <w:vAlign w:val="center"/>
                </w:tcPr>
                <w:p w14:paraId="0ABAF3FB">
                  <w:pPr>
                    <w:jc w:val="center"/>
                    <w:rPr>
                      <w:color w:val="auto"/>
                      <w:kern w:val="0"/>
                    </w:rPr>
                  </w:pPr>
                </w:p>
              </w:tc>
              <w:tc>
                <w:tcPr>
                  <w:tcW w:w="2079" w:type="pct"/>
                  <w:tcBorders>
                    <w:tl2br w:val="nil"/>
                    <w:tr2bl w:val="nil"/>
                  </w:tcBorders>
                  <w:noWrap/>
                  <w:vAlign w:val="center"/>
                </w:tcPr>
                <w:p w14:paraId="1E25A7F4">
                  <w:pPr>
                    <w:jc w:val="center"/>
                    <w:textAlignment w:val="center"/>
                    <w:rPr>
                      <w:color w:val="auto"/>
                      <w:kern w:val="0"/>
                    </w:rPr>
                  </w:pPr>
                  <w:r>
                    <w:rPr>
                      <w:color w:val="auto"/>
                      <w:kern w:val="0"/>
                    </w:rPr>
                    <w:t>&gt;2</w:t>
                  </w:r>
                </w:p>
              </w:tc>
              <w:tc>
                <w:tcPr>
                  <w:tcW w:w="834" w:type="pct"/>
                  <w:gridSpan w:val="3"/>
                  <w:tcBorders>
                    <w:tl2br w:val="nil"/>
                    <w:tr2bl w:val="nil"/>
                  </w:tcBorders>
                  <w:noWrap/>
                  <w:vAlign w:val="center"/>
                </w:tcPr>
                <w:p w14:paraId="0D2E745C">
                  <w:pPr>
                    <w:widowControl/>
                    <w:jc w:val="center"/>
                    <w:textAlignment w:val="bottom"/>
                    <w:rPr>
                      <w:color w:val="auto"/>
                      <w:kern w:val="0"/>
                    </w:rPr>
                  </w:pPr>
                  <w:r>
                    <w:rPr>
                      <w:color w:val="auto"/>
                      <w:kern w:val="0"/>
                    </w:rPr>
                    <w:t>0.84</w:t>
                  </w:r>
                </w:p>
              </w:tc>
              <w:tc>
                <w:tcPr>
                  <w:tcW w:w="890" w:type="pct"/>
                  <w:gridSpan w:val="3"/>
                  <w:tcBorders>
                    <w:tl2br w:val="nil"/>
                    <w:tr2bl w:val="nil"/>
                  </w:tcBorders>
                  <w:noWrap/>
                  <w:vAlign w:val="center"/>
                </w:tcPr>
                <w:p w14:paraId="2B1F6C4F">
                  <w:pPr>
                    <w:widowControl/>
                    <w:jc w:val="center"/>
                    <w:textAlignment w:val="bottom"/>
                    <w:rPr>
                      <w:color w:val="auto"/>
                      <w:kern w:val="0"/>
                    </w:rPr>
                  </w:pPr>
                  <w:r>
                    <w:rPr>
                      <w:color w:val="auto"/>
                      <w:kern w:val="0"/>
                    </w:rPr>
                    <w:t>0.84</w:t>
                  </w:r>
                </w:p>
              </w:tc>
              <w:tc>
                <w:tcPr>
                  <w:tcW w:w="716" w:type="pct"/>
                  <w:gridSpan w:val="3"/>
                  <w:tcBorders>
                    <w:tl2br w:val="nil"/>
                    <w:tr2bl w:val="nil"/>
                  </w:tcBorders>
                  <w:noWrap/>
                  <w:vAlign w:val="center"/>
                </w:tcPr>
                <w:p w14:paraId="1F0DB437">
                  <w:pPr>
                    <w:widowControl/>
                    <w:jc w:val="center"/>
                    <w:textAlignment w:val="bottom"/>
                    <w:rPr>
                      <w:color w:val="auto"/>
                      <w:kern w:val="0"/>
                    </w:rPr>
                  </w:pPr>
                  <w:r>
                    <w:rPr>
                      <w:color w:val="auto"/>
                      <w:kern w:val="0"/>
                    </w:rPr>
                    <w:t>0.76</w:t>
                  </w:r>
                </w:p>
              </w:tc>
            </w:tr>
          </w:tbl>
          <w:p w14:paraId="3D286C38">
            <w:pPr>
              <w:pStyle w:val="697"/>
              <w:adjustRightInd w:val="0"/>
              <w:snapToGrid w:val="0"/>
              <w:spacing w:line="360" w:lineRule="auto"/>
              <w:ind w:firstLine="420"/>
              <w:jc w:val="both"/>
              <w:rPr>
                <w:rFonts w:eastAsia="宋体"/>
                <w:bCs/>
                <w:color w:val="auto"/>
                <w:kern w:val="0"/>
                <w:sz w:val="21"/>
                <w:szCs w:val="21"/>
              </w:rPr>
            </w:pPr>
            <w:r>
              <w:rPr>
                <w:rFonts w:eastAsia="宋体"/>
                <w:color w:val="auto"/>
                <w:kern w:val="0"/>
                <w:sz w:val="21"/>
                <w:szCs w:val="21"/>
              </w:rPr>
              <w:t>按照表4-2核算的建设项目</w:t>
            </w:r>
            <w:r>
              <w:rPr>
                <w:rFonts w:hint="eastAsia" w:eastAsia="宋体"/>
                <w:color w:val="auto"/>
                <w:kern w:val="0"/>
                <w:sz w:val="21"/>
                <w:szCs w:val="21"/>
              </w:rPr>
              <w:t>废气</w:t>
            </w:r>
            <w:r>
              <w:rPr>
                <w:rFonts w:eastAsia="宋体"/>
                <w:color w:val="auto"/>
                <w:kern w:val="0"/>
                <w:sz w:val="21"/>
                <w:szCs w:val="21"/>
              </w:rPr>
              <w:t>无组织排放情况，</w:t>
            </w:r>
            <w:r>
              <w:rPr>
                <w:rFonts w:hint="eastAsia" w:eastAsia="宋体"/>
                <w:color w:val="auto"/>
                <w:kern w:val="0"/>
                <w:sz w:val="21"/>
                <w:szCs w:val="21"/>
              </w:rPr>
              <w:t>结合</w:t>
            </w:r>
            <w:r>
              <w:rPr>
                <w:rFonts w:hint="eastAsia" w:eastAsia="宋体"/>
                <w:bCs/>
                <w:color w:val="auto"/>
                <w:kern w:val="0"/>
                <w:sz w:val="21"/>
                <w:szCs w:val="21"/>
              </w:rPr>
              <w:t>上表</w:t>
            </w:r>
            <w:r>
              <w:rPr>
                <w:rFonts w:eastAsia="宋体"/>
                <w:bCs/>
                <w:color w:val="auto"/>
                <w:kern w:val="0"/>
                <w:sz w:val="21"/>
                <w:szCs w:val="21"/>
              </w:rPr>
              <w:t>计算系数计算得建设项目完成后全厂卫生防护距离见</w:t>
            </w:r>
            <w:r>
              <w:rPr>
                <w:rFonts w:hint="eastAsia" w:eastAsia="宋体"/>
                <w:bCs/>
                <w:color w:val="auto"/>
                <w:kern w:val="0"/>
                <w:sz w:val="21"/>
                <w:szCs w:val="21"/>
              </w:rPr>
              <w:t>下表</w:t>
            </w:r>
            <w:r>
              <w:rPr>
                <w:rFonts w:eastAsia="宋体"/>
                <w:bCs/>
                <w:color w:val="auto"/>
                <w:kern w:val="0"/>
                <w:sz w:val="21"/>
                <w:szCs w:val="21"/>
              </w:rPr>
              <w:t>。</w:t>
            </w:r>
          </w:p>
          <w:p w14:paraId="4A9A716E">
            <w:pPr>
              <w:pStyle w:val="697"/>
              <w:adjustRightInd w:val="0"/>
              <w:snapToGrid w:val="0"/>
              <w:spacing w:line="240" w:lineRule="auto"/>
              <w:ind w:firstLine="0" w:firstLineChars="0"/>
              <w:jc w:val="center"/>
              <w:rPr>
                <w:b/>
                <w:color w:val="auto"/>
                <w:kern w:val="0"/>
                <w:sz w:val="21"/>
                <w:szCs w:val="21"/>
              </w:rPr>
            </w:pPr>
            <w:r>
              <w:rPr>
                <w:rFonts w:eastAsia="宋体"/>
                <w:b/>
                <w:color w:val="auto"/>
                <w:kern w:val="0"/>
                <w:sz w:val="21"/>
                <w:szCs w:val="21"/>
              </w:rPr>
              <w:t>表4-1</w:t>
            </w:r>
            <w:r>
              <w:rPr>
                <w:rFonts w:hint="eastAsia" w:eastAsia="宋体"/>
                <w:b/>
                <w:color w:val="auto"/>
                <w:kern w:val="0"/>
                <w:sz w:val="21"/>
                <w:szCs w:val="21"/>
                <w:lang w:val="en-US" w:eastAsia="zh-CN"/>
              </w:rPr>
              <w:t>2</w:t>
            </w:r>
            <w:r>
              <w:rPr>
                <w:rFonts w:hint="eastAsia" w:eastAsia="宋体"/>
                <w:b/>
                <w:color w:val="auto"/>
                <w:kern w:val="0"/>
                <w:sz w:val="21"/>
                <w:szCs w:val="21"/>
              </w:rPr>
              <w:t xml:space="preserve">   </w:t>
            </w:r>
            <w:r>
              <w:rPr>
                <w:rFonts w:eastAsia="宋体"/>
                <w:b/>
                <w:color w:val="auto"/>
                <w:kern w:val="0"/>
                <w:sz w:val="21"/>
                <w:szCs w:val="21"/>
              </w:rPr>
              <w:t>卫生防护距离计算结果表</w:t>
            </w:r>
          </w:p>
          <w:tbl>
            <w:tblPr>
              <w:tblStyle w:val="59"/>
              <w:tblW w:w="4997"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0" w:type="dxa"/>
                <w:bottom w:w="0" w:type="dxa"/>
                <w:right w:w="0" w:type="dxa"/>
              </w:tblCellMar>
            </w:tblPr>
            <w:tblGrid>
              <w:gridCol w:w="1418"/>
              <w:gridCol w:w="844"/>
              <w:gridCol w:w="1271"/>
              <w:gridCol w:w="1020"/>
              <w:gridCol w:w="1231"/>
              <w:gridCol w:w="990"/>
              <w:gridCol w:w="1091"/>
              <w:gridCol w:w="991"/>
            </w:tblGrid>
            <w:tr w14:paraId="05F12C4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1418" w:type="dxa"/>
                  <w:tcBorders>
                    <w:tl2br w:val="nil"/>
                    <w:tr2bl w:val="nil"/>
                  </w:tcBorders>
                  <w:vAlign w:val="center"/>
                </w:tcPr>
                <w:p w14:paraId="3349AF2E">
                  <w:pPr>
                    <w:pStyle w:val="69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eastAsia="宋体"/>
                      <w:b/>
                      <w:color w:val="auto"/>
                      <w:kern w:val="0"/>
                      <w:sz w:val="21"/>
                      <w:szCs w:val="21"/>
                    </w:rPr>
                  </w:pPr>
                  <w:r>
                    <w:rPr>
                      <w:rFonts w:eastAsia="宋体"/>
                      <w:b/>
                      <w:color w:val="auto"/>
                      <w:kern w:val="0"/>
                      <w:sz w:val="21"/>
                      <w:szCs w:val="21"/>
                    </w:rPr>
                    <w:t>污染源</w:t>
                  </w:r>
                </w:p>
              </w:tc>
              <w:tc>
                <w:tcPr>
                  <w:tcW w:w="844" w:type="dxa"/>
                  <w:tcBorders>
                    <w:tl2br w:val="nil"/>
                    <w:tr2bl w:val="nil"/>
                  </w:tcBorders>
                  <w:vAlign w:val="center"/>
                </w:tcPr>
                <w:p w14:paraId="18F30944">
                  <w:pPr>
                    <w:pStyle w:val="69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eastAsia="宋体"/>
                      <w:b/>
                      <w:color w:val="auto"/>
                      <w:kern w:val="0"/>
                      <w:sz w:val="21"/>
                      <w:szCs w:val="21"/>
                    </w:rPr>
                  </w:pPr>
                  <w:r>
                    <w:rPr>
                      <w:rFonts w:eastAsia="宋体"/>
                      <w:b/>
                      <w:color w:val="auto"/>
                      <w:kern w:val="0"/>
                      <w:sz w:val="21"/>
                      <w:szCs w:val="21"/>
                    </w:rPr>
                    <w:t>污染源类型</w:t>
                  </w:r>
                </w:p>
              </w:tc>
              <w:tc>
                <w:tcPr>
                  <w:tcW w:w="1271" w:type="dxa"/>
                  <w:tcBorders>
                    <w:tl2br w:val="nil"/>
                    <w:tr2bl w:val="nil"/>
                  </w:tcBorders>
                  <w:vAlign w:val="center"/>
                </w:tcPr>
                <w:p w14:paraId="40B7C785">
                  <w:pPr>
                    <w:pStyle w:val="69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eastAsia="宋体"/>
                      <w:b/>
                      <w:color w:val="auto"/>
                      <w:kern w:val="0"/>
                      <w:sz w:val="21"/>
                      <w:szCs w:val="21"/>
                    </w:rPr>
                  </w:pPr>
                  <w:r>
                    <w:rPr>
                      <w:rFonts w:eastAsia="宋体"/>
                      <w:b/>
                      <w:color w:val="auto"/>
                      <w:kern w:val="0"/>
                      <w:sz w:val="21"/>
                      <w:szCs w:val="21"/>
                    </w:rPr>
                    <w:t>污染物</w:t>
                  </w:r>
                </w:p>
              </w:tc>
              <w:tc>
                <w:tcPr>
                  <w:tcW w:w="1020" w:type="dxa"/>
                  <w:tcBorders>
                    <w:tl2br w:val="nil"/>
                    <w:tr2bl w:val="nil"/>
                  </w:tcBorders>
                  <w:vAlign w:val="center"/>
                </w:tcPr>
                <w:p w14:paraId="1E3BD365">
                  <w:pPr>
                    <w:pStyle w:val="69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eastAsia="宋体"/>
                      <w:b/>
                      <w:color w:val="auto"/>
                      <w:kern w:val="0"/>
                      <w:sz w:val="21"/>
                      <w:szCs w:val="21"/>
                    </w:rPr>
                  </w:pPr>
                  <w:r>
                    <w:rPr>
                      <w:rFonts w:hint="eastAsia" w:eastAsia="宋体"/>
                      <w:b/>
                      <w:color w:val="auto"/>
                      <w:kern w:val="0"/>
                      <w:sz w:val="21"/>
                      <w:szCs w:val="21"/>
                    </w:rPr>
                    <w:t>产生速率kg/h</w:t>
                  </w:r>
                </w:p>
              </w:tc>
              <w:tc>
                <w:tcPr>
                  <w:tcW w:w="1231" w:type="dxa"/>
                  <w:tcBorders>
                    <w:tl2br w:val="nil"/>
                    <w:tr2bl w:val="nil"/>
                  </w:tcBorders>
                  <w:vAlign w:val="center"/>
                </w:tcPr>
                <w:p w14:paraId="2E26C1C0">
                  <w:pPr>
                    <w:pStyle w:val="69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eastAsia="宋体"/>
                      <w:b/>
                      <w:color w:val="auto"/>
                      <w:kern w:val="0"/>
                      <w:sz w:val="21"/>
                      <w:szCs w:val="21"/>
                    </w:rPr>
                  </w:pPr>
                  <w:r>
                    <w:rPr>
                      <w:rFonts w:hint="eastAsia" w:eastAsia="宋体"/>
                      <w:b/>
                      <w:color w:val="auto"/>
                      <w:kern w:val="0"/>
                      <w:sz w:val="21"/>
                      <w:szCs w:val="21"/>
                    </w:rPr>
                    <w:t>标准限值</w:t>
                  </w:r>
                  <w:r>
                    <w:rPr>
                      <w:rFonts w:eastAsia="宋体"/>
                      <w:b/>
                      <w:color w:val="auto"/>
                      <w:kern w:val="0"/>
                      <w:sz w:val="21"/>
                      <w:szCs w:val="21"/>
                    </w:rPr>
                    <w:t>（mg/m</w:t>
                  </w:r>
                  <w:r>
                    <w:rPr>
                      <w:rFonts w:eastAsia="宋体"/>
                      <w:b/>
                      <w:color w:val="auto"/>
                      <w:kern w:val="0"/>
                      <w:sz w:val="21"/>
                      <w:szCs w:val="21"/>
                      <w:vertAlign w:val="superscript"/>
                    </w:rPr>
                    <w:t>3</w:t>
                  </w:r>
                  <w:r>
                    <w:rPr>
                      <w:rFonts w:eastAsia="宋体"/>
                      <w:b/>
                      <w:color w:val="auto"/>
                      <w:kern w:val="0"/>
                      <w:sz w:val="21"/>
                      <w:szCs w:val="21"/>
                    </w:rPr>
                    <w:t>）</w:t>
                  </w:r>
                </w:p>
              </w:tc>
              <w:tc>
                <w:tcPr>
                  <w:tcW w:w="990" w:type="dxa"/>
                  <w:tcBorders>
                    <w:tl2br w:val="nil"/>
                    <w:tr2bl w:val="nil"/>
                  </w:tcBorders>
                  <w:vAlign w:val="center"/>
                </w:tcPr>
                <w:p w14:paraId="344D1E2C">
                  <w:pPr>
                    <w:pStyle w:val="69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eastAsia="宋体"/>
                      <w:b/>
                      <w:color w:val="auto"/>
                      <w:kern w:val="0"/>
                      <w:sz w:val="21"/>
                      <w:szCs w:val="21"/>
                    </w:rPr>
                  </w:pPr>
                  <w:r>
                    <w:rPr>
                      <w:rFonts w:eastAsia="宋体"/>
                      <w:b/>
                      <w:color w:val="auto"/>
                      <w:kern w:val="0"/>
                      <w:sz w:val="21"/>
                      <w:szCs w:val="21"/>
                    </w:rPr>
                    <w:t>计算值（m）</w:t>
                  </w:r>
                </w:p>
              </w:tc>
              <w:tc>
                <w:tcPr>
                  <w:tcW w:w="1091" w:type="dxa"/>
                  <w:tcBorders>
                    <w:tl2br w:val="nil"/>
                    <w:tr2bl w:val="nil"/>
                  </w:tcBorders>
                  <w:vAlign w:val="center"/>
                </w:tcPr>
                <w:p w14:paraId="6D8EDC09">
                  <w:pPr>
                    <w:pStyle w:val="69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eastAsia="宋体"/>
                      <w:b/>
                      <w:color w:val="auto"/>
                      <w:kern w:val="0"/>
                      <w:sz w:val="21"/>
                      <w:szCs w:val="21"/>
                    </w:rPr>
                  </w:pPr>
                  <w:r>
                    <w:rPr>
                      <w:rFonts w:eastAsia="宋体"/>
                      <w:b/>
                      <w:color w:val="auto"/>
                      <w:kern w:val="0"/>
                      <w:sz w:val="21"/>
                      <w:szCs w:val="21"/>
                    </w:rPr>
                    <w:t>卫生防护距离（m）</w:t>
                  </w:r>
                </w:p>
              </w:tc>
              <w:tc>
                <w:tcPr>
                  <w:tcW w:w="991" w:type="dxa"/>
                  <w:tcBorders>
                    <w:tl2br w:val="nil"/>
                    <w:tr2bl w:val="nil"/>
                  </w:tcBorders>
                  <w:vAlign w:val="center"/>
                </w:tcPr>
                <w:p w14:paraId="76C24010">
                  <w:pPr>
                    <w:pStyle w:val="69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eastAsia="宋体"/>
                      <w:b/>
                      <w:color w:val="auto"/>
                      <w:kern w:val="0"/>
                      <w:sz w:val="21"/>
                      <w:szCs w:val="21"/>
                    </w:rPr>
                  </w:pPr>
                  <w:r>
                    <w:rPr>
                      <w:rFonts w:eastAsia="宋体"/>
                      <w:b/>
                      <w:color w:val="auto"/>
                      <w:kern w:val="0"/>
                      <w:sz w:val="21"/>
                      <w:szCs w:val="21"/>
                    </w:rPr>
                    <w:t>提级后距离（m）</w:t>
                  </w:r>
                </w:p>
              </w:tc>
            </w:tr>
            <w:tr w14:paraId="2C481A5F">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90" w:hRule="atLeast"/>
                <w:jc w:val="center"/>
              </w:trPr>
              <w:tc>
                <w:tcPr>
                  <w:tcW w:w="1418" w:type="dxa"/>
                  <w:vMerge w:val="restart"/>
                  <w:tcBorders>
                    <w:tl2br w:val="nil"/>
                    <w:tr2bl w:val="nil"/>
                  </w:tcBorders>
                  <w:vAlign w:val="center"/>
                </w:tcPr>
                <w:p w14:paraId="261ADFC4">
                  <w:pPr>
                    <w:pStyle w:val="69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eastAsia="宋体"/>
                      <w:bCs/>
                      <w:color w:val="auto"/>
                      <w:kern w:val="0"/>
                      <w:sz w:val="21"/>
                      <w:szCs w:val="21"/>
                    </w:rPr>
                  </w:pPr>
                  <w:r>
                    <w:rPr>
                      <w:rFonts w:hint="eastAsia" w:eastAsia="宋体"/>
                      <w:bCs/>
                      <w:color w:val="auto"/>
                      <w:kern w:val="0"/>
                      <w:sz w:val="21"/>
                      <w:szCs w:val="21"/>
                      <w:lang w:val="en-US" w:eastAsia="zh-CN"/>
                    </w:rPr>
                    <w:t>生产</w:t>
                  </w:r>
                  <w:r>
                    <w:rPr>
                      <w:rFonts w:hint="eastAsia" w:eastAsia="宋体"/>
                      <w:bCs/>
                      <w:color w:val="auto"/>
                      <w:kern w:val="0"/>
                      <w:sz w:val="21"/>
                      <w:szCs w:val="21"/>
                    </w:rPr>
                    <w:t>车间</w:t>
                  </w:r>
                </w:p>
              </w:tc>
              <w:tc>
                <w:tcPr>
                  <w:tcW w:w="844" w:type="dxa"/>
                  <w:vMerge w:val="restart"/>
                  <w:tcBorders>
                    <w:tl2br w:val="nil"/>
                    <w:tr2bl w:val="nil"/>
                  </w:tcBorders>
                  <w:vAlign w:val="center"/>
                </w:tcPr>
                <w:p w14:paraId="0A55CA79">
                  <w:pPr>
                    <w:pStyle w:val="69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eastAsia="宋体"/>
                      <w:bCs/>
                      <w:color w:val="auto"/>
                      <w:kern w:val="0"/>
                      <w:sz w:val="21"/>
                      <w:szCs w:val="21"/>
                    </w:rPr>
                  </w:pPr>
                  <w:r>
                    <w:rPr>
                      <w:rFonts w:eastAsia="宋体"/>
                      <w:bCs/>
                      <w:color w:val="auto"/>
                      <w:kern w:val="0"/>
                      <w:sz w:val="21"/>
                      <w:szCs w:val="21"/>
                    </w:rPr>
                    <w:t>面源</w:t>
                  </w:r>
                </w:p>
              </w:tc>
              <w:tc>
                <w:tcPr>
                  <w:tcW w:w="1271" w:type="dxa"/>
                  <w:tcBorders>
                    <w:tl2br w:val="nil"/>
                    <w:tr2bl w:val="nil"/>
                  </w:tcBorders>
                  <w:vAlign w:val="center"/>
                </w:tcPr>
                <w:p w14:paraId="2942C4AA">
                  <w:pPr>
                    <w:keepNext w:val="0"/>
                    <w:keepLines w:val="0"/>
                    <w:pageBreakBefore w:val="0"/>
                    <w:widowControl w:val="0"/>
                    <w:kinsoku/>
                    <w:wordWrap/>
                    <w:overflowPunct/>
                    <w:topLinePunct w:val="0"/>
                    <w:autoSpaceDE/>
                    <w:autoSpaceDN/>
                    <w:bidi w:val="0"/>
                    <w:adjustRightInd w:val="0"/>
                    <w:snapToGrid w:val="0"/>
                    <w:jc w:val="center"/>
                    <w:textAlignment w:val="auto"/>
                    <w:rPr>
                      <w:color w:val="auto"/>
                      <w:kern w:val="0"/>
                    </w:rPr>
                  </w:pPr>
                  <w:r>
                    <w:rPr>
                      <w:rFonts w:hint="eastAsia"/>
                      <w:color w:val="auto"/>
                      <w:kern w:val="0"/>
                    </w:rPr>
                    <w:t>非甲烷总烃</w:t>
                  </w:r>
                </w:p>
              </w:tc>
              <w:tc>
                <w:tcPr>
                  <w:tcW w:w="1020" w:type="dxa"/>
                  <w:tcBorders>
                    <w:tl2br w:val="nil"/>
                    <w:tr2bl w:val="nil"/>
                  </w:tcBorders>
                  <w:vAlign w:val="center"/>
                </w:tcPr>
                <w:p w14:paraId="13A74FC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eastAsia="宋体"/>
                      <w:bCs/>
                      <w:color w:val="auto"/>
                      <w:kern w:val="0"/>
                      <w:lang w:val="en-US" w:eastAsia="zh-CN"/>
                    </w:rPr>
                  </w:pPr>
                  <w:r>
                    <w:rPr>
                      <w:rFonts w:hint="eastAsia"/>
                      <w:bCs/>
                      <w:color w:val="auto"/>
                      <w:kern w:val="0"/>
                      <w:lang w:val="en-US" w:eastAsia="zh-CN"/>
                    </w:rPr>
                    <w:t>0.007767</w:t>
                  </w:r>
                </w:p>
              </w:tc>
              <w:tc>
                <w:tcPr>
                  <w:tcW w:w="1231" w:type="dxa"/>
                  <w:tcBorders>
                    <w:tl2br w:val="nil"/>
                    <w:tr2bl w:val="nil"/>
                  </w:tcBorders>
                  <w:vAlign w:val="center"/>
                </w:tcPr>
                <w:p w14:paraId="701ECD45">
                  <w:pPr>
                    <w:keepNext w:val="0"/>
                    <w:keepLines w:val="0"/>
                    <w:pageBreakBefore w:val="0"/>
                    <w:widowControl w:val="0"/>
                    <w:kinsoku/>
                    <w:wordWrap/>
                    <w:overflowPunct/>
                    <w:topLinePunct w:val="0"/>
                    <w:autoSpaceDE/>
                    <w:autoSpaceDN/>
                    <w:bidi w:val="0"/>
                    <w:adjustRightInd w:val="0"/>
                    <w:snapToGrid w:val="0"/>
                    <w:jc w:val="center"/>
                    <w:textAlignment w:val="auto"/>
                    <w:rPr>
                      <w:bCs/>
                      <w:color w:val="auto"/>
                      <w:kern w:val="0"/>
                    </w:rPr>
                  </w:pPr>
                  <w:r>
                    <w:rPr>
                      <w:rFonts w:hint="eastAsia"/>
                      <w:bCs/>
                      <w:color w:val="auto"/>
                      <w:kern w:val="0"/>
                    </w:rPr>
                    <w:t>2.0</w:t>
                  </w:r>
                </w:p>
              </w:tc>
              <w:tc>
                <w:tcPr>
                  <w:tcW w:w="990" w:type="dxa"/>
                  <w:tcBorders>
                    <w:tl2br w:val="nil"/>
                    <w:tr2bl w:val="nil"/>
                  </w:tcBorders>
                  <w:vAlign w:val="center"/>
                </w:tcPr>
                <w:p w14:paraId="3350192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eastAsia="宋体"/>
                      <w:bCs/>
                      <w:color w:val="auto"/>
                      <w:kern w:val="0"/>
                      <w:lang w:val="en-US" w:eastAsia="zh-CN"/>
                    </w:rPr>
                  </w:pPr>
                  <w:r>
                    <w:rPr>
                      <w:rFonts w:hint="eastAsia"/>
                      <w:bCs/>
                      <w:color w:val="auto"/>
                      <w:kern w:val="0"/>
                      <w:lang w:val="en-US" w:eastAsia="zh-CN"/>
                    </w:rPr>
                    <w:t>0.059</w:t>
                  </w:r>
                </w:p>
              </w:tc>
              <w:tc>
                <w:tcPr>
                  <w:tcW w:w="1091" w:type="dxa"/>
                  <w:tcBorders>
                    <w:tl2br w:val="nil"/>
                    <w:tr2bl w:val="nil"/>
                  </w:tcBorders>
                  <w:vAlign w:val="center"/>
                </w:tcPr>
                <w:p w14:paraId="1E65FBF1">
                  <w:pPr>
                    <w:pStyle w:val="69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eastAsia="宋体"/>
                      <w:bCs/>
                      <w:color w:val="auto"/>
                      <w:kern w:val="0"/>
                      <w:sz w:val="21"/>
                      <w:szCs w:val="21"/>
                    </w:rPr>
                  </w:pPr>
                  <w:r>
                    <w:rPr>
                      <w:rFonts w:hint="eastAsia" w:eastAsia="宋体"/>
                      <w:bCs/>
                      <w:color w:val="auto"/>
                      <w:kern w:val="0"/>
                      <w:sz w:val="21"/>
                      <w:szCs w:val="21"/>
                    </w:rPr>
                    <w:t>50</w:t>
                  </w:r>
                </w:p>
              </w:tc>
              <w:tc>
                <w:tcPr>
                  <w:tcW w:w="991" w:type="dxa"/>
                  <w:vMerge w:val="restart"/>
                  <w:tcBorders>
                    <w:tl2br w:val="nil"/>
                    <w:tr2bl w:val="nil"/>
                  </w:tcBorders>
                  <w:vAlign w:val="center"/>
                </w:tcPr>
                <w:p w14:paraId="4B453F12">
                  <w:pPr>
                    <w:pStyle w:val="69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eastAsia="宋体"/>
                      <w:bCs/>
                      <w:color w:val="auto"/>
                      <w:kern w:val="0"/>
                      <w:sz w:val="21"/>
                      <w:szCs w:val="21"/>
                    </w:rPr>
                  </w:pPr>
                  <w:r>
                    <w:rPr>
                      <w:rFonts w:hint="eastAsia" w:eastAsia="宋体"/>
                      <w:bCs/>
                      <w:color w:val="auto"/>
                      <w:kern w:val="0"/>
                      <w:sz w:val="21"/>
                      <w:szCs w:val="21"/>
                    </w:rPr>
                    <w:t>100</w:t>
                  </w:r>
                </w:p>
              </w:tc>
            </w:tr>
            <w:tr w14:paraId="3982DEE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90" w:hRule="atLeast"/>
                <w:jc w:val="center"/>
              </w:trPr>
              <w:tc>
                <w:tcPr>
                  <w:tcW w:w="1418" w:type="dxa"/>
                  <w:vMerge w:val="continue"/>
                  <w:tcBorders>
                    <w:tl2br w:val="nil"/>
                    <w:tr2bl w:val="nil"/>
                  </w:tcBorders>
                  <w:vAlign w:val="center"/>
                </w:tcPr>
                <w:p w14:paraId="2BC80ADA">
                  <w:pPr>
                    <w:pStyle w:val="69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bCs/>
                      <w:color w:val="auto"/>
                      <w:kern w:val="0"/>
                      <w:sz w:val="21"/>
                      <w:szCs w:val="21"/>
                      <w:lang w:val="en-US" w:eastAsia="zh-CN"/>
                    </w:rPr>
                  </w:pPr>
                </w:p>
              </w:tc>
              <w:tc>
                <w:tcPr>
                  <w:tcW w:w="844" w:type="dxa"/>
                  <w:vMerge w:val="continue"/>
                  <w:tcBorders>
                    <w:tl2br w:val="nil"/>
                    <w:tr2bl w:val="nil"/>
                  </w:tcBorders>
                  <w:vAlign w:val="center"/>
                </w:tcPr>
                <w:p w14:paraId="126159E6">
                  <w:pPr>
                    <w:pStyle w:val="69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eastAsia="宋体"/>
                      <w:bCs/>
                      <w:color w:val="auto"/>
                      <w:kern w:val="0"/>
                      <w:sz w:val="21"/>
                      <w:szCs w:val="21"/>
                    </w:rPr>
                  </w:pPr>
                </w:p>
              </w:tc>
              <w:tc>
                <w:tcPr>
                  <w:tcW w:w="1271" w:type="dxa"/>
                  <w:tcBorders>
                    <w:tl2br w:val="nil"/>
                    <w:tr2bl w:val="nil"/>
                  </w:tcBorders>
                  <w:vAlign w:val="center"/>
                </w:tcPr>
                <w:p w14:paraId="0DFDB1EB">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eastAsia="宋体"/>
                      <w:color w:val="auto"/>
                      <w:kern w:val="0"/>
                      <w:lang w:val="en-US" w:eastAsia="zh-CN"/>
                    </w:rPr>
                  </w:pPr>
                  <w:r>
                    <w:rPr>
                      <w:rFonts w:hint="eastAsia"/>
                      <w:color w:val="auto"/>
                      <w:kern w:val="0"/>
                      <w:lang w:val="en-US" w:eastAsia="zh-CN"/>
                    </w:rPr>
                    <w:t>颗粒物</w:t>
                  </w:r>
                </w:p>
              </w:tc>
              <w:tc>
                <w:tcPr>
                  <w:tcW w:w="1020" w:type="dxa"/>
                  <w:tcBorders>
                    <w:tl2br w:val="nil"/>
                    <w:tr2bl w:val="nil"/>
                  </w:tcBorders>
                  <w:vAlign w:val="center"/>
                </w:tcPr>
                <w:p w14:paraId="0A04B58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bCs/>
                      <w:color w:val="auto"/>
                      <w:kern w:val="0"/>
                      <w:lang w:val="en-US" w:eastAsia="zh-CN"/>
                    </w:rPr>
                  </w:pPr>
                  <w:r>
                    <w:rPr>
                      <w:rFonts w:hint="eastAsia"/>
                      <w:bCs/>
                      <w:color w:val="auto"/>
                      <w:kern w:val="0"/>
                      <w:lang w:val="en-US" w:eastAsia="zh-CN"/>
                    </w:rPr>
                    <w:t>0.04053</w:t>
                  </w:r>
                </w:p>
              </w:tc>
              <w:tc>
                <w:tcPr>
                  <w:tcW w:w="1231" w:type="dxa"/>
                  <w:tcBorders>
                    <w:tl2br w:val="nil"/>
                    <w:tr2bl w:val="nil"/>
                  </w:tcBorders>
                  <w:vAlign w:val="center"/>
                </w:tcPr>
                <w:p w14:paraId="0FA5E75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eastAsia="宋体"/>
                      <w:bCs/>
                      <w:color w:val="auto"/>
                      <w:kern w:val="0"/>
                      <w:lang w:val="en-US" w:eastAsia="zh-CN"/>
                    </w:rPr>
                  </w:pPr>
                  <w:r>
                    <w:rPr>
                      <w:rFonts w:hint="eastAsia"/>
                      <w:bCs/>
                      <w:color w:val="auto"/>
                      <w:kern w:val="0"/>
                      <w:lang w:val="en-US" w:eastAsia="zh-CN"/>
                    </w:rPr>
                    <w:t>0.45</w:t>
                  </w:r>
                </w:p>
              </w:tc>
              <w:tc>
                <w:tcPr>
                  <w:tcW w:w="990" w:type="dxa"/>
                  <w:tcBorders>
                    <w:tl2br w:val="nil"/>
                    <w:tr2bl w:val="nil"/>
                  </w:tcBorders>
                  <w:vAlign w:val="center"/>
                </w:tcPr>
                <w:p w14:paraId="1DCBB62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bCs/>
                      <w:color w:val="auto"/>
                      <w:kern w:val="0"/>
                      <w:lang w:val="en-US" w:eastAsia="zh-CN"/>
                    </w:rPr>
                  </w:pPr>
                  <w:r>
                    <w:rPr>
                      <w:rFonts w:hint="eastAsia"/>
                      <w:bCs/>
                      <w:color w:val="auto"/>
                      <w:kern w:val="0"/>
                      <w:lang w:val="en-US" w:eastAsia="zh-CN"/>
                    </w:rPr>
                    <w:t>2.509</w:t>
                  </w:r>
                </w:p>
              </w:tc>
              <w:tc>
                <w:tcPr>
                  <w:tcW w:w="1091" w:type="dxa"/>
                  <w:tcBorders>
                    <w:tl2br w:val="nil"/>
                    <w:tr2bl w:val="nil"/>
                  </w:tcBorders>
                  <w:vAlign w:val="center"/>
                </w:tcPr>
                <w:p w14:paraId="1E669A80">
                  <w:pPr>
                    <w:pStyle w:val="69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bCs/>
                      <w:color w:val="auto"/>
                      <w:kern w:val="0"/>
                      <w:sz w:val="21"/>
                      <w:szCs w:val="21"/>
                      <w:lang w:val="en-US" w:eastAsia="zh-CN"/>
                    </w:rPr>
                  </w:pPr>
                  <w:r>
                    <w:rPr>
                      <w:rFonts w:hint="eastAsia" w:eastAsia="宋体"/>
                      <w:bCs/>
                      <w:color w:val="auto"/>
                      <w:kern w:val="0"/>
                      <w:sz w:val="21"/>
                      <w:szCs w:val="21"/>
                      <w:lang w:val="en-US" w:eastAsia="zh-CN"/>
                    </w:rPr>
                    <w:t>50</w:t>
                  </w:r>
                </w:p>
              </w:tc>
              <w:tc>
                <w:tcPr>
                  <w:tcW w:w="991" w:type="dxa"/>
                  <w:vMerge w:val="continue"/>
                  <w:tcBorders>
                    <w:tl2br w:val="nil"/>
                    <w:tr2bl w:val="nil"/>
                  </w:tcBorders>
                  <w:vAlign w:val="center"/>
                </w:tcPr>
                <w:p w14:paraId="71750277">
                  <w:pPr>
                    <w:pStyle w:val="69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bCs/>
                      <w:color w:val="auto"/>
                      <w:kern w:val="0"/>
                      <w:sz w:val="21"/>
                      <w:szCs w:val="21"/>
                      <w:lang w:val="en-US" w:eastAsia="zh-CN"/>
                    </w:rPr>
                  </w:pPr>
                </w:p>
              </w:tc>
            </w:tr>
          </w:tbl>
          <w:p w14:paraId="0FF5C145">
            <w:pPr>
              <w:pStyle w:val="697"/>
              <w:adjustRightInd w:val="0"/>
              <w:snapToGrid w:val="0"/>
              <w:spacing w:line="360" w:lineRule="auto"/>
              <w:ind w:firstLine="420"/>
              <w:jc w:val="both"/>
              <w:rPr>
                <w:rFonts w:eastAsia="宋体"/>
                <w:bCs/>
                <w:color w:val="auto"/>
                <w:kern w:val="0"/>
                <w:sz w:val="21"/>
                <w:szCs w:val="21"/>
              </w:rPr>
            </w:pPr>
            <w:r>
              <w:rPr>
                <w:rFonts w:eastAsia="宋体"/>
                <w:bCs/>
                <w:color w:val="auto"/>
                <w:kern w:val="0"/>
                <w:sz w:val="21"/>
                <w:szCs w:val="21"/>
              </w:rPr>
              <w:t>根据《大气有害物质无组织排放卫生防护距离推导技术导则》（GB/T39499-2020）：</w:t>
            </w:r>
            <w:r>
              <w:rPr>
                <w:rFonts w:hint="eastAsia" w:eastAsia="宋体"/>
                <w:bCs/>
                <w:color w:val="auto"/>
                <w:kern w:val="0"/>
                <w:sz w:val="21"/>
                <w:szCs w:val="21"/>
              </w:rPr>
              <w:t>“</w:t>
            </w:r>
            <w:r>
              <w:rPr>
                <w:rFonts w:eastAsia="宋体"/>
                <w:bCs/>
                <w:color w:val="auto"/>
                <w:kern w:val="0"/>
                <w:sz w:val="21"/>
                <w:szCs w:val="21"/>
              </w:rPr>
              <w:t>当企业某生产单元的无组织排放存在多种特征大气有害物质时，如果分别推导出的卫生防护距离初值在同一级别时，则该企业的卫生防护距离终值应提高一级；卫生防护距离初值不在同一级别的，以卫生防护距离终值较大者为准</w:t>
            </w:r>
            <w:r>
              <w:rPr>
                <w:rFonts w:hint="eastAsia" w:eastAsia="宋体"/>
                <w:bCs/>
                <w:color w:val="auto"/>
                <w:kern w:val="0"/>
                <w:sz w:val="21"/>
                <w:szCs w:val="21"/>
              </w:rPr>
              <w:t>”</w:t>
            </w:r>
            <w:r>
              <w:rPr>
                <w:rFonts w:eastAsia="宋体"/>
                <w:bCs/>
                <w:color w:val="auto"/>
                <w:kern w:val="0"/>
                <w:sz w:val="21"/>
                <w:szCs w:val="21"/>
              </w:rPr>
              <w:t>。按照上述规定要求确定全厂设置卫生防护距离为生产车间周边</w:t>
            </w:r>
            <w:r>
              <w:rPr>
                <w:rFonts w:hint="eastAsia" w:eastAsia="宋体"/>
                <w:bCs/>
                <w:color w:val="auto"/>
                <w:kern w:val="0"/>
                <w:sz w:val="21"/>
                <w:szCs w:val="21"/>
              </w:rPr>
              <w:t>100</w:t>
            </w:r>
            <w:r>
              <w:rPr>
                <w:rFonts w:eastAsia="宋体"/>
                <w:bCs/>
                <w:color w:val="auto"/>
                <w:kern w:val="0"/>
                <w:sz w:val="21"/>
                <w:szCs w:val="21"/>
              </w:rPr>
              <w:t>米范围。卫生防护距离范围内目前无居民点以及其他环境空气敏感保护点，今后在此范围内也不得建设居民点、学校、医院等环境敏感项目。在此条件下，对当地的环境空气质量影响较小，可满足环境管理要求。</w:t>
            </w:r>
          </w:p>
          <w:p w14:paraId="30FE1AD0">
            <w:pPr>
              <w:pStyle w:val="5"/>
              <w:adjustRightInd w:val="0"/>
              <w:snapToGrid w:val="0"/>
              <w:spacing w:line="360" w:lineRule="auto"/>
              <w:ind w:firstLine="422" w:firstLineChars="200"/>
              <w:rPr>
                <w:b/>
                <w:color w:val="auto"/>
                <w:kern w:val="0"/>
                <w:szCs w:val="21"/>
              </w:rPr>
            </w:pPr>
            <w:r>
              <w:rPr>
                <w:rFonts w:hint="eastAsia"/>
                <w:b/>
                <w:color w:val="auto"/>
                <w:kern w:val="0"/>
                <w:szCs w:val="21"/>
              </w:rPr>
              <w:t>（8）环境监测计划</w:t>
            </w:r>
          </w:p>
          <w:p w14:paraId="700D1760">
            <w:pPr>
              <w:pStyle w:val="5"/>
              <w:adjustRightInd w:val="0"/>
              <w:snapToGrid w:val="0"/>
              <w:spacing w:line="360" w:lineRule="auto"/>
              <w:ind w:firstLineChars="200"/>
              <w:rPr>
                <w:rFonts w:hint="eastAsia"/>
                <w:bCs/>
                <w:color w:val="auto"/>
                <w:kern w:val="0"/>
                <w:szCs w:val="21"/>
              </w:rPr>
            </w:pPr>
            <w:r>
              <w:rPr>
                <w:rFonts w:hint="eastAsia"/>
                <w:bCs/>
                <w:color w:val="auto"/>
                <w:kern w:val="0"/>
                <w:szCs w:val="21"/>
              </w:rPr>
              <w:t>根据《排污单位自行监测技术指南 总则》</w:t>
            </w:r>
            <w:r>
              <w:rPr>
                <w:color w:val="auto"/>
              </w:rPr>
              <w:fldChar w:fldCharType="begin"/>
            </w:r>
            <w:r>
              <w:rPr>
                <w:color w:val="auto"/>
              </w:rPr>
              <w:instrText xml:space="preserve"> HYPERLINK "http://www.mee.gov.cn/ywgz/fgbz/bz/bzwb/jcffbz/202001/W020200113417476489912.pdf" </w:instrText>
            </w:r>
            <w:r>
              <w:rPr>
                <w:color w:val="auto"/>
              </w:rPr>
              <w:fldChar w:fldCharType="separate"/>
            </w:r>
            <w:r>
              <w:rPr>
                <w:rFonts w:hint="eastAsia"/>
                <w:bCs/>
                <w:color w:val="auto"/>
                <w:kern w:val="0"/>
                <w:szCs w:val="21"/>
              </w:rPr>
              <w:t>（HJ819-2017）</w:t>
            </w:r>
            <w:r>
              <w:rPr>
                <w:rFonts w:hint="eastAsia"/>
                <w:bCs/>
                <w:color w:val="auto"/>
                <w:kern w:val="0"/>
                <w:szCs w:val="21"/>
              </w:rPr>
              <w:fldChar w:fldCharType="end"/>
            </w:r>
            <w:r>
              <w:rPr>
                <w:color w:val="auto"/>
                <w:kern w:val="0"/>
                <w:szCs w:val="21"/>
              </w:rPr>
              <w:t>中相关要求</w:t>
            </w:r>
            <w:r>
              <w:rPr>
                <w:bCs/>
                <w:color w:val="auto"/>
                <w:kern w:val="0"/>
                <w:szCs w:val="21"/>
              </w:rPr>
              <w:t>，</w:t>
            </w:r>
            <w:r>
              <w:rPr>
                <w:rFonts w:hint="eastAsia"/>
                <w:bCs/>
                <w:color w:val="auto"/>
                <w:kern w:val="0"/>
                <w:szCs w:val="21"/>
              </w:rPr>
              <w:t>本项目</w:t>
            </w:r>
            <w:r>
              <w:rPr>
                <w:bCs/>
                <w:color w:val="auto"/>
                <w:kern w:val="0"/>
                <w:szCs w:val="21"/>
              </w:rPr>
              <w:t>废气</w:t>
            </w:r>
            <w:r>
              <w:rPr>
                <w:rFonts w:hint="eastAsia"/>
                <w:bCs/>
                <w:color w:val="auto"/>
                <w:kern w:val="0"/>
                <w:szCs w:val="21"/>
              </w:rPr>
              <w:t>例行</w:t>
            </w:r>
            <w:r>
              <w:rPr>
                <w:bCs/>
                <w:color w:val="auto"/>
                <w:kern w:val="0"/>
                <w:szCs w:val="21"/>
              </w:rPr>
              <w:t>监测计划详见</w:t>
            </w:r>
            <w:r>
              <w:rPr>
                <w:rFonts w:hint="eastAsia"/>
                <w:bCs/>
                <w:color w:val="auto"/>
                <w:kern w:val="0"/>
                <w:szCs w:val="21"/>
              </w:rPr>
              <w:t>下表。</w:t>
            </w:r>
          </w:p>
          <w:p w14:paraId="07AF1103">
            <w:pPr>
              <w:adjustRightInd w:val="0"/>
              <w:snapToGrid w:val="0"/>
              <w:jc w:val="center"/>
              <w:rPr>
                <w:b/>
                <w:color w:val="auto"/>
                <w:kern w:val="0"/>
              </w:rPr>
            </w:pPr>
            <w:r>
              <w:rPr>
                <w:b/>
                <w:color w:val="auto"/>
                <w:kern w:val="0"/>
              </w:rPr>
              <w:t>表4-</w:t>
            </w:r>
            <w:r>
              <w:rPr>
                <w:rFonts w:hint="eastAsia"/>
                <w:b/>
                <w:color w:val="auto"/>
                <w:kern w:val="0"/>
                <w:lang w:val="en-US" w:eastAsia="zh-CN"/>
              </w:rPr>
              <w:t>13</w:t>
            </w:r>
            <w:r>
              <w:rPr>
                <w:rFonts w:hint="eastAsia"/>
                <w:b/>
                <w:color w:val="auto"/>
                <w:kern w:val="0"/>
              </w:rPr>
              <w:t xml:space="preserve">   </w:t>
            </w:r>
            <w:r>
              <w:rPr>
                <w:b/>
                <w:color w:val="auto"/>
                <w:kern w:val="0"/>
              </w:rPr>
              <w:t>污染源监测要求</w:t>
            </w:r>
          </w:p>
          <w:tbl>
            <w:tblPr>
              <w:tblStyle w:val="59"/>
              <w:tblW w:w="5000"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0" w:type="dxa"/>
                <w:bottom w:w="0" w:type="dxa"/>
                <w:right w:w="0" w:type="dxa"/>
              </w:tblCellMar>
            </w:tblPr>
            <w:tblGrid>
              <w:gridCol w:w="605"/>
              <w:gridCol w:w="1037"/>
              <w:gridCol w:w="1644"/>
              <w:gridCol w:w="2984"/>
              <w:gridCol w:w="1484"/>
              <w:gridCol w:w="1107"/>
            </w:tblGrid>
            <w:tr w14:paraId="5D621BF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341" w:type="pct"/>
                  <w:tcBorders>
                    <w:tl2br w:val="nil"/>
                    <w:tr2bl w:val="nil"/>
                  </w:tcBorders>
                  <w:vAlign w:val="center"/>
                </w:tcPr>
                <w:p w14:paraId="35BFB263">
                  <w:pPr>
                    <w:jc w:val="center"/>
                    <w:rPr>
                      <w:b/>
                      <w:color w:val="auto"/>
                      <w:kern w:val="0"/>
                    </w:rPr>
                  </w:pPr>
                  <w:r>
                    <w:rPr>
                      <w:b/>
                      <w:color w:val="auto"/>
                      <w:kern w:val="0"/>
                    </w:rPr>
                    <w:t>类型</w:t>
                  </w:r>
                </w:p>
              </w:tc>
              <w:tc>
                <w:tcPr>
                  <w:tcW w:w="585" w:type="pct"/>
                  <w:tcBorders>
                    <w:tl2br w:val="nil"/>
                    <w:tr2bl w:val="nil"/>
                  </w:tcBorders>
                  <w:vAlign w:val="center"/>
                </w:tcPr>
                <w:p w14:paraId="52115847">
                  <w:pPr>
                    <w:jc w:val="center"/>
                    <w:rPr>
                      <w:b/>
                      <w:color w:val="auto"/>
                      <w:kern w:val="0"/>
                    </w:rPr>
                  </w:pPr>
                  <w:r>
                    <w:rPr>
                      <w:b/>
                      <w:color w:val="auto"/>
                      <w:kern w:val="0"/>
                    </w:rPr>
                    <w:t>监测项目</w:t>
                  </w:r>
                </w:p>
              </w:tc>
              <w:tc>
                <w:tcPr>
                  <w:tcW w:w="927" w:type="pct"/>
                  <w:tcBorders>
                    <w:tl2br w:val="nil"/>
                    <w:tr2bl w:val="nil"/>
                  </w:tcBorders>
                  <w:vAlign w:val="center"/>
                </w:tcPr>
                <w:p w14:paraId="330AFA24">
                  <w:pPr>
                    <w:jc w:val="center"/>
                    <w:rPr>
                      <w:b/>
                      <w:color w:val="auto"/>
                      <w:kern w:val="0"/>
                    </w:rPr>
                  </w:pPr>
                  <w:r>
                    <w:rPr>
                      <w:b/>
                      <w:color w:val="auto"/>
                      <w:kern w:val="0"/>
                    </w:rPr>
                    <w:t>监测位置</w:t>
                  </w:r>
                </w:p>
              </w:tc>
              <w:tc>
                <w:tcPr>
                  <w:tcW w:w="1683" w:type="pct"/>
                  <w:tcBorders>
                    <w:tl2br w:val="nil"/>
                    <w:tr2bl w:val="nil"/>
                  </w:tcBorders>
                  <w:vAlign w:val="center"/>
                </w:tcPr>
                <w:p w14:paraId="43687AC8">
                  <w:pPr>
                    <w:jc w:val="center"/>
                    <w:rPr>
                      <w:b/>
                      <w:color w:val="auto"/>
                      <w:kern w:val="0"/>
                    </w:rPr>
                  </w:pPr>
                  <w:r>
                    <w:rPr>
                      <w:b/>
                      <w:color w:val="auto"/>
                      <w:kern w:val="0"/>
                    </w:rPr>
                    <w:t>检测点位</w:t>
                  </w:r>
                </w:p>
              </w:tc>
              <w:tc>
                <w:tcPr>
                  <w:tcW w:w="837" w:type="pct"/>
                  <w:tcBorders>
                    <w:tl2br w:val="nil"/>
                    <w:tr2bl w:val="nil"/>
                  </w:tcBorders>
                  <w:vAlign w:val="center"/>
                </w:tcPr>
                <w:p w14:paraId="49F71177">
                  <w:pPr>
                    <w:jc w:val="center"/>
                    <w:rPr>
                      <w:b/>
                      <w:color w:val="auto"/>
                      <w:kern w:val="0"/>
                    </w:rPr>
                  </w:pPr>
                  <w:r>
                    <w:rPr>
                      <w:b/>
                      <w:color w:val="auto"/>
                      <w:kern w:val="0"/>
                    </w:rPr>
                    <w:t>监测因子</w:t>
                  </w:r>
                </w:p>
              </w:tc>
              <w:tc>
                <w:tcPr>
                  <w:tcW w:w="624" w:type="pct"/>
                  <w:tcBorders>
                    <w:tl2br w:val="nil"/>
                    <w:tr2bl w:val="nil"/>
                  </w:tcBorders>
                  <w:vAlign w:val="center"/>
                </w:tcPr>
                <w:p w14:paraId="4A8F427E">
                  <w:pPr>
                    <w:jc w:val="center"/>
                    <w:rPr>
                      <w:b/>
                      <w:color w:val="auto"/>
                      <w:kern w:val="0"/>
                    </w:rPr>
                  </w:pPr>
                  <w:r>
                    <w:rPr>
                      <w:b/>
                      <w:color w:val="auto"/>
                      <w:kern w:val="0"/>
                    </w:rPr>
                    <w:t>监测频率</w:t>
                  </w:r>
                </w:p>
              </w:tc>
            </w:tr>
            <w:tr w14:paraId="67049B2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341" w:type="pct"/>
                  <w:vMerge w:val="restart"/>
                  <w:tcBorders>
                    <w:tl2br w:val="nil"/>
                    <w:tr2bl w:val="nil"/>
                  </w:tcBorders>
                  <w:vAlign w:val="center"/>
                </w:tcPr>
                <w:p w14:paraId="0E25C23C">
                  <w:pPr>
                    <w:jc w:val="center"/>
                    <w:rPr>
                      <w:color w:val="auto"/>
                      <w:kern w:val="0"/>
                    </w:rPr>
                  </w:pPr>
                  <w:r>
                    <w:rPr>
                      <w:color w:val="auto"/>
                      <w:kern w:val="0"/>
                    </w:rPr>
                    <w:t>例行监测</w:t>
                  </w:r>
                </w:p>
              </w:tc>
              <w:tc>
                <w:tcPr>
                  <w:tcW w:w="585" w:type="pct"/>
                  <w:vMerge w:val="restart"/>
                  <w:tcBorders>
                    <w:tl2br w:val="nil"/>
                    <w:tr2bl w:val="nil"/>
                  </w:tcBorders>
                  <w:vAlign w:val="center"/>
                </w:tcPr>
                <w:p w14:paraId="4713AE34">
                  <w:pPr>
                    <w:jc w:val="center"/>
                    <w:rPr>
                      <w:color w:val="auto"/>
                      <w:kern w:val="0"/>
                    </w:rPr>
                  </w:pPr>
                  <w:r>
                    <w:rPr>
                      <w:color w:val="auto"/>
                      <w:kern w:val="0"/>
                    </w:rPr>
                    <w:t>无组织废气监测</w:t>
                  </w:r>
                </w:p>
              </w:tc>
              <w:tc>
                <w:tcPr>
                  <w:tcW w:w="927" w:type="pct"/>
                  <w:vMerge w:val="restart"/>
                  <w:tcBorders>
                    <w:tl2br w:val="nil"/>
                    <w:tr2bl w:val="nil"/>
                  </w:tcBorders>
                  <w:vAlign w:val="center"/>
                </w:tcPr>
                <w:p w14:paraId="3B0E24E0">
                  <w:pPr>
                    <w:jc w:val="center"/>
                    <w:rPr>
                      <w:color w:val="auto"/>
                      <w:kern w:val="0"/>
                    </w:rPr>
                  </w:pPr>
                  <w:r>
                    <w:rPr>
                      <w:color w:val="auto"/>
                      <w:kern w:val="0"/>
                    </w:rPr>
                    <w:t>厂界</w:t>
                  </w:r>
                </w:p>
              </w:tc>
              <w:tc>
                <w:tcPr>
                  <w:tcW w:w="1683" w:type="pct"/>
                  <w:vMerge w:val="restart"/>
                  <w:tcBorders>
                    <w:tl2br w:val="nil"/>
                    <w:tr2bl w:val="nil"/>
                  </w:tcBorders>
                  <w:vAlign w:val="center"/>
                </w:tcPr>
                <w:p w14:paraId="25F7BDDE">
                  <w:pPr>
                    <w:jc w:val="center"/>
                    <w:rPr>
                      <w:color w:val="auto"/>
                      <w:kern w:val="0"/>
                    </w:rPr>
                  </w:pPr>
                  <w:r>
                    <w:rPr>
                      <w:color w:val="auto"/>
                      <w:kern w:val="0"/>
                    </w:rPr>
                    <w:t>厂界上风向设置一个监测点，下风向设置三个监测点</w:t>
                  </w:r>
                </w:p>
              </w:tc>
              <w:tc>
                <w:tcPr>
                  <w:tcW w:w="837" w:type="pct"/>
                  <w:tcBorders>
                    <w:tl2br w:val="nil"/>
                    <w:tr2bl w:val="nil"/>
                  </w:tcBorders>
                  <w:vAlign w:val="center"/>
                </w:tcPr>
                <w:p w14:paraId="540F489F">
                  <w:pPr>
                    <w:jc w:val="center"/>
                    <w:rPr>
                      <w:color w:val="auto"/>
                      <w:kern w:val="0"/>
                    </w:rPr>
                  </w:pPr>
                  <w:r>
                    <w:rPr>
                      <w:rStyle w:val="71"/>
                      <w:color w:val="auto"/>
                      <w:kern w:val="0"/>
                    </w:rPr>
                    <w:t>非甲烷总烃</w:t>
                  </w:r>
                </w:p>
              </w:tc>
              <w:tc>
                <w:tcPr>
                  <w:tcW w:w="624" w:type="pct"/>
                  <w:tcBorders>
                    <w:tl2br w:val="nil"/>
                    <w:tr2bl w:val="nil"/>
                  </w:tcBorders>
                  <w:vAlign w:val="center"/>
                </w:tcPr>
                <w:p w14:paraId="5F631FD4">
                  <w:pPr>
                    <w:jc w:val="center"/>
                    <w:rPr>
                      <w:color w:val="auto"/>
                      <w:kern w:val="0"/>
                    </w:rPr>
                  </w:pPr>
                  <w:r>
                    <w:rPr>
                      <w:color w:val="auto"/>
                      <w:kern w:val="0"/>
                    </w:rPr>
                    <w:t>1次/年</w:t>
                  </w:r>
                </w:p>
              </w:tc>
            </w:tr>
            <w:tr w14:paraId="596CB3B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341" w:type="pct"/>
                  <w:vMerge w:val="continue"/>
                  <w:tcBorders>
                    <w:tl2br w:val="nil"/>
                    <w:tr2bl w:val="nil"/>
                  </w:tcBorders>
                  <w:vAlign w:val="center"/>
                </w:tcPr>
                <w:p w14:paraId="5E191AFD">
                  <w:pPr>
                    <w:jc w:val="center"/>
                    <w:rPr>
                      <w:color w:val="auto"/>
                      <w:kern w:val="0"/>
                    </w:rPr>
                  </w:pPr>
                </w:p>
              </w:tc>
              <w:tc>
                <w:tcPr>
                  <w:tcW w:w="585" w:type="pct"/>
                  <w:vMerge w:val="continue"/>
                  <w:tcBorders>
                    <w:tl2br w:val="nil"/>
                    <w:tr2bl w:val="nil"/>
                  </w:tcBorders>
                  <w:vAlign w:val="center"/>
                </w:tcPr>
                <w:p w14:paraId="46E1A2F6">
                  <w:pPr>
                    <w:jc w:val="center"/>
                    <w:rPr>
                      <w:color w:val="auto"/>
                      <w:kern w:val="0"/>
                    </w:rPr>
                  </w:pPr>
                </w:p>
              </w:tc>
              <w:tc>
                <w:tcPr>
                  <w:tcW w:w="927" w:type="pct"/>
                  <w:vMerge w:val="continue"/>
                  <w:tcBorders>
                    <w:tl2br w:val="nil"/>
                    <w:tr2bl w:val="nil"/>
                  </w:tcBorders>
                  <w:vAlign w:val="center"/>
                </w:tcPr>
                <w:p w14:paraId="0EFFE93F">
                  <w:pPr>
                    <w:jc w:val="center"/>
                    <w:rPr>
                      <w:color w:val="auto"/>
                      <w:kern w:val="0"/>
                    </w:rPr>
                  </w:pPr>
                </w:p>
              </w:tc>
              <w:tc>
                <w:tcPr>
                  <w:tcW w:w="1683" w:type="pct"/>
                  <w:vMerge w:val="continue"/>
                  <w:tcBorders>
                    <w:tl2br w:val="nil"/>
                    <w:tr2bl w:val="nil"/>
                  </w:tcBorders>
                  <w:vAlign w:val="center"/>
                </w:tcPr>
                <w:p w14:paraId="26D54EBC">
                  <w:pPr>
                    <w:jc w:val="center"/>
                    <w:rPr>
                      <w:color w:val="auto"/>
                      <w:kern w:val="0"/>
                    </w:rPr>
                  </w:pPr>
                </w:p>
              </w:tc>
              <w:tc>
                <w:tcPr>
                  <w:tcW w:w="837" w:type="pct"/>
                  <w:tcBorders>
                    <w:tl2br w:val="nil"/>
                    <w:tr2bl w:val="nil"/>
                  </w:tcBorders>
                  <w:vAlign w:val="center"/>
                </w:tcPr>
                <w:p w14:paraId="5EF204D8">
                  <w:pPr>
                    <w:jc w:val="center"/>
                    <w:rPr>
                      <w:color w:val="auto"/>
                      <w:kern w:val="0"/>
                    </w:rPr>
                  </w:pPr>
                  <w:r>
                    <w:rPr>
                      <w:rFonts w:hint="eastAsia"/>
                      <w:color w:val="auto"/>
                      <w:kern w:val="0"/>
                    </w:rPr>
                    <w:t>颗粒物</w:t>
                  </w:r>
                </w:p>
              </w:tc>
              <w:tc>
                <w:tcPr>
                  <w:tcW w:w="624" w:type="pct"/>
                  <w:tcBorders>
                    <w:tl2br w:val="nil"/>
                    <w:tr2bl w:val="nil"/>
                  </w:tcBorders>
                  <w:vAlign w:val="center"/>
                </w:tcPr>
                <w:p w14:paraId="1F5BF5CD">
                  <w:pPr>
                    <w:jc w:val="center"/>
                    <w:rPr>
                      <w:color w:val="auto"/>
                      <w:kern w:val="0"/>
                    </w:rPr>
                  </w:pPr>
                  <w:r>
                    <w:rPr>
                      <w:color w:val="auto"/>
                      <w:kern w:val="0"/>
                    </w:rPr>
                    <w:t>1次/年</w:t>
                  </w:r>
                </w:p>
              </w:tc>
            </w:tr>
            <w:tr w14:paraId="16AB70C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341" w:type="pct"/>
                  <w:vMerge w:val="continue"/>
                  <w:tcBorders>
                    <w:tl2br w:val="nil"/>
                    <w:tr2bl w:val="nil"/>
                  </w:tcBorders>
                  <w:vAlign w:val="center"/>
                </w:tcPr>
                <w:p w14:paraId="12A234D3">
                  <w:pPr>
                    <w:jc w:val="center"/>
                    <w:rPr>
                      <w:color w:val="auto"/>
                      <w:kern w:val="0"/>
                    </w:rPr>
                  </w:pPr>
                </w:p>
              </w:tc>
              <w:tc>
                <w:tcPr>
                  <w:tcW w:w="585" w:type="pct"/>
                  <w:vMerge w:val="continue"/>
                  <w:tcBorders>
                    <w:tl2br w:val="nil"/>
                    <w:tr2bl w:val="nil"/>
                  </w:tcBorders>
                  <w:vAlign w:val="center"/>
                </w:tcPr>
                <w:p w14:paraId="43F7C262">
                  <w:pPr>
                    <w:jc w:val="center"/>
                    <w:rPr>
                      <w:color w:val="auto"/>
                      <w:kern w:val="0"/>
                    </w:rPr>
                  </w:pPr>
                </w:p>
              </w:tc>
              <w:tc>
                <w:tcPr>
                  <w:tcW w:w="927" w:type="pct"/>
                  <w:vMerge w:val="continue"/>
                  <w:tcBorders>
                    <w:tl2br w:val="nil"/>
                    <w:tr2bl w:val="nil"/>
                  </w:tcBorders>
                  <w:vAlign w:val="center"/>
                </w:tcPr>
                <w:p w14:paraId="3C78ED4A">
                  <w:pPr>
                    <w:jc w:val="center"/>
                    <w:rPr>
                      <w:color w:val="auto"/>
                      <w:kern w:val="0"/>
                    </w:rPr>
                  </w:pPr>
                </w:p>
              </w:tc>
              <w:tc>
                <w:tcPr>
                  <w:tcW w:w="1683" w:type="pct"/>
                  <w:vMerge w:val="continue"/>
                  <w:tcBorders>
                    <w:tl2br w:val="nil"/>
                    <w:tr2bl w:val="nil"/>
                  </w:tcBorders>
                  <w:vAlign w:val="center"/>
                </w:tcPr>
                <w:p w14:paraId="1F71ECA5">
                  <w:pPr>
                    <w:jc w:val="center"/>
                    <w:rPr>
                      <w:color w:val="auto"/>
                      <w:kern w:val="0"/>
                    </w:rPr>
                  </w:pPr>
                </w:p>
              </w:tc>
              <w:tc>
                <w:tcPr>
                  <w:tcW w:w="1484" w:type="dxa"/>
                  <w:tcBorders>
                    <w:tl2br w:val="nil"/>
                    <w:tr2bl w:val="nil"/>
                  </w:tcBorders>
                  <w:vAlign w:val="center"/>
                </w:tcPr>
                <w:p w14:paraId="376DFB6F">
                  <w:pPr>
                    <w:jc w:val="center"/>
                    <w:rPr>
                      <w:rFonts w:hint="eastAsia" w:eastAsia="宋体"/>
                      <w:color w:val="auto"/>
                      <w:kern w:val="0"/>
                      <w:lang w:val="en-US" w:eastAsia="zh-CN"/>
                    </w:rPr>
                  </w:pPr>
                  <w:r>
                    <w:rPr>
                      <w:rFonts w:hint="eastAsia"/>
                      <w:color w:val="auto"/>
                      <w:kern w:val="0"/>
                      <w:lang w:val="en-US" w:eastAsia="zh-CN"/>
                    </w:rPr>
                    <w:t>苯系物</w:t>
                  </w:r>
                </w:p>
              </w:tc>
              <w:tc>
                <w:tcPr>
                  <w:tcW w:w="624" w:type="pct"/>
                  <w:tcBorders>
                    <w:tl2br w:val="nil"/>
                    <w:tr2bl w:val="nil"/>
                  </w:tcBorders>
                  <w:vAlign w:val="center"/>
                </w:tcPr>
                <w:p w14:paraId="149CFFD4">
                  <w:pPr>
                    <w:jc w:val="center"/>
                    <w:rPr>
                      <w:color w:val="auto"/>
                      <w:kern w:val="0"/>
                    </w:rPr>
                  </w:pPr>
                  <w:r>
                    <w:rPr>
                      <w:color w:val="auto"/>
                      <w:kern w:val="0"/>
                    </w:rPr>
                    <w:t>1次/年</w:t>
                  </w:r>
                </w:p>
              </w:tc>
            </w:tr>
            <w:tr w14:paraId="611E0B2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341" w:type="pct"/>
                  <w:vMerge w:val="continue"/>
                  <w:tcBorders>
                    <w:tl2br w:val="nil"/>
                    <w:tr2bl w:val="nil"/>
                  </w:tcBorders>
                  <w:vAlign w:val="center"/>
                </w:tcPr>
                <w:p w14:paraId="33C63CCE">
                  <w:pPr>
                    <w:jc w:val="center"/>
                    <w:rPr>
                      <w:color w:val="auto"/>
                      <w:kern w:val="0"/>
                    </w:rPr>
                  </w:pPr>
                </w:p>
              </w:tc>
              <w:tc>
                <w:tcPr>
                  <w:tcW w:w="585" w:type="pct"/>
                  <w:vMerge w:val="continue"/>
                  <w:tcBorders>
                    <w:tl2br w:val="nil"/>
                    <w:tr2bl w:val="nil"/>
                  </w:tcBorders>
                  <w:vAlign w:val="center"/>
                </w:tcPr>
                <w:p w14:paraId="64F1CB81">
                  <w:pPr>
                    <w:jc w:val="center"/>
                    <w:rPr>
                      <w:color w:val="auto"/>
                      <w:kern w:val="0"/>
                    </w:rPr>
                  </w:pPr>
                </w:p>
              </w:tc>
              <w:tc>
                <w:tcPr>
                  <w:tcW w:w="927" w:type="pct"/>
                  <w:vMerge w:val="continue"/>
                  <w:tcBorders>
                    <w:tl2br w:val="nil"/>
                    <w:tr2bl w:val="nil"/>
                  </w:tcBorders>
                  <w:vAlign w:val="center"/>
                </w:tcPr>
                <w:p w14:paraId="6DED4670">
                  <w:pPr>
                    <w:jc w:val="center"/>
                    <w:rPr>
                      <w:color w:val="auto"/>
                      <w:kern w:val="0"/>
                    </w:rPr>
                  </w:pPr>
                </w:p>
              </w:tc>
              <w:tc>
                <w:tcPr>
                  <w:tcW w:w="1683" w:type="pct"/>
                  <w:vMerge w:val="continue"/>
                  <w:tcBorders>
                    <w:tl2br w:val="nil"/>
                    <w:tr2bl w:val="nil"/>
                  </w:tcBorders>
                  <w:vAlign w:val="center"/>
                </w:tcPr>
                <w:p w14:paraId="155CA583">
                  <w:pPr>
                    <w:jc w:val="center"/>
                    <w:rPr>
                      <w:color w:val="auto"/>
                      <w:kern w:val="0"/>
                    </w:rPr>
                  </w:pPr>
                </w:p>
              </w:tc>
              <w:tc>
                <w:tcPr>
                  <w:tcW w:w="1484" w:type="dxa"/>
                  <w:tcBorders>
                    <w:tl2br w:val="nil"/>
                    <w:tr2bl w:val="nil"/>
                  </w:tcBorders>
                  <w:vAlign w:val="center"/>
                </w:tcPr>
                <w:p w14:paraId="1035F13A">
                  <w:pPr>
                    <w:jc w:val="center"/>
                    <w:rPr>
                      <w:rFonts w:hint="eastAsia"/>
                      <w:color w:val="auto"/>
                      <w:kern w:val="0"/>
                      <w:lang w:val="en-US" w:eastAsia="zh-CN"/>
                    </w:rPr>
                  </w:pPr>
                  <w:r>
                    <w:rPr>
                      <w:rFonts w:hint="eastAsia"/>
                      <w:color w:val="auto"/>
                      <w:kern w:val="0"/>
                      <w:lang w:val="en-US" w:eastAsia="zh-CN"/>
                    </w:rPr>
                    <w:t>二甲苯</w:t>
                  </w:r>
                </w:p>
              </w:tc>
              <w:tc>
                <w:tcPr>
                  <w:tcW w:w="624" w:type="pct"/>
                  <w:tcBorders>
                    <w:tl2br w:val="nil"/>
                    <w:tr2bl w:val="nil"/>
                  </w:tcBorders>
                  <w:vAlign w:val="center"/>
                </w:tcPr>
                <w:p w14:paraId="7C65E88B">
                  <w:pPr>
                    <w:jc w:val="center"/>
                    <w:rPr>
                      <w:color w:val="auto"/>
                      <w:kern w:val="0"/>
                    </w:rPr>
                  </w:pPr>
                  <w:r>
                    <w:rPr>
                      <w:color w:val="auto"/>
                      <w:kern w:val="0"/>
                    </w:rPr>
                    <w:t>1次/年</w:t>
                  </w:r>
                </w:p>
              </w:tc>
            </w:tr>
            <w:tr w14:paraId="28B8F19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341" w:type="pct"/>
                  <w:vMerge w:val="continue"/>
                  <w:tcBorders>
                    <w:tl2br w:val="nil"/>
                    <w:tr2bl w:val="nil"/>
                  </w:tcBorders>
                  <w:vAlign w:val="center"/>
                </w:tcPr>
                <w:p w14:paraId="7A3A9473">
                  <w:pPr>
                    <w:jc w:val="center"/>
                    <w:rPr>
                      <w:color w:val="auto"/>
                      <w:kern w:val="0"/>
                    </w:rPr>
                  </w:pPr>
                </w:p>
              </w:tc>
              <w:tc>
                <w:tcPr>
                  <w:tcW w:w="585" w:type="pct"/>
                  <w:vMerge w:val="continue"/>
                  <w:tcBorders>
                    <w:tl2br w:val="nil"/>
                    <w:tr2bl w:val="nil"/>
                  </w:tcBorders>
                  <w:vAlign w:val="center"/>
                </w:tcPr>
                <w:p w14:paraId="160853BA">
                  <w:pPr>
                    <w:jc w:val="center"/>
                    <w:rPr>
                      <w:color w:val="auto"/>
                      <w:kern w:val="0"/>
                    </w:rPr>
                  </w:pPr>
                </w:p>
              </w:tc>
              <w:tc>
                <w:tcPr>
                  <w:tcW w:w="927" w:type="pct"/>
                  <w:vMerge w:val="continue"/>
                  <w:tcBorders>
                    <w:tl2br w:val="nil"/>
                    <w:tr2bl w:val="nil"/>
                  </w:tcBorders>
                  <w:vAlign w:val="center"/>
                </w:tcPr>
                <w:p w14:paraId="1E9F3722">
                  <w:pPr>
                    <w:jc w:val="center"/>
                    <w:rPr>
                      <w:color w:val="auto"/>
                      <w:kern w:val="0"/>
                    </w:rPr>
                  </w:pPr>
                </w:p>
              </w:tc>
              <w:tc>
                <w:tcPr>
                  <w:tcW w:w="1683" w:type="pct"/>
                  <w:vMerge w:val="continue"/>
                  <w:tcBorders>
                    <w:tl2br w:val="nil"/>
                    <w:tr2bl w:val="nil"/>
                  </w:tcBorders>
                  <w:vAlign w:val="center"/>
                </w:tcPr>
                <w:p w14:paraId="459CE483">
                  <w:pPr>
                    <w:jc w:val="center"/>
                    <w:rPr>
                      <w:color w:val="auto"/>
                      <w:kern w:val="0"/>
                    </w:rPr>
                  </w:pPr>
                </w:p>
              </w:tc>
              <w:tc>
                <w:tcPr>
                  <w:tcW w:w="1484" w:type="dxa"/>
                  <w:tcBorders>
                    <w:tl2br w:val="nil"/>
                    <w:tr2bl w:val="nil"/>
                  </w:tcBorders>
                  <w:vAlign w:val="center"/>
                </w:tcPr>
                <w:p w14:paraId="761F9141">
                  <w:pPr>
                    <w:jc w:val="center"/>
                    <w:rPr>
                      <w:rFonts w:hint="eastAsia"/>
                      <w:color w:val="auto"/>
                      <w:kern w:val="0"/>
                      <w:lang w:val="en-US" w:eastAsia="zh-CN"/>
                    </w:rPr>
                  </w:pPr>
                  <w:r>
                    <w:rPr>
                      <w:rFonts w:hint="eastAsia"/>
                      <w:color w:val="auto"/>
                      <w:kern w:val="0"/>
                      <w:lang w:val="en-US" w:eastAsia="zh-CN"/>
                    </w:rPr>
                    <w:t>乙苯</w:t>
                  </w:r>
                </w:p>
              </w:tc>
              <w:tc>
                <w:tcPr>
                  <w:tcW w:w="624" w:type="pct"/>
                  <w:tcBorders>
                    <w:tl2br w:val="nil"/>
                    <w:tr2bl w:val="nil"/>
                  </w:tcBorders>
                  <w:vAlign w:val="center"/>
                </w:tcPr>
                <w:p w14:paraId="7BF0210E">
                  <w:pPr>
                    <w:jc w:val="center"/>
                    <w:rPr>
                      <w:color w:val="auto"/>
                      <w:kern w:val="0"/>
                    </w:rPr>
                  </w:pPr>
                  <w:r>
                    <w:rPr>
                      <w:color w:val="auto"/>
                      <w:kern w:val="0"/>
                    </w:rPr>
                    <w:t>1次/年</w:t>
                  </w:r>
                </w:p>
              </w:tc>
            </w:tr>
            <w:tr w14:paraId="3F1A3137">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341" w:type="pct"/>
                  <w:vMerge w:val="continue"/>
                  <w:tcBorders>
                    <w:tl2br w:val="nil"/>
                    <w:tr2bl w:val="nil"/>
                  </w:tcBorders>
                  <w:vAlign w:val="center"/>
                </w:tcPr>
                <w:p w14:paraId="7C21761C">
                  <w:pPr>
                    <w:jc w:val="center"/>
                    <w:rPr>
                      <w:color w:val="auto"/>
                      <w:kern w:val="0"/>
                    </w:rPr>
                  </w:pPr>
                </w:p>
              </w:tc>
              <w:tc>
                <w:tcPr>
                  <w:tcW w:w="585" w:type="pct"/>
                  <w:vMerge w:val="continue"/>
                  <w:tcBorders>
                    <w:tl2br w:val="nil"/>
                    <w:tr2bl w:val="nil"/>
                  </w:tcBorders>
                  <w:vAlign w:val="center"/>
                </w:tcPr>
                <w:p w14:paraId="60DBA5ED">
                  <w:pPr>
                    <w:jc w:val="center"/>
                    <w:rPr>
                      <w:color w:val="auto"/>
                      <w:kern w:val="0"/>
                    </w:rPr>
                  </w:pPr>
                </w:p>
              </w:tc>
              <w:tc>
                <w:tcPr>
                  <w:tcW w:w="927" w:type="pct"/>
                  <w:vMerge w:val="continue"/>
                  <w:tcBorders>
                    <w:tl2br w:val="nil"/>
                    <w:tr2bl w:val="nil"/>
                  </w:tcBorders>
                  <w:vAlign w:val="center"/>
                </w:tcPr>
                <w:p w14:paraId="3C1F36F3">
                  <w:pPr>
                    <w:jc w:val="center"/>
                    <w:rPr>
                      <w:color w:val="auto"/>
                      <w:kern w:val="0"/>
                    </w:rPr>
                  </w:pPr>
                </w:p>
              </w:tc>
              <w:tc>
                <w:tcPr>
                  <w:tcW w:w="1683" w:type="pct"/>
                  <w:vMerge w:val="continue"/>
                  <w:tcBorders>
                    <w:tl2br w:val="nil"/>
                    <w:tr2bl w:val="nil"/>
                  </w:tcBorders>
                  <w:vAlign w:val="center"/>
                </w:tcPr>
                <w:p w14:paraId="7FE10B5F">
                  <w:pPr>
                    <w:jc w:val="center"/>
                    <w:rPr>
                      <w:color w:val="auto"/>
                      <w:kern w:val="0"/>
                    </w:rPr>
                  </w:pPr>
                </w:p>
              </w:tc>
              <w:tc>
                <w:tcPr>
                  <w:tcW w:w="1484" w:type="dxa"/>
                  <w:tcBorders>
                    <w:tl2br w:val="nil"/>
                    <w:tr2bl w:val="nil"/>
                  </w:tcBorders>
                  <w:vAlign w:val="center"/>
                </w:tcPr>
                <w:p w14:paraId="6878298D">
                  <w:pPr>
                    <w:jc w:val="center"/>
                    <w:rPr>
                      <w:rFonts w:hint="eastAsia"/>
                      <w:color w:val="auto"/>
                      <w:kern w:val="0"/>
                      <w:lang w:val="en-US" w:eastAsia="zh-CN"/>
                    </w:rPr>
                  </w:pPr>
                  <w:r>
                    <w:rPr>
                      <w:rFonts w:hint="eastAsia"/>
                      <w:color w:val="auto"/>
                      <w:kern w:val="0"/>
                      <w:lang w:val="en-US" w:eastAsia="zh-CN"/>
                    </w:rPr>
                    <w:t>三甲苯</w:t>
                  </w:r>
                </w:p>
              </w:tc>
              <w:tc>
                <w:tcPr>
                  <w:tcW w:w="624" w:type="pct"/>
                  <w:tcBorders>
                    <w:tl2br w:val="nil"/>
                    <w:tr2bl w:val="nil"/>
                  </w:tcBorders>
                  <w:vAlign w:val="center"/>
                </w:tcPr>
                <w:p w14:paraId="770418FA">
                  <w:pPr>
                    <w:jc w:val="center"/>
                    <w:rPr>
                      <w:color w:val="auto"/>
                      <w:kern w:val="0"/>
                    </w:rPr>
                  </w:pPr>
                  <w:r>
                    <w:rPr>
                      <w:color w:val="auto"/>
                      <w:kern w:val="0"/>
                    </w:rPr>
                    <w:t>1次/年</w:t>
                  </w:r>
                </w:p>
              </w:tc>
            </w:tr>
            <w:tr w14:paraId="5B1D4E8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341" w:type="pct"/>
                  <w:vMerge w:val="continue"/>
                  <w:tcBorders>
                    <w:tl2br w:val="nil"/>
                    <w:tr2bl w:val="nil"/>
                  </w:tcBorders>
                  <w:vAlign w:val="center"/>
                </w:tcPr>
                <w:p w14:paraId="4B5FC90A">
                  <w:pPr>
                    <w:jc w:val="center"/>
                    <w:rPr>
                      <w:color w:val="auto"/>
                      <w:kern w:val="0"/>
                    </w:rPr>
                  </w:pPr>
                </w:p>
              </w:tc>
              <w:tc>
                <w:tcPr>
                  <w:tcW w:w="585" w:type="pct"/>
                  <w:vMerge w:val="continue"/>
                  <w:tcBorders>
                    <w:tl2br w:val="nil"/>
                    <w:tr2bl w:val="nil"/>
                  </w:tcBorders>
                  <w:vAlign w:val="center"/>
                </w:tcPr>
                <w:p w14:paraId="4DF9FEA7">
                  <w:pPr>
                    <w:jc w:val="center"/>
                    <w:rPr>
                      <w:color w:val="auto"/>
                      <w:kern w:val="0"/>
                    </w:rPr>
                  </w:pPr>
                </w:p>
              </w:tc>
              <w:tc>
                <w:tcPr>
                  <w:tcW w:w="927" w:type="pct"/>
                  <w:tcBorders>
                    <w:tl2br w:val="nil"/>
                    <w:tr2bl w:val="nil"/>
                  </w:tcBorders>
                  <w:vAlign w:val="center"/>
                </w:tcPr>
                <w:p w14:paraId="596D2A78">
                  <w:pPr>
                    <w:jc w:val="center"/>
                    <w:rPr>
                      <w:color w:val="auto"/>
                      <w:kern w:val="0"/>
                    </w:rPr>
                  </w:pPr>
                  <w:r>
                    <w:rPr>
                      <w:rFonts w:hint="eastAsia"/>
                      <w:color w:val="auto"/>
                      <w:kern w:val="0"/>
                      <w:lang w:val="en-US" w:eastAsia="zh-CN"/>
                    </w:rPr>
                    <w:t>车间外</w:t>
                  </w:r>
                </w:p>
              </w:tc>
              <w:tc>
                <w:tcPr>
                  <w:tcW w:w="1683" w:type="pct"/>
                  <w:tcBorders>
                    <w:tl2br w:val="nil"/>
                    <w:tr2bl w:val="nil"/>
                  </w:tcBorders>
                  <w:vAlign w:val="center"/>
                </w:tcPr>
                <w:p w14:paraId="23DAF797">
                  <w:pPr>
                    <w:jc w:val="center"/>
                    <w:rPr>
                      <w:color w:val="auto"/>
                      <w:kern w:val="0"/>
                    </w:rPr>
                  </w:pPr>
                  <w:r>
                    <w:rPr>
                      <w:color w:val="auto"/>
                      <w:kern w:val="0"/>
                    </w:rPr>
                    <w:t>厂房门窗或通风口、其他开口（孔）等排放口外1m，距地面1.5m及以上位置</w:t>
                  </w:r>
                </w:p>
              </w:tc>
              <w:tc>
                <w:tcPr>
                  <w:tcW w:w="837" w:type="pct"/>
                  <w:tcBorders>
                    <w:tl2br w:val="nil"/>
                    <w:tr2bl w:val="nil"/>
                  </w:tcBorders>
                  <w:vAlign w:val="center"/>
                </w:tcPr>
                <w:p w14:paraId="0AC5328E">
                  <w:pPr>
                    <w:jc w:val="center"/>
                    <w:rPr>
                      <w:color w:val="auto"/>
                      <w:kern w:val="0"/>
                    </w:rPr>
                  </w:pPr>
                  <w:r>
                    <w:rPr>
                      <w:color w:val="auto"/>
                      <w:kern w:val="0"/>
                    </w:rPr>
                    <w:t>非甲烷总烃</w:t>
                  </w:r>
                </w:p>
              </w:tc>
              <w:tc>
                <w:tcPr>
                  <w:tcW w:w="624" w:type="pct"/>
                  <w:tcBorders>
                    <w:tl2br w:val="nil"/>
                    <w:tr2bl w:val="nil"/>
                  </w:tcBorders>
                  <w:vAlign w:val="center"/>
                </w:tcPr>
                <w:p w14:paraId="661F38E7">
                  <w:pPr>
                    <w:jc w:val="center"/>
                    <w:rPr>
                      <w:color w:val="auto"/>
                      <w:kern w:val="0"/>
                    </w:rPr>
                  </w:pPr>
                  <w:r>
                    <w:rPr>
                      <w:color w:val="auto"/>
                      <w:kern w:val="0"/>
                    </w:rPr>
                    <w:t>1次/</w:t>
                  </w:r>
                  <w:r>
                    <w:rPr>
                      <w:rFonts w:hint="eastAsia"/>
                      <w:color w:val="auto"/>
                      <w:kern w:val="0"/>
                    </w:rPr>
                    <w:t>年</w:t>
                  </w:r>
                </w:p>
              </w:tc>
            </w:tr>
            <w:tr w14:paraId="5D72386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341" w:type="pct"/>
                  <w:vMerge w:val="continue"/>
                  <w:tcBorders>
                    <w:tl2br w:val="nil"/>
                    <w:tr2bl w:val="nil"/>
                  </w:tcBorders>
                  <w:vAlign w:val="center"/>
                </w:tcPr>
                <w:p w14:paraId="3B31FB09">
                  <w:pPr>
                    <w:jc w:val="center"/>
                    <w:rPr>
                      <w:color w:val="auto"/>
                      <w:kern w:val="0"/>
                    </w:rPr>
                  </w:pPr>
                </w:p>
              </w:tc>
              <w:tc>
                <w:tcPr>
                  <w:tcW w:w="585" w:type="pct"/>
                  <w:vMerge w:val="restart"/>
                  <w:tcBorders>
                    <w:tl2br w:val="nil"/>
                    <w:tr2bl w:val="nil"/>
                  </w:tcBorders>
                  <w:vAlign w:val="center"/>
                </w:tcPr>
                <w:p w14:paraId="7D436FD2">
                  <w:pPr>
                    <w:jc w:val="center"/>
                    <w:rPr>
                      <w:color w:val="auto"/>
                      <w:kern w:val="0"/>
                    </w:rPr>
                  </w:pPr>
                  <w:r>
                    <w:rPr>
                      <w:color w:val="auto"/>
                      <w:kern w:val="0"/>
                    </w:rPr>
                    <w:t>有组织废气监测</w:t>
                  </w:r>
                </w:p>
              </w:tc>
              <w:tc>
                <w:tcPr>
                  <w:tcW w:w="927" w:type="pct"/>
                  <w:tcBorders>
                    <w:tl2br w:val="nil"/>
                    <w:tr2bl w:val="nil"/>
                  </w:tcBorders>
                  <w:vAlign w:val="center"/>
                </w:tcPr>
                <w:p w14:paraId="49158CB0">
                  <w:pPr>
                    <w:jc w:val="center"/>
                    <w:rPr>
                      <w:color w:val="auto"/>
                      <w:kern w:val="0"/>
                    </w:rPr>
                  </w:pPr>
                  <w:r>
                    <w:rPr>
                      <w:rFonts w:hint="eastAsia"/>
                      <w:color w:val="auto"/>
                      <w:kern w:val="0"/>
                    </w:rPr>
                    <w:t>DA001</w:t>
                  </w:r>
                </w:p>
              </w:tc>
              <w:tc>
                <w:tcPr>
                  <w:tcW w:w="1683" w:type="pct"/>
                  <w:vMerge w:val="restart"/>
                  <w:tcBorders>
                    <w:tl2br w:val="nil"/>
                    <w:tr2bl w:val="nil"/>
                  </w:tcBorders>
                  <w:vAlign w:val="center"/>
                </w:tcPr>
                <w:p w14:paraId="71B07FC6">
                  <w:pPr>
                    <w:jc w:val="center"/>
                    <w:rPr>
                      <w:color w:val="auto"/>
                      <w:kern w:val="0"/>
                    </w:rPr>
                  </w:pPr>
                  <w:r>
                    <w:rPr>
                      <w:rFonts w:hint="eastAsia"/>
                      <w:color w:val="auto"/>
                      <w:kern w:val="0"/>
                    </w:rPr>
                    <w:t>排气筒</w:t>
                  </w:r>
                  <w:r>
                    <w:rPr>
                      <w:color w:val="auto"/>
                      <w:kern w:val="0"/>
                    </w:rPr>
                    <w:t>进、出口处</w:t>
                  </w:r>
                </w:p>
              </w:tc>
              <w:tc>
                <w:tcPr>
                  <w:tcW w:w="837" w:type="pct"/>
                  <w:tcBorders>
                    <w:tl2br w:val="nil"/>
                    <w:tr2bl w:val="nil"/>
                  </w:tcBorders>
                  <w:vAlign w:val="center"/>
                </w:tcPr>
                <w:p w14:paraId="6B5A99DA">
                  <w:pPr>
                    <w:jc w:val="center"/>
                    <w:rPr>
                      <w:rFonts w:hint="eastAsia" w:eastAsia="宋体"/>
                      <w:color w:val="auto"/>
                      <w:kern w:val="0"/>
                      <w:lang w:eastAsia="zh-CN"/>
                    </w:rPr>
                  </w:pPr>
                  <w:r>
                    <w:rPr>
                      <w:rFonts w:hint="eastAsia"/>
                      <w:color w:val="auto"/>
                      <w:kern w:val="0"/>
                      <w:lang w:val="en-US" w:eastAsia="zh-CN"/>
                    </w:rPr>
                    <w:t>颗粒物</w:t>
                  </w:r>
                </w:p>
              </w:tc>
              <w:tc>
                <w:tcPr>
                  <w:tcW w:w="624" w:type="pct"/>
                  <w:tcBorders>
                    <w:tl2br w:val="nil"/>
                    <w:tr2bl w:val="nil"/>
                  </w:tcBorders>
                  <w:vAlign w:val="center"/>
                </w:tcPr>
                <w:p w14:paraId="6B580DEC">
                  <w:pPr>
                    <w:jc w:val="center"/>
                    <w:rPr>
                      <w:color w:val="auto"/>
                      <w:kern w:val="0"/>
                    </w:rPr>
                  </w:pPr>
                  <w:r>
                    <w:rPr>
                      <w:color w:val="auto"/>
                      <w:kern w:val="0"/>
                    </w:rPr>
                    <w:t>1次/</w:t>
                  </w:r>
                  <w:r>
                    <w:rPr>
                      <w:rFonts w:hint="eastAsia"/>
                      <w:color w:val="auto"/>
                      <w:kern w:val="0"/>
                    </w:rPr>
                    <w:t>半年</w:t>
                  </w:r>
                </w:p>
              </w:tc>
            </w:tr>
            <w:tr w14:paraId="6B09C64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341" w:type="pct"/>
                  <w:vMerge w:val="continue"/>
                  <w:tcBorders>
                    <w:tl2br w:val="nil"/>
                    <w:tr2bl w:val="nil"/>
                  </w:tcBorders>
                  <w:vAlign w:val="center"/>
                </w:tcPr>
                <w:p w14:paraId="4DCDE37B">
                  <w:pPr>
                    <w:jc w:val="center"/>
                    <w:rPr>
                      <w:color w:val="auto"/>
                      <w:kern w:val="0"/>
                    </w:rPr>
                  </w:pPr>
                </w:p>
              </w:tc>
              <w:tc>
                <w:tcPr>
                  <w:tcW w:w="585" w:type="pct"/>
                  <w:vMerge w:val="continue"/>
                  <w:tcBorders>
                    <w:tl2br w:val="nil"/>
                    <w:tr2bl w:val="nil"/>
                  </w:tcBorders>
                  <w:vAlign w:val="center"/>
                </w:tcPr>
                <w:p w14:paraId="1AAFFBA3">
                  <w:pPr>
                    <w:jc w:val="center"/>
                    <w:rPr>
                      <w:color w:val="auto"/>
                      <w:kern w:val="0"/>
                    </w:rPr>
                  </w:pPr>
                </w:p>
              </w:tc>
              <w:tc>
                <w:tcPr>
                  <w:tcW w:w="927" w:type="pct"/>
                  <w:vMerge w:val="restart"/>
                  <w:tcBorders>
                    <w:tl2br w:val="nil"/>
                    <w:tr2bl w:val="nil"/>
                  </w:tcBorders>
                  <w:vAlign w:val="center"/>
                </w:tcPr>
                <w:p w14:paraId="05CE90CC">
                  <w:pPr>
                    <w:jc w:val="center"/>
                    <w:rPr>
                      <w:rFonts w:hint="default" w:eastAsia="宋体"/>
                      <w:color w:val="auto"/>
                      <w:kern w:val="0"/>
                      <w:lang w:val="en-US" w:eastAsia="zh-CN"/>
                    </w:rPr>
                  </w:pPr>
                  <w:r>
                    <w:rPr>
                      <w:rFonts w:hint="eastAsia"/>
                      <w:color w:val="auto"/>
                      <w:kern w:val="0"/>
                      <w:lang w:val="en-US" w:eastAsia="zh-CN"/>
                    </w:rPr>
                    <w:t>DA002</w:t>
                  </w:r>
                </w:p>
              </w:tc>
              <w:tc>
                <w:tcPr>
                  <w:tcW w:w="1683" w:type="pct"/>
                  <w:vMerge w:val="continue"/>
                  <w:tcBorders>
                    <w:tl2br w:val="nil"/>
                    <w:tr2bl w:val="nil"/>
                  </w:tcBorders>
                  <w:vAlign w:val="center"/>
                </w:tcPr>
                <w:p w14:paraId="67F0E518">
                  <w:pPr>
                    <w:jc w:val="center"/>
                    <w:rPr>
                      <w:rFonts w:hint="eastAsia"/>
                      <w:color w:val="auto"/>
                      <w:kern w:val="0"/>
                    </w:rPr>
                  </w:pPr>
                </w:p>
              </w:tc>
              <w:tc>
                <w:tcPr>
                  <w:tcW w:w="837" w:type="pct"/>
                  <w:tcBorders>
                    <w:tl2br w:val="nil"/>
                    <w:tr2bl w:val="nil"/>
                  </w:tcBorders>
                  <w:vAlign w:val="center"/>
                </w:tcPr>
                <w:p w14:paraId="54D82A66">
                  <w:pPr>
                    <w:jc w:val="center"/>
                    <w:rPr>
                      <w:color w:val="auto"/>
                      <w:kern w:val="0"/>
                    </w:rPr>
                  </w:pPr>
                  <w:r>
                    <w:rPr>
                      <w:rStyle w:val="71"/>
                      <w:color w:val="auto"/>
                      <w:kern w:val="0"/>
                    </w:rPr>
                    <w:t>非甲烷总烃</w:t>
                  </w:r>
                </w:p>
              </w:tc>
              <w:tc>
                <w:tcPr>
                  <w:tcW w:w="624" w:type="pct"/>
                  <w:tcBorders>
                    <w:tl2br w:val="nil"/>
                    <w:tr2bl w:val="nil"/>
                  </w:tcBorders>
                  <w:vAlign w:val="center"/>
                </w:tcPr>
                <w:p w14:paraId="4F7B281E">
                  <w:pPr>
                    <w:jc w:val="center"/>
                    <w:rPr>
                      <w:color w:val="auto"/>
                      <w:kern w:val="0"/>
                    </w:rPr>
                  </w:pPr>
                  <w:r>
                    <w:rPr>
                      <w:color w:val="auto"/>
                      <w:kern w:val="0"/>
                    </w:rPr>
                    <w:t>1次/</w:t>
                  </w:r>
                  <w:r>
                    <w:rPr>
                      <w:rFonts w:hint="eastAsia"/>
                      <w:color w:val="auto"/>
                      <w:kern w:val="0"/>
                    </w:rPr>
                    <w:t>半年</w:t>
                  </w:r>
                </w:p>
              </w:tc>
            </w:tr>
            <w:tr w14:paraId="66D9645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341" w:type="pct"/>
                  <w:vMerge w:val="continue"/>
                  <w:tcBorders>
                    <w:tl2br w:val="nil"/>
                    <w:tr2bl w:val="nil"/>
                  </w:tcBorders>
                  <w:vAlign w:val="center"/>
                </w:tcPr>
                <w:p w14:paraId="124643D0">
                  <w:pPr>
                    <w:jc w:val="center"/>
                    <w:rPr>
                      <w:color w:val="auto"/>
                      <w:kern w:val="0"/>
                    </w:rPr>
                  </w:pPr>
                </w:p>
              </w:tc>
              <w:tc>
                <w:tcPr>
                  <w:tcW w:w="585" w:type="pct"/>
                  <w:vMerge w:val="continue"/>
                  <w:tcBorders>
                    <w:tl2br w:val="nil"/>
                    <w:tr2bl w:val="nil"/>
                  </w:tcBorders>
                  <w:vAlign w:val="center"/>
                </w:tcPr>
                <w:p w14:paraId="593310D6">
                  <w:pPr>
                    <w:jc w:val="center"/>
                    <w:rPr>
                      <w:color w:val="auto"/>
                      <w:kern w:val="0"/>
                    </w:rPr>
                  </w:pPr>
                </w:p>
              </w:tc>
              <w:tc>
                <w:tcPr>
                  <w:tcW w:w="927" w:type="pct"/>
                  <w:vMerge w:val="continue"/>
                  <w:tcBorders>
                    <w:tl2br w:val="nil"/>
                    <w:tr2bl w:val="nil"/>
                  </w:tcBorders>
                  <w:vAlign w:val="center"/>
                </w:tcPr>
                <w:p w14:paraId="0A4DE202">
                  <w:pPr>
                    <w:jc w:val="center"/>
                    <w:rPr>
                      <w:rFonts w:hint="eastAsia"/>
                      <w:color w:val="auto"/>
                      <w:kern w:val="0"/>
                    </w:rPr>
                  </w:pPr>
                </w:p>
              </w:tc>
              <w:tc>
                <w:tcPr>
                  <w:tcW w:w="1683" w:type="pct"/>
                  <w:vMerge w:val="continue"/>
                  <w:tcBorders>
                    <w:tl2br w:val="nil"/>
                    <w:tr2bl w:val="nil"/>
                  </w:tcBorders>
                  <w:vAlign w:val="center"/>
                </w:tcPr>
                <w:p w14:paraId="71CE56C3">
                  <w:pPr>
                    <w:jc w:val="center"/>
                    <w:rPr>
                      <w:rFonts w:hint="eastAsia"/>
                      <w:color w:val="auto"/>
                      <w:kern w:val="0"/>
                    </w:rPr>
                  </w:pPr>
                </w:p>
              </w:tc>
              <w:tc>
                <w:tcPr>
                  <w:tcW w:w="837" w:type="pct"/>
                  <w:tcBorders>
                    <w:tl2br w:val="nil"/>
                    <w:tr2bl w:val="nil"/>
                  </w:tcBorders>
                  <w:vAlign w:val="center"/>
                </w:tcPr>
                <w:p w14:paraId="58373F78">
                  <w:pPr>
                    <w:jc w:val="center"/>
                    <w:rPr>
                      <w:color w:val="auto"/>
                      <w:kern w:val="0"/>
                    </w:rPr>
                  </w:pPr>
                  <w:r>
                    <w:rPr>
                      <w:rFonts w:hint="eastAsia"/>
                      <w:color w:val="auto"/>
                      <w:kern w:val="0"/>
                    </w:rPr>
                    <w:t>颗粒物</w:t>
                  </w:r>
                </w:p>
              </w:tc>
              <w:tc>
                <w:tcPr>
                  <w:tcW w:w="624" w:type="pct"/>
                  <w:tcBorders>
                    <w:tl2br w:val="nil"/>
                    <w:tr2bl w:val="nil"/>
                  </w:tcBorders>
                  <w:vAlign w:val="center"/>
                </w:tcPr>
                <w:p w14:paraId="7A12D1E4">
                  <w:pPr>
                    <w:jc w:val="center"/>
                    <w:rPr>
                      <w:color w:val="auto"/>
                      <w:kern w:val="0"/>
                    </w:rPr>
                  </w:pPr>
                  <w:r>
                    <w:rPr>
                      <w:color w:val="auto"/>
                      <w:kern w:val="0"/>
                    </w:rPr>
                    <w:t>1次/</w:t>
                  </w:r>
                  <w:r>
                    <w:rPr>
                      <w:rFonts w:hint="eastAsia"/>
                      <w:color w:val="auto"/>
                      <w:kern w:val="0"/>
                    </w:rPr>
                    <w:t>半年</w:t>
                  </w:r>
                </w:p>
              </w:tc>
            </w:tr>
            <w:tr w14:paraId="62FA037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341" w:type="pct"/>
                  <w:vMerge w:val="continue"/>
                  <w:tcBorders>
                    <w:tl2br w:val="nil"/>
                    <w:tr2bl w:val="nil"/>
                  </w:tcBorders>
                  <w:vAlign w:val="center"/>
                </w:tcPr>
                <w:p w14:paraId="4883FBFE">
                  <w:pPr>
                    <w:jc w:val="center"/>
                    <w:rPr>
                      <w:color w:val="auto"/>
                      <w:kern w:val="0"/>
                    </w:rPr>
                  </w:pPr>
                </w:p>
              </w:tc>
              <w:tc>
                <w:tcPr>
                  <w:tcW w:w="585" w:type="pct"/>
                  <w:vMerge w:val="continue"/>
                  <w:tcBorders>
                    <w:tl2br w:val="nil"/>
                    <w:tr2bl w:val="nil"/>
                  </w:tcBorders>
                  <w:vAlign w:val="center"/>
                </w:tcPr>
                <w:p w14:paraId="773ACEEB">
                  <w:pPr>
                    <w:jc w:val="center"/>
                    <w:rPr>
                      <w:color w:val="auto"/>
                      <w:kern w:val="0"/>
                    </w:rPr>
                  </w:pPr>
                </w:p>
              </w:tc>
              <w:tc>
                <w:tcPr>
                  <w:tcW w:w="927" w:type="pct"/>
                  <w:vMerge w:val="continue"/>
                  <w:tcBorders>
                    <w:tl2br w:val="nil"/>
                    <w:tr2bl w:val="nil"/>
                  </w:tcBorders>
                  <w:vAlign w:val="center"/>
                </w:tcPr>
                <w:p w14:paraId="1C64CA61">
                  <w:pPr>
                    <w:jc w:val="center"/>
                    <w:rPr>
                      <w:rFonts w:hint="eastAsia"/>
                      <w:color w:val="auto"/>
                      <w:kern w:val="0"/>
                    </w:rPr>
                  </w:pPr>
                </w:p>
              </w:tc>
              <w:tc>
                <w:tcPr>
                  <w:tcW w:w="1683" w:type="pct"/>
                  <w:vMerge w:val="continue"/>
                  <w:tcBorders>
                    <w:tl2br w:val="nil"/>
                    <w:tr2bl w:val="nil"/>
                  </w:tcBorders>
                  <w:vAlign w:val="center"/>
                </w:tcPr>
                <w:p w14:paraId="1E315B55">
                  <w:pPr>
                    <w:jc w:val="center"/>
                    <w:rPr>
                      <w:rFonts w:hint="eastAsia"/>
                      <w:color w:val="auto"/>
                      <w:kern w:val="0"/>
                    </w:rPr>
                  </w:pPr>
                </w:p>
              </w:tc>
              <w:tc>
                <w:tcPr>
                  <w:tcW w:w="837" w:type="pct"/>
                  <w:tcBorders>
                    <w:tl2br w:val="nil"/>
                    <w:tr2bl w:val="nil"/>
                  </w:tcBorders>
                  <w:vAlign w:val="center"/>
                </w:tcPr>
                <w:p w14:paraId="3B8B1268">
                  <w:pPr>
                    <w:jc w:val="center"/>
                    <w:rPr>
                      <w:rFonts w:hint="eastAsia" w:eastAsia="宋体"/>
                      <w:color w:val="auto"/>
                      <w:kern w:val="0"/>
                      <w:lang w:val="en-US" w:eastAsia="zh-CN"/>
                    </w:rPr>
                  </w:pPr>
                  <w:r>
                    <w:rPr>
                      <w:rFonts w:hint="eastAsia"/>
                      <w:color w:val="auto"/>
                      <w:kern w:val="0"/>
                      <w:lang w:val="en-US" w:eastAsia="zh-CN"/>
                    </w:rPr>
                    <w:t>苯系物</w:t>
                  </w:r>
                </w:p>
              </w:tc>
              <w:tc>
                <w:tcPr>
                  <w:tcW w:w="624" w:type="pct"/>
                  <w:tcBorders>
                    <w:tl2br w:val="nil"/>
                    <w:tr2bl w:val="nil"/>
                  </w:tcBorders>
                  <w:vAlign w:val="center"/>
                </w:tcPr>
                <w:p w14:paraId="4A381674">
                  <w:pPr>
                    <w:jc w:val="center"/>
                    <w:rPr>
                      <w:color w:val="auto"/>
                      <w:kern w:val="0"/>
                    </w:rPr>
                  </w:pPr>
                  <w:r>
                    <w:rPr>
                      <w:color w:val="auto"/>
                      <w:kern w:val="0"/>
                    </w:rPr>
                    <w:t>1次/</w:t>
                  </w:r>
                  <w:r>
                    <w:rPr>
                      <w:rFonts w:hint="eastAsia"/>
                      <w:color w:val="auto"/>
                      <w:kern w:val="0"/>
                    </w:rPr>
                    <w:t>半年</w:t>
                  </w:r>
                </w:p>
              </w:tc>
            </w:tr>
            <w:tr w14:paraId="76CFD1F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341" w:type="pct"/>
                  <w:vMerge w:val="continue"/>
                  <w:tcBorders>
                    <w:tl2br w:val="nil"/>
                    <w:tr2bl w:val="nil"/>
                  </w:tcBorders>
                  <w:vAlign w:val="center"/>
                </w:tcPr>
                <w:p w14:paraId="7D99EE9C">
                  <w:pPr>
                    <w:jc w:val="center"/>
                    <w:rPr>
                      <w:color w:val="auto"/>
                      <w:kern w:val="0"/>
                    </w:rPr>
                  </w:pPr>
                </w:p>
              </w:tc>
              <w:tc>
                <w:tcPr>
                  <w:tcW w:w="585" w:type="pct"/>
                  <w:vMerge w:val="continue"/>
                  <w:tcBorders>
                    <w:tl2br w:val="nil"/>
                    <w:tr2bl w:val="nil"/>
                  </w:tcBorders>
                  <w:vAlign w:val="center"/>
                </w:tcPr>
                <w:p w14:paraId="399ADF43">
                  <w:pPr>
                    <w:jc w:val="center"/>
                    <w:rPr>
                      <w:color w:val="auto"/>
                      <w:kern w:val="0"/>
                    </w:rPr>
                  </w:pPr>
                </w:p>
              </w:tc>
              <w:tc>
                <w:tcPr>
                  <w:tcW w:w="927" w:type="pct"/>
                  <w:vMerge w:val="continue"/>
                  <w:tcBorders>
                    <w:tl2br w:val="nil"/>
                    <w:tr2bl w:val="nil"/>
                  </w:tcBorders>
                  <w:vAlign w:val="center"/>
                </w:tcPr>
                <w:p w14:paraId="70313B3B">
                  <w:pPr>
                    <w:jc w:val="center"/>
                    <w:rPr>
                      <w:rFonts w:hint="eastAsia"/>
                      <w:color w:val="auto"/>
                      <w:kern w:val="0"/>
                    </w:rPr>
                  </w:pPr>
                </w:p>
              </w:tc>
              <w:tc>
                <w:tcPr>
                  <w:tcW w:w="1683" w:type="pct"/>
                  <w:vMerge w:val="continue"/>
                  <w:tcBorders>
                    <w:tl2br w:val="nil"/>
                    <w:tr2bl w:val="nil"/>
                  </w:tcBorders>
                  <w:vAlign w:val="center"/>
                </w:tcPr>
                <w:p w14:paraId="1326CF45">
                  <w:pPr>
                    <w:jc w:val="center"/>
                    <w:rPr>
                      <w:rFonts w:hint="eastAsia"/>
                      <w:color w:val="auto"/>
                      <w:kern w:val="0"/>
                    </w:rPr>
                  </w:pPr>
                </w:p>
              </w:tc>
              <w:tc>
                <w:tcPr>
                  <w:tcW w:w="837" w:type="pct"/>
                  <w:tcBorders>
                    <w:tl2br w:val="nil"/>
                    <w:tr2bl w:val="nil"/>
                  </w:tcBorders>
                  <w:vAlign w:val="center"/>
                </w:tcPr>
                <w:p w14:paraId="7C5BFBE5">
                  <w:pPr>
                    <w:jc w:val="center"/>
                    <w:rPr>
                      <w:rFonts w:hint="default"/>
                      <w:color w:val="auto"/>
                      <w:kern w:val="0"/>
                      <w:lang w:val="en-US" w:eastAsia="zh-CN"/>
                    </w:rPr>
                  </w:pPr>
                  <w:r>
                    <w:rPr>
                      <w:rFonts w:hint="eastAsia"/>
                      <w:color w:val="auto"/>
                      <w:kern w:val="0"/>
                      <w:lang w:val="en-US" w:eastAsia="zh-CN"/>
                    </w:rPr>
                    <w:t>二甲苯</w:t>
                  </w:r>
                </w:p>
              </w:tc>
              <w:tc>
                <w:tcPr>
                  <w:tcW w:w="624" w:type="pct"/>
                  <w:tcBorders>
                    <w:tl2br w:val="nil"/>
                    <w:tr2bl w:val="nil"/>
                  </w:tcBorders>
                  <w:vAlign w:val="center"/>
                </w:tcPr>
                <w:p w14:paraId="6CBC478A">
                  <w:pPr>
                    <w:jc w:val="center"/>
                    <w:rPr>
                      <w:color w:val="auto"/>
                      <w:kern w:val="0"/>
                    </w:rPr>
                  </w:pPr>
                  <w:r>
                    <w:rPr>
                      <w:color w:val="auto"/>
                      <w:kern w:val="0"/>
                    </w:rPr>
                    <w:t>1次/</w:t>
                  </w:r>
                  <w:r>
                    <w:rPr>
                      <w:rFonts w:hint="eastAsia"/>
                      <w:color w:val="auto"/>
                      <w:kern w:val="0"/>
                    </w:rPr>
                    <w:t>半年</w:t>
                  </w:r>
                </w:p>
              </w:tc>
            </w:tr>
            <w:tr w14:paraId="3E41126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341" w:type="pct"/>
                  <w:vMerge w:val="continue"/>
                  <w:tcBorders>
                    <w:tl2br w:val="nil"/>
                    <w:tr2bl w:val="nil"/>
                  </w:tcBorders>
                  <w:vAlign w:val="center"/>
                </w:tcPr>
                <w:p w14:paraId="234C2087">
                  <w:pPr>
                    <w:jc w:val="center"/>
                    <w:rPr>
                      <w:color w:val="auto"/>
                      <w:kern w:val="0"/>
                    </w:rPr>
                  </w:pPr>
                </w:p>
              </w:tc>
              <w:tc>
                <w:tcPr>
                  <w:tcW w:w="585" w:type="pct"/>
                  <w:vMerge w:val="continue"/>
                  <w:tcBorders>
                    <w:tl2br w:val="nil"/>
                    <w:tr2bl w:val="nil"/>
                  </w:tcBorders>
                  <w:vAlign w:val="center"/>
                </w:tcPr>
                <w:p w14:paraId="4870F55F">
                  <w:pPr>
                    <w:jc w:val="center"/>
                    <w:rPr>
                      <w:color w:val="auto"/>
                      <w:kern w:val="0"/>
                    </w:rPr>
                  </w:pPr>
                </w:p>
              </w:tc>
              <w:tc>
                <w:tcPr>
                  <w:tcW w:w="927" w:type="pct"/>
                  <w:vMerge w:val="continue"/>
                  <w:tcBorders>
                    <w:tl2br w:val="nil"/>
                    <w:tr2bl w:val="nil"/>
                  </w:tcBorders>
                  <w:vAlign w:val="center"/>
                </w:tcPr>
                <w:p w14:paraId="20CF4F64">
                  <w:pPr>
                    <w:jc w:val="center"/>
                    <w:rPr>
                      <w:rFonts w:hint="eastAsia"/>
                      <w:color w:val="auto"/>
                      <w:kern w:val="0"/>
                    </w:rPr>
                  </w:pPr>
                </w:p>
              </w:tc>
              <w:tc>
                <w:tcPr>
                  <w:tcW w:w="1683" w:type="pct"/>
                  <w:vMerge w:val="continue"/>
                  <w:tcBorders>
                    <w:tl2br w:val="nil"/>
                    <w:tr2bl w:val="nil"/>
                  </w:tcBorders>
                  <w:vAlign w:val="center"/>
                </w:tcPr>
                <w:p w14:paraId="0F4BC3C8">
                  <w:pPr>
                    <w:jc w:val="center"/>
                    <w:rPr>
                      <w:rFonts w:hint="eastAsia"/>
                      <w:color w:val="auto"/>
                      <w:kern w:val="0"/>
                    </w:rPr>
                  </w:pPr>
                </w:p>
              </w:tc>
              <w:tc>
                <w:tcPr>
                  <w:tcW w:w="837" w:type="pct"/>
                  <w:tcBorders>
                    <w:tl2br w:val="nil"/>
                    <w:tr2bl w:val="nil"/>
                  </w:tcBorders>
                  <w:vAlign w:val="center"/>
                </w:tcPr>
                <w:p w14:paraId="7227820F">
                  <w:pPr>
                    <w:jc w:val="center"/>
                    <w:rPr>
                      <w:rFonts w:hint="default"/>
                      <w:color w:val="auto"/>
                      <w:kern w:val="0"/>
                      <w:lang w:val="en-US" w:eastAsia="zh-CN"/>
                    </w:rPr>
                  </w:pPr>
                  <w:r>
                    <w:rPr>
                      <w:rFonts w:hint="eastAsia"/>
                      <w:color w:val="auto"/>
                      <w:kern w:val="0"/>
                      <w:lang w:val="en-US" w:eastAsia="zh-CN"/>
                    </w:rPr>
                    <w:t>乙苯</w:t>
                  </w:r>
                </w:p>
              </w:tc>
              <w:tc>
                <w:tcPr>
                  <w:tcW w:w="624" w:type="pct"/>
                  <w:tcBorders>
                    <w:tl2br w:val="nil"/>
                    <w:tr2bl w:val="nil"/>
                  </w:tcBorders>
                  <w:vAlign w:val="center"/>
                </w:tcPr>
                <w:p w14:paraId="54B358B7">
                  <w:pPr>
                    <w:jc w:val="center"/>
                    <w:rPr>
                      <w:color w:val="auto"/>
                      <w:kern w:val="0"/>
                    </w:rPr>
                  </w:pPr>
                  <w:r>
                    <w:rPr>
                      <w:color w:val="auto"/>
                      <w:kern w:val="0"/>
                    </w:rPr>
                    <w:t>1次/</w:t>
                  </w:r>
                  <w:r>
                    <w:rPr>
                      <w:rFonts w:hint="eastAsia"/>
                      <w:color w:val="auto"/>
                      <w:kern w:val="0"/>
                    </w:rPr>
                    <w:t>半年</w:t>
                  </w:r>
                </w:p>
              </w:tc>
            </w:tr>
            <w:tr w14:paraId="0F00AC6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341" w:type="pct"/>
                  <w:vMerge w:val="continue"/>
                  <w:tcBorders>
                    <w:tl2br w:val="nil"/>
                    <w:tr2bl w:val="nil"/>
                  </w:tcBorders>
                  <w:vAlign w:val="center"/>
                </w:tcPr>
                <w:p w14:paraId="5B9E5BB5">
                  <w:pPr>
                    <w:jc w:val="center"/>
                    <w:rPr>
                      <w:color w:val="auto"/>
                      <w:kern w:val="0"/>
                    </w:rPr>
                  </w:pPr>
                </w:p>
              </w:tc>
              <w:tc>
                <w:tcPr>
                  <w:tcW w:w="585" w:type="pct"/>
                  <w:vMerge w:val="continue"/>
                  <w:tcBorders>
                    <w:tl2br w:val="nil"/>
                    <w:tr2bl w:val="nil"/>
                  </w:tcBorders>
                  <w:vAlign w:val="center"/>
                </w:tcPr>
                <w:p w14:paraId="323856A3">
                  <w:pPr>
                    <w:jc w:val="center"/>
                    <w:rPr>
                      <w:color w:val="auto"/>
                      <w:kern w:val="0"/>
                    </w:rPr>
                  </w:pPr>
                </w:p>
              </w:tc>
              <w:tc>
                <w:tcPr>
                  <w:tcW w:w="927" w:type="pct"/>
                  <w:vMerge w:val="continue"/>
                  <w:tcBorders>
                    <w:tl2br w:val="nil"/>
                    <w:tr2bl w:val="nil"/>
                  </w:tcBorders>
                  <w:vAlign w:val="center"/>
                </w:tcPr>
                <w:p w14:paraId="5778B16B">
                  <w:pPr>
                    <w:jc w:val="center"/>
                    <w:rPr>
                      <w:rFonts w:hint="eastAsia"/>
                      <w:color w:val="auto"/>
                      <w:kern w:val="0"/>
                    </w:rPr>
                  </w:pPr>
                </w:p>
              </w:tc>
              <w:tc>
                <w:tcPr>
                  <w:tcW w:w="1683" w:type="pct"/>
                  <w:vMerge w:val="continue"/>
                  <w:tcBorders>
                    <w:tl2br w:val="nil"/>
                    <w:tr2bl w:val="nil"/>
                  </w:tcBorders>
                  <w:vAlign w:val="center"/>
                </w:tcPr>
                <w:p w14:paraId="4D4CEC8A">
                  <w:pPr>
                    <w:jc w:val="center"/>
                    <w:rPr>
                      <w:rFonts w:hint="eastAsia"/>
                      <w:color w:val="auto"/>
                      <w:kern w:val="0"/>
                    </w:rPr>
                  </w:pPr>
                </w:p>
              </w:tc>
              <w:tc>
                <w:tcPr>
                  <w:tcW w:w="837" w:type="pct"/>
                  <w:tcBorders>
                    <w:tl2br w:val="nil"/>
                    <w:tr2bl w:val="nil"/>
                  </w:tcBorders>
                  <w:vAlign w:val="center"/>
                </w:tcPr>
                <w:p w14:paraId="78EDD3CC">
                  <w:pPr>
                    <w:jc w:val="center"/>
                    <w:rPr>
                      <w:rFonts w:hint="default"/>
                      <w:color w:val="auto"/>
                      <w:kern w:val="0"/>
                      <w:lang w:val="en-US" w:eastAsia="zh-CN"/>
                    </w:rPr>
                  </w:pPr>
                  <w:r>
                    <w:rPr>
                      <w:rFonts w:hint="eastAsia"/>
                      <w:color w:val="auto"/>
                      <w:kern w:val="0"/>
                      <w:lang w:val="en-US" w:eastAsia="zh-CN"/>
                    </w:rPr>
                    <w:t>三甲苯</w:t>
                  </w:r>
                </w:p>
              </w:tc>
              <w:tc>
                <w:tcPr>
                  <w:tcW w:w="624" w:type="pct"/>
                  <w:tcBorders>
                    <w:tl2br w:val="nil"/>
                    <w:tr2bl w:val="nil"/>
                  </w:tcBorders>
                  <w:vAlign w:val="center"/>
                </w:tcPr>
                <w:p w14:paraId="5E45D573">
                  <w:pPr>
                    <w:jc w:val="center"/>
                    <w:rPr>
                      <w:color w:val="auto"/>
                      <w:kern w:val="0"/>
                    </w:rPr>
                  </w:pPr>
                  <w:r>
                    <w:rPr>
                      <w:color w:val="auto"/>
                      <w:kern w:val="0"/>
                    </w:rPr>
                    <w:t>1次/</w:t>
                  </w:r>
                  <w:r>
                    <w:rPr>
                      <w:rFonts w:hint="eastAsia"/>
                      <w:color w:val="auto"/>
                      <w:kern w:val="0"/>
                    </w:rPr>
                    <w:t>半年</w:t>
                  </w:r>
                </w:p>
              </w:tc>
            </w:tr>
          </w:tbl>
          <w:p w14:paraId="019BDA9C">
            <w:pPr>
              <w:pStyle w:val="5"/>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textAlignment w:val="auto"/>
              <w:rPr>
                <w:rFonts w:hint="default" w:eastAsia="宋体"/>
                <w:b/>
                <w:color w:val="auto"/>
                <w:kern w:val="0"/>
                <w:szCs w:val="21"/>
                <w:lang w:val="en-US" w:eastAsia="zh-CN"/>
              </w:rPr>
            </w:pPr>
            <w:r>
              <w:rPr>
                <w:rFonts w:hint="eastAsia"/>
                <w:b/>
                <w:color w:val="auto"/>
                <w:kern w:val="0"/>
                <w:szCs w:val="21"/>
                <w:lang w:eastAsia="zh-CN"/>
              </w:rPr>
              <w:t>（</w:t>
            </w:r>
            <w:r>
              <w:rPr>
                <w:rFonts w:hint="eastAsia"/>
                <w:b/>
                <w:color w:val="auto"/>
                <w:kern w:val="0"/>
                <w:szCs w:val="21"/>
                <w:lang w:val="en-US" w:eastAsia="zh-CN"/>
              </w:rPr>
              <w:t>9</w:t>
            </w:r>
            <w:r>
              <w:rPr>
                <w:rFonts w:hint="eastAsia"/>
                <w:b/>
                <w:color w:val="auto"/>
                <w:kern w:val="0"/>
                <w:szCs w:val="21"/>
                <w:lang w:eastAsia="zh-CN"/>
              </w:rPr>
              <w:t>）</w:t>
            </w:r>
            <w:r>
              <w:rPr>
                <w:rFonts w:hint="eastAsia"/>
                <w:b/>
                <w:color w:val="auto"/>
                <w:kern w:val="0"/>
                <w:szCs w:val="21"/>
                <w:lang w:val="en-US" w:eastAsia="zh-CN"/>
              </w:rPr>
              <w:t>异味影响分析</w:t>
            </w:r>
          </w:p>
          <w:p w14:paraId="7C1B446C">
            <w:pPr>
              <w:pStyle w:val="5"/>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color w:val="auto"/>
                <w:kern w:val="0"/>
                <w:szCs w:val="21"/>
              </w:rPr>
            </w:pPr>
            <w:r>
              <w:rPr>
                <w:rFonts w:hint="eastAsia"/>
                <w:color w:val="auto"/>
                <w:kern w:val="0"/>
                <w:szCs w:val="21"/>
              </w:rPr>
              <w:t>刺激性气味气体，其主要危害为：</w:t>
            </w:r>
          </w:p>
          <w:p w14:paraId="76F57DCF">
            <w:pPr>
              <w:pStyle w:val="5"/>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color w:val="auto"/>
                <w:kern w:val="0"/>
                <w:szCs w:val="21"/>
              </w:rPr>
            </w:pPr>
            <w:r>
              <w:rPr>
                <w:rFonts w:hint="eastAsia"/>
                <w:color w:val="auto"/>
                <w:kern w:val="0"/>
                <w:szCs w:val="21"/>
              </w:rPr>
              <w:t>①危害呼吸系统。人们突然闻到异味，就会产生反射性的抑制吸气，是呼吸次数减少，深度变浅，甚至会暂时停止呼吸，妨碍正常呼吸功能。</w:t>
            </w:r>
          </w:p>
          <w:p w14:paraId="4217A32C">
            <w:pPr>
              <w:pStyle w:val="5"/>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color w:val="auto"/>
                <w:kern w:val="0"/>
                <w:szCs w:val="21"/>
              </w:rPr>
            </w:pPr>
            <w:r>
              <w:rPr>
                <w:rFonts w:hint="eastAsia"/>
                <w:color w:val="auto"/>
                <w:kern w:val="0"/>
                <w:szCs w:val="21"/>
              </w:rPr>
              <w:t>②危害循环系统。随着呼吸的变化，会出现脉搏和血压的变化。</w:t>
            </w:r>
          </w:p>
          <w:p w14:paraId="6954700B">
            <w:pPr>
              <w:pStyle w:val="5"/>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color w:val="auto"/>
                <w:kern w:val="0"/>
                <w:szCs w:val="21"/>
              </w:rPr>
            </w:pPr>
            <w:r>
              <w:rPr>
                <w:rFonts w:hint="eastAsia"/>
                <w:color w:val="auto"/>
                <w:kern w:val="0"/>
                <w:szCs w:val="21"/>
              </w:rPr>
              <w:t>③危害消化系统。经常接触异味，会使人厌食，恶心，甚至呕吐，进而发展为消化功能减退。</w:t>
            </w:r>
          </w:p>
          <w:p w14:paraId="5DB068DF">
            <w:pPr>
              <w:pStyle w:val="5"/>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color w:val="auto"/>
                <w:kern w:val="0"/>
                <w:szCs w:val="21"/>
              </w:rPr>
            </w:pPr>
            <w:r>
              <w:rPr>
                <w:rFonts w:hint="eastAsia"/>
                <w:color w:val="auto"/>
                <w:kern w:val="0"/>
                <w:szCs w:val="21"/>
              </w:rPr>
              <w:t>④危害内分泌系统。经常受异味刺激，会使内分泌系统的分泌功能紊乱，影响机体的代谢活动。</w:t>
            </w:r>
          </w:p>
          <w:p w14:paraId="5D2293AB">
            <w:pPr>
              <w:pStyle w:val="5"/>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color w:val="auto"/>
                <w:kern w:val="0"/>
                <w:szCs w:val="21"/>
              </w:rPr>
            </w:pPr>
            <w:r>
              <w:rPr>
                <w:rFonts w:hint="eastAsia"/>
                <w:color w:val="auto"/>
                <w:kern w:val="0"/>
                <w:szCs w:val="21"/>
              </w:rPr>
              <w:t>⑤危害神经系统。长期受到一种或几种低浓度异味物质的刺激，会引起嗅觉脱失、嗅觉疲劳等障碍。“久闻而不知其臭”，使嗅觉丧失了第一道防御功能，但脑神经仍不断收到刺激和损伤，最后导致大脑皮层兴奋和抑制的调节失调。</w:t>
            </w:r>
          </w:p>
          <w:p w14:paraId="6AEB5B87">
            <w:pPr>
              <w:pStyle w:val="5"/>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b w:val="0"/>
                <w:bCs/>
                <w:color w:val="auto"/>
                <w:kern w:val="0"/>
                <w:szCs w:val="21"/>
              </w:rPr>
            </w:pPr>
            <w:r>
              <w:rPr>
                <w:rFonts w:hint="eastAsia"/>
                <w:b w:val="0"/>
                <w:bCs/>
                <w:color w:val="auto"/>
                <w:kern w:val="0"/>
                <w:szCs w:val="21"/>
              </w:rPr>
              <w:t>为了减小异味对周边环境的影响，本项目需加强厂房排气，增加空气流通，并且通过厂区周边绿化树木的吸收，确保异味对周边环境的影响较小。</w:t>
            </w:r>
          </w:p>
          <w:p w14:paraId="79734040">
            <w:pPr>
              <w:pStyle w:val="5"/>
              <w:adjustRightInd w:val="0"/>
              <w:snapToGrid w:val="0"/>
              <w:spacing w:line="360" w:lineRule="auto"/>
              <w:ind w:firstLine="422" w:firstLineChars="200"/>
              <w:rPr>
                <w:b/>
                <w:color w:val="auto"/>
                <w:kern w:val="0"/>
                <w:szCs w:val="21"/>
              </w:rPr>
            </w:pPr>
            <w:r>
              <w:rPr>
                <w:rFonts w:hint="eastAsia"/>
                <w:b/>
                <w:color w:val="auto"/>
                <w:kern w:val="0"/>
                <w:szCs w:val="21"/>
              </w:rPr>
              <w:t>（</w:t>
            </w:r>
            <w:r>
              <w:rPr>
                <w:rFonts w:hint="eastAsia"/>
                <w:b/>
                <w:color w:val="auto"/>
                <w:kern w:val="0"/>
                <w:szCs w:val="21"/>
                <w:lang w:val="en-US" w:eastAsia="zh-CN"/>
              </w:rPr>
              <w:t>10</w:t>
            </w:r>
            <w:r>
              <w:rPr>
                <w:rFonts w:hint="eastAsia"/>
                <w:b/>
                <w:color w:val="auto"/>
                <w:kern w:val="0"/>
                <w:szCs w:val="21"/>
              </w:rPr>
              <w:t>）大气环境影响分析结论</w:t>
            </w:r>
          </w:p>
          <w:p w14:paraId="6C9973EB">
            <w:pPr>
              <w:pStyle w:val="5"/>
              <w:adjustRightInd w:val="0"/>
              <w:snapToGrid w:val="0"/>
              <w:spacing w:line="360" w:lineRule="auto"/>
              <w:ind w:firstLine="480"/>
              <w:rPr>
                <w:color w:val="auto"/>
                <w:kern w:val="0"/>
                <w:szCs w:val="21"/>
              </w:rPr>
            </w:pPr>
            <w:r>
              <w:rPr>
                <w:color w:val="auto"/>
                <w:kern w:val="0"/>
                <w:szCs w:val="21"/>
              </w:rPr>
              <w:t>项目所在区域为环境空气非达标区，根据</w:t>
            </w:r>
            <w:r>
              <w:rPr>
                <w:rFonts w:hint="eastAsia"/>
                <w:color w:val="auto"/>
                <w:kern w:val="0"/>
                <w:sz w:val="21"/>
              </w:rPr>
              <w:t>《常州市空气质量持续改善行动计划实施方案》（常政发〔2024〕51号）</w:t>
            </w:r>
            <w:r>
              <w:rPr>
                <w:color w:val="auto"/>
                <w:kern w:val="0"/>
                <w:szCs w:val="21"/>
              </w:rPr>
              <w:t>，在落实大气污染防治措施的情况下，区域环境空气质量可以得到改善。</w:t>
            </w:r>
          </w:p>
          <w:p w14:paraId="6D9E9141">
            <w:pPr>
              <w:adjustRightInd w:val="0"/>
              <w:snapToGrid w:val="0"/>
              <w:spacing w:line="360" w:lineRule="auto"/>
              <w:ind w:firstLine="420" w:firstLineChars="200"/>
              <w:rPr>
                <w:color w:val="auto"/>
                <w:kern w:val="0"/>
                <w:szCs w:val="21"/>
              </w:rPr>
            </w:pPr>
            <w:r>
              <w:rPr>
                <w:rFonts w:hint="eastAsia"/>
                <w:color w:val="auto"/>
                <w:kern w:val="0"/>
                <w:szCs w:val="21"/>
                <w:lang w:eastAsia="zh-CN"/>
              </w:rPr>
              <w:t>本项目喷砂、喷锌产生的颗粒物经喷砂房、喷锌房密闭收集，收集后的颗粒物进入1套“袋式除尘装置”处理后通过1根15m高的排气筒DA001排放；喷漆产生的颗粒物、非甲烷总烃；</w:t>
            </w:r>
            <w:r>
              <w:rPr>
                <w:rFonts w:hint="eastAsia"/>
                <w:color w:val="auto"/>
                <w:kern w:val="0"/>
                <w:szCs w:val="21"/>
                <w:lang w:val="en-US" w:eastAsia="zh-CN"/>
              </w:rPr>
              <w:t>喷枪清洗产生的非甲烷总烃</w:t>
            </w:r>
            <w:r>
              <w:rPr>
                <w:rFonts w:hint="eastAsia"/>
                <w:color w:val="auto"/>
                <w:kern w:val="0"/>
                <w:szCs w:val="21"/>
                <w:lang w:eastAsia="zh-CN"/>
              </w:rPr>
              <w:t>经喷漆房密闭收集，收集后的颗粒物、有机废气进入1套“过滤棉+二级活性炭装置”处理后通过1根15m高的排气筒DA002排放。</w:t>
            </w:r>
            <w:r>
              <w:rPr>
                <w:rFonts w:hint="eastAsia"/>
                <w:color w:val="auto"/>
                <w:kern w:val="0"/>
                <w:szCs w:val="21"/>
                <w:lang w:bidi="ar"/>
              </w:rPr>
              <w:t>废气收集效率较高，</w:t>
            </w:r>
            <w:r>
              <w:rPr>
                <w:color w:val="auto"/>
                <w:kern w:val="0"/>
                <w:szCs w:val="21"/>
                <w:lang w:bidi="ar"/>
              </w:rPr>
              <w:t>可最大限度的降低无组织排放。</w:t>
            </w:r>
          </w:p>
          <w:p w14:paraId="25F3E5E8">
            <w:pPr>
              <w:pStyle w:val="5"/>
              <w:adjustRightInd w:val="0"/>
              <w:snapToGrid w:val="0"/>
              <w:spacing w:line="360" w:lineRule="auto"/>
              <w:ind w:firstLine="480"/>
              <w:rPr>
                <w:color w:val="auto"/>
                <w:kern w:val="0"/>
                <w:szCs w:val="21"/>
              </w:rPr>
            </w:pPr>
            <w:r>
              <w:rPr>
                <w:color w:val="auto"/>
                <w:kern w:val="0"/>
                <w:szCs w:val="21"/>
              </w:rPr>
              <w:t>企业拟通过加强车间通风等措施确保无组织废气排放厂界达标；项目以生产车间为边界设置</w:t>
            </w:r>
            <w:r>
              <w:rPr>
                <w:rFonts w:hint="eastAsia"/>
                <w:color w:val="auto"/>
                <w:kern w:val="0"/>
                <w:szCs w:val="21"/>
              </w:rPr>
              <w:t>100</w:t>
            </w:r>
            <w:r>
              <w:rPr>
                <w:color w:val="auto"/>
                <w:kern w:val="0"/>
                <w:szCs w:val="21"/>
              </w:rPr>
              <w:t>m卫生防护距离。</w:t>
            </w:r>
          </w:p>
          <w:p w14:paraId="219ED840">
            <w:pPr>
              <w:adjustRightInd w:val="0"/>
              <w:snapToGrid w:val="0"/>
              <w:spacing w:line="360" w:lineRule="auto"/>
              <w:ind w:firstLine="420" w:firstLineChars="200"/>
              <w:jc w:val="left"/>
              <w:rPr>
                <w:color w:val="auto"/>
                <w:kern w:val="0"/>
              </w:rPr>
            </w:pPr>
            <w:r>
              <w:rPr>
                <w:rFonts w:hint="eastAsia"/>
                <w:color w:val="auto"/>
                <w:kern w:val="0"/>
              </w:rPr>
              <w:t>本</w:t>
            </w:r>
            <w:r>
              <w:rPr>
                <w:color w:val="auto"/>
                <w:kern w:val="0"/>
              </w:rPr>
              <w:t>项目污染物经合理处置后，排放量较低，因此本项目建成后对大气环境影响较小</w:t>
            </w:r>
            <w:r>
              <w:rPr>
                <w:rFonts w:hint="eastAsia"/>
                <w:color w:val="auto"/>
                <w:kern w:val="0"/>
              </w:rPr>
              <w:t>。</w:t>
            </w:r>
          </w:p>
          <w:p w14:paraId="124F83A4">
            <w:pPr>
              <w:adjustRightInd w:val="0"/>
              <w:snapToGrid w:val="0"/>
              <w:spacing w:line="360" w:lineRule="auto"/>
              <w:rPr>
                <w:b/>
                <w:color w:val="auto"/>
                <w:kern w:val="0"/>
              </w:rPr>
            </w:pPr>
            <w:r>
              <w:rPr>
                <w:rFonts w:hint="eastAsia"/>
                <w:b/>
                <w:color w:val="auto"/>
                <w:kern w:val="0"/>
              </w:rPr>
              <w:t>2、地表水环境影响分析</w:t>
            </w:r>
          </w:p>
          <w:p w14:paraId="07064647">
            <w:pPr>
              <w:pStyle w:val="5"/>
              <w:spacing w:line="360" w:lineRule="auto"/>
              <w:ind w:firstLine="482"/>
              <w:rPr>
                <w:b/>
                <w:bCs/>
                <w:color w:val="auto"/>
                <w:kern w:val="0"/>
                <w:szCs w:val="21"/>
              </w:rPr>
            </w:pPr>
            <w:r>
              <w:rPr>
                <w:b/>
                <w:bCs/>
                <w:color w:val="auto"/>
                <w:kern w:val="0"/>
                <w:szCs w:val="21"/>
              </w:rPr>
              <w:t>（1）废水源强</w:t>
            </w:r>
          </w:p>
          <w:p w14:paraId="724C9743">
            <w:pPr>
              <w:pStyle w:val="5"/>
              <w:adjustRightInd w:val="0"/>
              <w:snapToGrid w:val="0"/>
              <w:spacing w:line="360" w:lineRule="auto"/>
              <w:ind w:firstLine="480"/>
              <w:rPr>
                <w:color w:val="auto"/>
                <w:kern w:val="0"/>
                <w:szCs w:val="21"/>
              </w:rPr>
            </w:pPr>
            <w:r>
              <w:rPr>
                <w:color w:val="auto"/>
                <w:kern w:val="0"/>
                <w:szCs w:val="21"/>
              </w:rPr>
              <w:t>项目废水仅为生活污水，排水量为</w:t>
            </w:r>
            <w:r>
              <w:rPr>
                <w:rFonts w:hint="eastAsia"/>
                <w:color w:val="auto"/>
                <w:kern w:val="0"/>
                <w:szCs w:val="21"/>
                <w:lang w:val="en-US" w:eastAsia="zh-CN"/>
              </w:rPr>
              <w:t>720</w:t>
            </w:r>
            <w:r>
              <w:rPr>
                <w:color w:val="auto"/>
                <w:kern w:val="0"/>
                <w:szCs w:val="21"/>
              </w:rPr>
              <w:t>t/a，接管至</w:t>
            </w:r>
            <w:r>
              <w:rPr>
                <w:rFonts w:hint="eastAsia"/>
                <w:color w:val="auto"/>
                <w:kern w:val="0"/>
                <w:szCs w:val="21"/>
              </w:rPr>
              <w:t>常州金坛区第二污水处理有限公司</w:t>
            </w:r>
            <w:r>
              <w:rPr>
                <w:color w:val="auto"/>
                <w:kern w:val="0"/>
                <w:szCs w:val="21"/>
              </w:rPr>
              <w:t>集中处理，处理后尾水排入</w:t>
            </w:r>
            <w:r>
              <w:rPr>
                <w:rFonts w:hint="eastAsia"/>
                <w:color w:val="auto"/>
                <w:kern w:val="0"/>
                <w:szCs w:val="21"/>
              </w:rPr>
              <w:t>尧塘河</w:t>
            </w:r>
            <w:r>
              <w:rPr>
                <w:color w:val="auto"/>
                <w:kern w:val="0"/>
                <w:szCs w:val="21"/>
              </w:rPr>
              <w:t>。废水产生及排放情况见</w:t>
            </w:r>
            <w:r>
              <w:rPr>
                <w:rFonts w:hint="eastAsia"/>
                <w:color w:val="auto"/>
                <w:kern w:val="0"/>
                <w:szCs w:val="21"/>
              </w:rPr>
              <w:t>下表</w:t>
            </w:r>
            <w:r>
              <w:rPr>
                <w:color w:val="auto"/>
                <w:kern w:val="0"/>
                <w:szCs w:val="21"/>
              </w:rPr>
              <w:t>。</w:t>
            </w:r>
          </w:p>
          <w:p w14:paraId="361C4596">
            <w:pPr>
              <w:adjustRightInd w:val="0"/>
              <w:snapToGrid w:val="0"/>
              <w:jc w:val="center"/>
              <w:rPr>
                <w:bCs/>
                <w:color w:val="auto"/>
                <w:kern w:val="0"/>
              </w:rPr>
            </w:pPr>
            <w:r>
              <w:rPr>
                <w:b/>
                <w:color w:val="auto"/>
                <w:kern w:val="0"/>
              </w:rPr>
              <w:t>表4-</w:t>
            </w:r>
            <w:r>
              <w:rPr>
                <w:rFonts w:hint="eastAsia"/>
                <w:b/>
                <w:color w:val="auto"/>
                <w:kern w:val="0"/>
                <w:lang w:val="en-US" w:eastAsia="zh-CN"/>
              </w:rPr>
              <w:t>14</w:t>
            </w:r>
            <w:r>
              <w:rPr>
                <w:b/>
                <w:color w:val="auto"/>
                <w:kern w:val="0"/>
              </w:rPr>
              <w:t xml:space="preserve">   </w:t>
            </w:r>
            <w:r>
              <w:rPr>
                <w:rFonts w:hint="eastAsia"/>
                <w:b/>
                <w:bCs/>
                <w:color w:val="auto"/>
                <w:kern w:val="0"/>
              </w:rPr>
              <w:t>本项目</w:t>
            </w:r>
            <w:r>
              <w:rPr>
                <w:b/>
                <w:color w:val="auto"/>
                <w:kern w:val="0"/>
              </w:rPr>
              <w:t>水污染物产生和排放情况表</w:t>
            </w:r>
          </w:p>
          <w:tbl>
            <w:tblPr>
              <w:tblStyle w:val="59"/>
              <w:tblW w:w="4996"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0" w:type="dxa"/>
                <w:bottom w:w="0" w:type="dxa"/>
                <w:right w:w="0" w:type="dxa"/>
              </w:tblCellMar>
            </w:tblPr>
            <w:tblGrid>
              <w:gridCol w:w="549"/>
              <w:gridCol w:w="855"/>
              <w:gridCol w:w="972"/>
              <w:gridCol w:w="959"/>
              <w:gridCol w:w="1187"/>
              <w:gridCol w:w="1021"/>
              <w:gridCol w:w="1003"/>
              <w:gridCol w:w="1173"/>
              <w:gridCol w:w="1135"/>
            </w:tblGrid>
            <w:tr w14:paraId="0F4F094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310" w:type="pct"/>
                  <w:tcBorders>
                    <w:tl2br w:val="nil"/>
                    <w:tr2bl w:val="nil"/>
                  </w:tcBorders>
                  <w:vAlign w:val="center"/>
                </w:tcPr>
                <w:p w14:paraId="348FDBEE">
                  <w:pPr>
                    <w:adjustRightInd w:val="0"/>
                    <w:snapToGrid w:val="0"/>
                    <w:jc w:val="center"/>
                    <w:rPr>
                      <w:b/>
                      <w:bCs/>
                      <w:color w:val="auto"/>
                      <w:kern w:val="0"/>
                    </w:rPr>
                  </w:pPr>
                  <w:r>
                    <w:rPr>
                      <w:b/>
                      <w:bCs/>
                      <w:color w:val="auto"/>
                      <w:kern w:val="0"/>
                    </w:rPr>
                    <w:t>废水类型</w:t>
                  </w:r>
                </w:p>
              </w:tc>
              <w:tc>
                <w:tcPr>
                  <w:tcW w:w="482" w:type="pct"/>
                  <w:tcBorders>
                    <w:tl2br w:val="nil"/>
                    <w:tr2bl w:val="nil"/>
                  </w:tcBorders>
                  <w:vAlign w:val="center"/>
                </w:tcPr>
                <w:p w14:paraId="655D4F0D">
                  <w:pPr>
                    <w:adjustRightInd w:val="0"/>
                    <w:snapToGrid w:val="0"/>
                    <w:jc w:val="center"/>
                    <w:rPr>
                      <w:b/>
                      <w:bCs/>
                      <w:color w:val="auto"/>
                      <w:kern w:val="0"/>
                    </w:rPr>
                  </w:pPr>
                  <w:r>
                    <w:rPr>
                      <w:b/>
                      <w:bCs/>
                      <w:color w:val="auto"/>
                      <w:kern w:val="0"/>
                    </w:rPr>
                    <w:t>废水量t/a</w:t>
                  </w:r>
                </w:p>
              </w:tc>
              <w:tc>
                <w:tcPr>
                  <w:tcW w:w="548" w:type="pct"/>
                  <w:tcBorders>
                    <w:tl2br w:val="nil"/>
                    <w:tr2bl w:val="nil"/>
                  </w:tcBorders>
                  <w:vAlign w:val="center"/>
                </w:tcPr>
                <w:p w14:paraId="47C44B9A">
                  <w:pPr>
                    <w:adjustRightInd w:val="0"/>
                    <w:snapToGrid w:val="0"/>
                    <w:jc w:val="center"/>
                    <w:rPr>
                      <w:b/>
                      <w:bCs/>
                      <w:color w:val="auto"/>
                      <w:kern w:val="0"/>
                    </w:rPr>
                  </w:pPr>
                  <w:r>
                    <w:rPr>
                      <w:b/>
                      <w:bCs/>
                      <w:color w:val="auto"/>
                      <w:kern w:val="0"/>
                    </w:rPr>
                    <w:t>污染因子</w:t>
                  </w:r>
                </w:p>
              </w:tc>
              <w:tc>
                <w:tcPr>
                  <w:tcW w:w="541" w:type="pct"/>
                  <w:tcBorders>
                    <w:tl2br w:val="nil"/>
                    <w:tr2bl w:val="nil"/>
                  </w:tcBorders>
                  <w:vAlign w:val="center"/>
                </w:tcPr>
                <w:p w14:paraId="0F48F9BA">
                  <w:pPr>
                    <w:adjustRightInd w:val="0"/>
                    <w:snapToGrid w:val="0"/>
                    <w:jc w:val="center"/>
                    <w:rPr>
                      <w:b/>
                      <w:bCs/>
                      <w:color w:val="auto"/>
                      <w:kern w:val="0"/>
                    </w:rPr>
                  </w:pPr>
                  <w:r>
                    <w:rPr>
                      <w:b/>
                      <w:bCs/>
                      <w:color w:val="auto"/>
                      <w:kern w:val="0"/>
                    </w:rPr>
                    <w:t>浓度mg/L</w:t>
                  </w:r>
                </w:p>
              </w:tc>
              <w:tc>
                <w:tcPr>
                  <w:tcW w:w="670" w:type="pct"/>
                  <w:tcBorders>
                    <w:tl2br w:val="nil"/>
                    <w:tr2bl w:val="nil"/>
                  </w:tcBorders>
                  <w:vAlign w:val="center"/>
                </w:tcPr>
                <w:p w14:paraId="6686A436">
                  <w:pPr>
                    <w:adjustRightInd w:val="0"/>
                    <w:snapToGrid w:val="0"/>
                    <w:jc w:val="center"/>
                    <w:rPr>
                      <w:b/>
                      <w:bCs/>
                      <w:color w:val="auto"/>
                      <w:kern w:val="0"/>
                    </w:rPr>
                  </w:pPr>
                  <w:r>
                    <w:rPr>
                      <w:b/>
                      <w:bCs/>
                      <w:color w:val="auto"/>
                      <w:kern w:val="0"/>
                    </w:rPr>
                    <w:t>产生量t/a</w:t>
                  </w:r>
                </w:p>
              </w:tc>
              <w:tc>
                <w:tcPr>
                  <w:tcW w:w="576" w:type="pct"/>
                  <w:tcBorders>
                    <w:tl2br w:val="nil"/>
                    <w:tr2bl w:val="nil"/>
                  </w:tcBorders>
                  <w:vAlign w:val="center"/>
                </w:tcPr>
                <w:p w14:paraId="5DFB306B">
                  <w:pPr>
                    <w:adjustRightInd w:val="0"/>
                    <w:snapToGrid w:val="0"/>
                    <w:jc w:val="center"/>
                    <w:rPr>
                      <w:b/>
                      <w:bCs/>
                      <w:color w:val="auto"/>
                      <w:kern w:val="0"/>
                    </w:rPr>
                  </w:pPr>
                  <w:r>
                    <w:rPr>
                      <w:b/>
                      <w:bCs/>
                      <w:color w:val="auto"/>
                      <w:kern w:val="0"/>
                    </w:rPr>
                    <w:t>拟采取的处理方式</w:t>
                  </w:r>
                </w:p>
              </w:tc>
              <w:tc>
                <w:tcPr>
                  <w:tcW w:w="566" w:type="pct"/>
                  <w:tcBorders>
                    <w:tl2br w:val="nil"/>
                    <w:tr2bl w:val="nil"/>
                  </w:tcBorders>
                  <w:vAlign w:val="center"/>
                </w:tcPr>
                <w:p w14:paraId="77FBDEF8">
                  <w:pPr>
                    <w:adjustRightInd w:val="0"/>
                    <w:snapToGrid w:val="0"/>
                    <w:jc w:val="center"/>
                    <w:rPr>
                      <w:b/>
                      <w:bCs/>
                      <w:color w:val="auto"/>
                      <w:kern w:val="0"/>
                    </w:rPr>
                  </w:pPr>
                  <w:r>
                    <w:rPr>
                      <w:b/>
                      <w:bCs/>
                      <w:color w:val="auto"/>
                      <w:kern w:val="0"/>
                    </w:rPr>
                    <w:t>浓度mg/L</w:t>
                  </w:r>
                </w:p>
              </w:tc>
              <w:tc>
                <w:tcPr>
                  <w:tcW w:w="662" w:type="pct"/>
                  <w:tcBorders>
                    <w:tl2br w:val="nil"/>
                    <w:tr2bl w:val="nil"/>
                  </w:tcBorders>
                  <w:vAlign w:val="center"/>
                </w:tcPr>
                <w:p w14:paraId="0625C539">
                  <w:pPr>
                    <w:adjustRightInd w:val="0"/>
                    <w:snapToGrid w:val="0"/>
                    <w:jc w:val="center"/>
                    <w:rPr>
                      <w:b/>
                      <w:bCs/>
                      <w:color w:val="auto"/>
                      <w:kern w:val="0"/>
                    </w:rPr>
                  </w:pPr>
                  <w:r>
                    <w:rPr>
                      <w:b/>
                      <w:bCs/>
                      <w:color w:val="auto"/>
                      <w:kern w:val="0"/>
                    </w:rPr>
                    <w:t>排放量t/a</w:t>
                  </w:r>
                </w:p>
              </w:tc>
              <w:tc>
                <w:tcPr>
                  <w:tcW w:w="640" w:type="pct"/>
                  <w:tcBorders>
                    <w:tl2br w:val="nil"/>
                    <w:tr2bl w:val="nil"/>
                  </w:tcBorders>
                  <w:vAlign w:val="center"/>
                </w:tcPr>
                <w:p w14:paraId="427386D7">
                  <w:pPr>
                    <w:adjustRightInd w:val="0"/>
                    <w:snapToGrid w:val="0"/>
                    <w:jc w:val="center"/>
                    <w:rPr>
                      <w:b/>
                      <w:bCs/>
                      <w:color w:val="auto"/>
                      <w:kern w:val="0"/>
                    </w:rPr>
                  </w:pPr>
                  <w:r>
                    <w:rPr>
                      <w:b/>
                      <w:bCs/>
                      <w:color w:val="auto"/>
                      <w:kern w:val="0"/>
                    </w:rPr>
                    <w:t>排放去向</w:t>
                  </w:r>
                </w:p>
              </w:tc>
            </w:tr>
            <w:tr w14:paraId="1AD47E9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310" w:type="pct"/>
                  <w:vMerge w:val="restart"/>
                  <w:tcBorders>
                    <w:tl2br w:val="nil"/>
                    <w:tr2bl w:val="nil"/>
                  </w:tcBorders>
                  <w:vAlign w:val="center"/>
                </w:tcPr>
                <w:p w14:paraId="08C78BFE">
                  <w:pPr>
                    <w:adjustRightInd w:val="0"/>
                    <w:snapToGrid w:val="0"/>
                    <w:jc w:val="center"/>
                    <w:rPr>
                      <w:color w:val="auto"/>
                      <w:kern w:val="0"/>
                    </w:rPr>
                  </w:pPr>
                  <w:r>
                    <w:rPr>
                      <w:color w:val="auto"/>
                      <w:kern w:val="0"/>
                    </w:rPr>
                    <w:t>生活污水</w:t>
                  </w:r>
                </w:p>
              </w:tc>
              <w:tc>
                <w:tcPr>
                  <w:tcW w:w="482" w:type="pct"/>
                  <w:vMerge w:val="restart"/>
                  <w:tcBorders>
                    <w:tl2br w:val="nil"/>
                    <w:tr2bl w:val="nil"/>
                  </w:tcBorders>
                  <w:vAlign w:val="center"/>
                </w:tcPr>
                <w:p w14:paraId="7B8B4608">
                  <w:pPr>
                    <w:adjustRightInd w:val="0"/>
                    <w:snapToGrid w:val="0"/>
                    <w:jc w:val="center"/>
                    <w:rPr>
                      <w:rFonts w:hint="default" w:eastAsia="宋体"/>
                      <w:color w:val="auto"/>
                      <w:kern w:val="0"/>
                      <w:lang w:val="en-US" w:eastAsia="zh-CN"/>
                    </w:rPr>
                  </w:pPr>
                  <w:r>
                    <w:rPr>
                      <w:rFonts w:hint="eastAsia"/>
                      <w:color w:val="auto"/>
                      <w:kern w:val="0"/>
                      <w:lang w:val="en-US" w:eastAsia="zh-CN"/>
                    </w:rPr>
                    <w:t>720</w:t>
                  </w:r>
                </w:p>
              </w:tc>
              <w:tc>
                <w:tcPr>
                  <w:tcW w:w="548" w:type="pct"/>
                  <w:tcBorders>
                    <w:tl2br w:val="nil"/>
                    <w:tr2bl w:val="nil"/>
                  </w:tcBorders>
                  <w:vAlign w:val="center"/>
                </w:tcPr>
                <w:p w14:paraId="30BF7DCD">
                  <w:pPr>
                    <w:adjustRightInd w:val="0"/>
                    <w:snapToGrid w:val="0"/>
                    <w:jc w:val="center"/>
                    <w:rPr>
                      <w:color w:val="auto"/>
                      <w:kern w:val="0"/>
                    </w:rPr>
                  </w:pPr>
                  <w:r>
                    <w:rPr>
                      <w:color w:val="auto"/>
                      <w:kern w:val="0"/>
                    </w:rPr>
                    <w:t>pH</w:t>
                  </w:r>
                </w:p>
              </w:tc>
              <w:tc>
                <w:tcPr>
                  <w:tcW w:w="1211" w:type="pct"/>
                  <w:gridSpan w:val="2"/>
                  <w:tcBorders>
                    <w:tl2br w:val="nil"/>
                    <w:tr2bl w:val="nil"/>
                  </w:tcBorders>
                  <w:vAlign w:val="center"/>
                </w:tcPr>
                <w:p w14:paraId="6D1FFB63">
                  <w:pPr>
                    <w:adjustRightInd w:val="0"/>
                    <w:snapToGrid w:val="0"/>
                    <w:jc w:val="center"/>
                    <w:rPr>
                      <w:color w:val="auto"/>
                      <w:kern w:val="0"/>
                    </w:rPr>
                  </w:pPr>
                  <w:r>
                    <w:rPr>
                      <w:color w:val="auto"/>
                      <w:kern w:val="0"/>
                    </w:rPr>
                    <w:t>6~9</w:t>
                  </w:r>
                </w:p>
              </w:tc>
              <w:tc>
                <w:tcPr>
                  <w:tcW w:w="576" w:type="pct"/>
                  <w:vMerge w:val="restart"/>
                  <w:tcBorders>
                    <w:tl2br w:val="nil"/>
                    <w:tr2bl w:val="nil"/>
                  </w:tcBorders>
                  <w:vAlign w:val="center"/>
                </w:tcPr>
                <w:p w14:paraId="52E05EBF">
                  <w:pPr>
                    <w:adjustRightInd w:val="0"/>
                    <w:snapToGrid w:val="0"/>
                    <w:jc w:val="center"/>
                    <w:rPr>
                      <w:color w:val="auto"/>
                      <w:kern w:val="0"/>
                    </w:rPr>
                  </w:pPr>
                  <w:r>
                    <w:rPr>
                      <w:color w:val="auto"/>
                      <w:kern w:val="0"/>
                    </w:rPr>
                    <w:t>接市政污水管网</w:t>
                  </w:r>
                </w:p>
              </w:tc>
              <w:tc>
                <w:tcPr>
                  <w:tcW w:w="1228" w:type="pct"/>
                  <w:gridSpan w:val="2"/>
                  <w:tcBorders>
                    <w:tl2br w:val="nil"/>
                    <w:tr2bl w:val="nil"/>
                  </w:tcBorders>
                  <w:vAlign w:val="center"/>
                </w:tcPr>
                <w:p w14:paraId="3922BEFA">
                  <w:pPr>
                    <w:adjustRightInd w:val="0"/>
                    <w:snapToGrid w:val="0"/>
                    <w:jc w:val="center"/>
                    <w:rPr>
                      <w:color w:val="auto"/>
                      <w:kern w:val="0"/>
                    </w:rPr>
                  </w:pPr>
                  <w:r>
                    <w:rPr>
                      <w:color w:val="auto"/>
                      <w:kern w:val="0"/>
                    </w:rPr>
                    <w:t>6~9</w:t>
                  </w:r>
                </w:p>
              </w:tc>
              <w:tc>
                <w:tcPr>
                  <w:tcW w:w="640" w:type="pct"/>
                  <w:vMerge w:val="restart"/>
                  <w:tcBorders>
                    <w:tl2br w:val="nil"/>
                    <w:tr2bl w:val="nil"/>
                  </w:tcBorders>
                  <w:vAlign w:val="center"/>
                </w:tcPr>
                <w:p w14:paraId="61AB7EA1">
                  <w:pPr>
                    <w:adjustRightInd w:val="0"/>
                    <w:snapToGrid w:val="0"/>
                    <w:jc w:val="center"/>
                    <w:rPr>
                      <w:color w:val="auto"/>
                      <w:kern w:val="0"/>
                    </w:rPr>
                  </w:pPr>
                  <w:r>
                    <w:rPr>
                      <w:rFonts w:hint="eastAsia"/>
                      <w:color w:val="auto"/>
                      <w:kern w:val="0"/>
                    </w:rPr>
                    <w:t>接管</w:t>
                  </w:r>
                  <w:r>
                    <w:rPr>
                      <w:color w:val="auto"/>
                      <w:kern w:val="0"/>
                    </w:rPr>
                    <w:t>进入</w:t>
                  </w:r>
                  <w:r>
                    <w:rPr>
                      <w:rFonts w:hint="eastAsia"/>
                      <w:color w:val="auto"/>
                      <w:kern w:val="0"/>
                    </w:rPr>
                    <w:t>常州金坛区第二污水处理有限公司处理</w:t>
                  </w:r>
                </w:p>
              </w:tc>
            </w:tr>
            <w:tr w14:paraId="6E26BC7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310" w:type="pct"/>
                  <w:vMerge w:val="continue"/>
                  <w:tcBorders>
                    <w:tl2br w:val="nil"/>
                    <w:tr2bl w:val="nil"/>
                  </w:tcBorders>
                  <w:vAlign w:val="center"/>
                </w:tcPr>
                <w:p w14:paraId="2B5DABC7">
                  <w:pPr>
                    <w:adjustRightInd w:val="0"/>
                    <w:snapToGrid w:val="0"/>
                    <w:jc w:val="center"/>
                    <w:rPr>
                      <w:color w:val="auto"/>
                      <w:kern w:val="0"/>
                    </w:rPr>
                  </w:pPr>
                </w:p>
              </w:tc>
              <w:tc>
                <w:tcPr>
                  <w:tcW w:w="482" w:type="pct"/>
                  <w:vMerge w:val="continue"/>
                  <w:tcBorders>
                    <w:tl2br w:val="nil"/>
                    <w:tr2bl w:val="nil"/>
                  </w:tcBorders>
                  <w:vAlign w:val="center"/>
                </w:tcPr>
                <w:p w14:paraId="5B80E5B1">
                  <w:pPr>
                    <w:adjustRightInd w:val="0"/>
                    <w:snapToGrid w:val="0"/>
                    <w:jc w:val="center"/>
                    <w:rPr>
                      <w:color w:val="auto"/>
                      <w:kern w:val="0"/>
                    </w:rPr>
                  </w:pPr>
                </w:p>
              </w:tc>
              <w:tc>
                <w:tcPr>
                  <w:tcW w:w="548" w:type="pct"/>
                  <w:tcBorders>
                    <w:tl2br w:val="nil"/>
                    <w:tr2bl w:val="nil"/>
                  </w:tcBorders>
                  <w:vAlign w:val="center"/>
                </w:tcPr>
                <w:p w14:paraId="0C587639">
                  <w:pPr>
                    <w:widowControl/>
                    <w:adjustRightInd w:val="0"/>
                    <w:snapToGrid w:val="0"/>
                    <w:jc w:val="center"/>
                    <w:rPr>
                      <w:color w:val="auto"/>
                      <w:kern w:val="0"/>
                    </w:rPr>
                  </w:pPr>
                  <w:r>
                    <w:rPr>
                      <w:color w:val="auto"/>
                      <w:kern w:val="0"/>
                    </w:rPr>
                    <w:t>COD</w:t>
                  </w:r>
                </w:p>
              </w:tc>
              <w:tc>
                <w:tcPr>
                  <w:tcW w:w="541" w:type="pct"/>
                  <w:tcBorders>
                    <w:tl2br w:val="nil"/>
                    <w:tr2bl w:val="nil"/>
                  </w:tcBorders>
                  <w:vAlign w:val="center"/>
                </w:tcPr>
                <w:p w14:paraId="729204CF">
                  <w:pPr>
                    <w:jc w:val="center"/>
                    <w:rPr>
                      <w:color w:val="auto"/>
                      <w:kern w:val="0"/>
                    </w:rPr>
                  </w:pPr>
                  <w:r>
                    <w:rPr>
                      <w:rFonts w:hint="eastAsia" w:eastAsia="仿宋"/>
                      <w:color w:val="auto"/>
                      <w:kern w:val="0"/>
                    </w:rPr>
                    <w:t>500</w:t>
                  </w:r>
                </w:p>
              </w:tc>
              <w:tc>
                <w:tcPr>
                  <w:tcW w:w="670" w:type="pct"/>
                  <w:tcBorders>
                    <w:tl2br w:val="nil"/>
                    <w:tr2bl w:val="nil"/>
                  </w:tcBorders>
                  <w:vAlign w:val="center"/>
                </w:tcPr>
                <w:p w14:paraId="1273EF7B">
                  <w:pPr>
                    <w:keepNext w:val="0"/>
                    <w:keepLines w:val="0"/>
                    <w:widowControl/>
                    <w:suppressLineNumbers w:val="0"/>
                    <w:jc w:val="center"/>
                    <w:textAlignment w:val="center"/>
                    <w:rPr>
                      <w:rFonts w:hint="default" w:eastAsia="仿宋"/>
                      <w:color w:val="auto"/>
                      <w:kern w:val="0"/>
                      <w:lang w:val="en-US" w:eastAsia="zh-CN"/>
                    </w:rPr>
                  </w:pPr>
                  <w:r>
                    <w:rPr>
                      <w:rFonts w:hint="default" w:ascii="Times New Roman" w:hAnsi="Times New Roman" w:eastAsia="宋体" w:cs="Times New Roman"/>
                      <w:i w:val="0"/>
                      <w:iCs w:val="0"/>
                      <w:snapToGrid w:val="0"/>
                      <w:color w:val="auto"/>
                      <w:kern w:val="0"/>
                      <w:sz w:val="21"/>
                      <w:szCs w:val="21"/>
                      <w:u w:val="none"/>
                      <w:lang w:val="en-US" w:eastAsia="zh-CN" w:bidi="ar"/>
                    </w:rPr>
                    <w:t>0.36</w:t>
                  </w:r>
                </w:p>
              </w:tc>
              <w:tc>
                <w:tcPr>
                  <w:tcW w:w="576" w:type="pct"/>
                  <w:vMerge w:val="continue"/>
                  <w:tcBorders>
                    <w:tl2br w:val="nil"/>
                    <w:tr2bl w:val="nil"/>
                  </w:tcBorders>
                  <w:vAlign w:val="center"/>
                </w:tcPr>
                <w:p w14:paraId="1AF4BC3E">
                  <w:pPr>
                    <w:adjustRightInd w:val="0"/>
                    <w:snapToGrid w:val="0"/>
                    <w:jc w:val="center"/>
                    <w:rPr>
                      <w:color w:val="auto"/>
                      <w:kern w:val="0"/>
                    </w:rPr>
                  </w:pPr>
                </w:p>
              </w:tc>
              <w:tc>
                <w:tcPr>
                  <w:tcW w:w="566" w:type="pct"/>
                  <w:tcBorders>
                    <w:tl2br w:val="nil"/>
                    <w:tr2bl w:val="nil"/>
                  </w:tcBorders>
                  <w:vAlign w:val="center"/>
                </w:tcPr>
                <w:p w14:paraId="3BAF7A33">
                  <w:pPr>
                    <w:jc w:val="center"/>
                    <w:rPr>
                      <w:color w:val="auto"/>
                      <w:kern w:val="0"/>
                    </w:rPr>
                  </w:pPr>
                  <w:r>
                    <w:rPr>
                      <w:rFonts w:hint="eastAsia" w:eastAsia="仿宋"/>
                      <w:color w:val="auto"/>
                      <w:kern w:val="0"/>
                    </w:rPr>
                    <w:t>500</w:t>
                  </w:r>
                </w:p>
              </w:tc>
              <w:tc>
                <w:tcPr>
                  <w:tcW w:w="662" w:type="pct"/>
                  <w:tcBorders>
                    <w:tl2br w:val="nil"/>
                    <w:tr2bl w:val="nil"/>
                  </w:tcBorders>
                  <w:vAlign w:val="center"/>
                </w:tcPr>
                <w:p w14:paraId="134DC325">
                  <w:pPr>
                    <w:keepNext w:val="0"/>
                    <w:keepLines w:val="0"/>
                    <w:widowControl/>
                    <w:suppressLineNumbers w:val="0"/>
                    <w:jc w:val="center"/>
                    <w:textAlignment w:val="center"/>
                    <w:rPr>
                      <w:color w:val="auto"/>
                      <w:kern w:val="0"/>
                    </w:rPr>
                  </w:pPr>
                  <w:r>
                    <w:rPr>
                      <w:rFonts w:hint="default" w:ascii="Times New Roman" w:hAnsi="Times New Roman" w:eastAsia="宋体" w:cs="Times New Roman"/>
                      <w:i w:val="0"/>
                      <w:iCs w:val="0"/>
                      <w:snapToGrid w:val="0"/>
                      <w:color w:val="auto"/>
                      <w:kern w:val="0"/>
                      <w:sz w:val="21"/>
                      <w:szCs w:val="21"/>
                      <w:u w:val="none"/>
                      <w:lang w:val="en-US" w:eastAsia="zh-CN" w:bidi="ar"/>
                    </w:rPr>
                    <w:t>0.36</w:t>
                  </w:r>
                </w:p>
              </w:tc>
              <w:tc>
                <w:tcPr>
                  <w:tcW w:w="640" w:type="pct"/>
                  <w:vMerge w:val="continue"/>
                  <w:tcBorders>
                    <w:tl2br w:val="nil"/>
                    <w:tr2bl w:val="nil"/>
                  </w:tcBorders>
                  <w:vAlign w:val="center"/>
                </w:tcPr>
                <w:p w14:paraId="283BC9BF">
                  <w:pPr>
                    <w:adjustRightInd w:val="0"/>
                    <w:snapToGrid w:val="0"/>
                    <w:jc w:val="center"/>
                    <w:rPr>
                      <w:color w:val="auto"/>
                      <w:kern w:val="0"/>
                    </w:rPr>
                  </w:pPr>
                </w:p>
              </w:tc>
            </w:tr>
            <w:tr w14:paraId="17695263">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90" w:hRule="atLeast"/>
                <w:jc w:val="center"/>
              </w:trPr>
              <w:tc>
                <w:tcPr>
                  <w:tcW w:w="310" w:type="pct"/>
                  <w:vMerge w:val="continue"/>
                  <w:tcBorders>
                    <w:tl2br w:val="nil"/>
                    <w:tr2bl w:val="nil"/>
                  </w:tcBorders>
                  <w:vAlign w:val="center"/>
                </w:tcPr>
                <w:p w14:paraId="054F4D20">
                  <w:pPr>
                    <w:adjustRightInd w:val="0"/>
                    <w:snapToGrid w:val="0"/>
                    <w:jc w:val="center"/>
                    <w:rPr>
                      <w:color w:val="auto"/>
                      <w:kern w:val="0"/>
                    </w:rPr>
                  </w:pPr>
                </w:p>
              </w:tc>
              <w:tc>
                <w:tcPr>
                  <w:tcW w:w="482" w:type="pct"/>
                  <w:vMerge w:val="continue"/>
                  <w:tcBorders>
                    <w:tl2br w:val="nil"/>
                    <w:tr2bl w:val="nil"/>
                  </w:tcBorders>
                  <w:vAlign w:val="center"/>
                </w:tcPr>
                <w:p w14:paraId="6C31EEAC">
                  <w:pPr>
                    <w:adjustRightInd w:val="0"/>
                    <w:snapToGrid w:val="0"/>
                    <w:jc w:val="center"/>
                    <w:rPr>
                      <w:color w:val="auto"/>
                      <w:kern w:val="0"/>
                    </w:rPr>
                  </w:pPr>
                </w:p>
              </w:tc>
              <w:tc>
                <w:tcPr>
                  <w:tcW w:w="548" w:type="pct"/>
                  <w:tcBorders>
                    <w:tl2br w:val="nil"/>
                    <w:tr2bl w:val="nil"/>
                  </w:tcBorders>
                  <w:vAlign w:val="center"/>
                </w:tcPr>
                <w:p w14:paraId="2558AC04">
                  <w:pPr>
                    <w:widowControl/>
                    <w:adjustRightInd w:val="0"/>
                    <w:snapToGrid w:val="0"/>
                    <w:jc w:val="center"/>
                    <w:rPr>
                      <w:color w:val="auto"/>
                      <w:kern w:val="0"/>
                    </w:rPr>
                  </w:pPr>
                  <w:r>
                    <w:rPr>
                      <w:color w:val="auto"/>
                      <w:kern w:val="0"/>
                    </w:rPr>
                    <w:t>SS</w:t>
                  </w:r>
                </w:p>
              </w:tc>
              <w:tc>
                <w:tcPr>
                  <w:tcW w:w="541" w:type="pct"/>
                  <w:tcBorders>
                    <w:tl2br w:val="nil"/>
                    <w:tr2bl w:val="nil"/>
                  </w:tcBorders>
                  <w:vAlign w:val="center"/>
                </w:tcPr>
                <w:p w14:paraId="70C6D751">
                  <w:pPr>
                    <w:jc w:val="center"/>
                    <w:rPr>
                      <w:color w:val="auto"/>
                      <w:kern w:val="0"/>
                    </w:rPr>
                  </w:pPr>
                  <w:r>
                    <w:rPr>
                      <w:rFonts w:hint="eastAsia" w:eastAsia="仿宋"/>
                      <w:color w:val="auto"/>
                      <w:kern w:val="0"/>
                    </w:rPr>
                    <w:t>250</w:t>
                  </w:r>
                </w:p>
              </w:tc>
              <w:tc>
                <w:tcPr>
                  <w:tcW w:w="670" w:type="pct"/>
                  <w:tcBorders>
                    <w:tl2br w:val="nil"/>
                    <w:tr2bl w:val="nil"/>
                  </w:tcBorders>
                  <w:vAlign w:val="center"/>
                </w:tcPr>
                <w:p w14:paraId="2D30AB25">
                  <w:pPr>
                    <w:keepNext w:val="0"/>
                    <w:keepLines w:val="0"/>
                    <w:widowControl/>
                    <w:suppressLineNumbers w:val="0"/>
                    <w:jc w:val="center"/>
                    <w:textAlignment w:val="center"/>
                    <w:rPr>
                      <w:rFonts w:hint="default" w:eastAsia="仿宋"/>
                      <w:color w:val="auto"/>
                      <w:kern w:val="0"/>
                      <w:lang w:val="en-US" w:eastAsia="zh-CN"/>
                    </w:rPr>
                  </w:pPr>
                  <w:r>
                    <w:rPr>
                      <w:rFonts w:hint="default" w:ascii="Times New Roman" w:hAnsi="Times New Roman" w:eastAsia="宋体" w:cs="Times New Roman"/>
                      <w:i w:val="0"/>
                      <w:iCs w:val="0"/>
                      <w:snapToGrid w:val="0"/>
                      <w:color w:val="auto"/>
                      <w:kern w:val="0"/>
                      <w:sz w:val="21"/>
                      <w:szCs w:val="21"/>
                      <w:u w:val="none"/>
                      <w:lang w:val="en-US" w:eastAsia="zh-CN" w:bidi="ar"/>
                    </w:rPr>
                    <w:t>0.18</w:t>
                  </w:r>
                </w:p>
              </w:tc>
              <w:tc>
                <w:tcPr>
                  <w:tcW w:w="576" w:type="pct"/>
                  <w:vMerge w:val="continue"/>
                  <w:tcBorders>
                    <w:tl2br w:val="nil"/>
                    <w:tr2bl w:val="nil"/>
                  </w:tcBorders>
                  <w:vAlign w:val="center"/>
                </w:tcPr>
                <w:p w14:paraId="7E3BFF31">
                  <w:pPr>
                    <w:adjustRightInd w:val="0"/>
                    <w:snapToGrid w:val="0"/>
                    <w:jc w:val="center"/>
                    <w:rPr>
                      <w:color w:val="auto"/>
                      <w:kern w:val="0"/>
                    </w:rPr>
                  </w:pPr>
                </w:p>
              </w:tc>
              <w:tc>
                <w:tcPr>
                  <w:tcW w:w="566" w:type="pct"/>
                  <w:tcBorders>
                    <w:tl2br w:val="nil"/>
                    <w:tr2bl w:val="nil"/>
                  </w:tcBorders>
                  <w:vAlign w:val="center"/>
                </w:tcPr>
                <w:p w14:paraId="1C3BF05E">
                  <w:pPr>
                    <w:jc w:val="center"/>
                    <w:rPr>
                      <w:color w:val="auto"/>
                      <w:kern w:val="0"/>
                    </w:rPr>
                  </w:pPr>
                  <w:r>
                    <w:rPr>
                      <w:rFonts w:hint="eastAsia" w:eastAsia="仿宋"/>
                      <w:color w:val="auto"/>
                      <w:kern w:val="0"/>
                    </w:rPr>
                    <w:t>250</w:t>
                  </w:r>
                </w:p>
              </w:tc>
              <w:tc>
                <w:tcPr>
                  <w:tcW w:w="662" w:type="pct"/>
                  <w:tcBorders>
                    <w:tl2br w:val="nil"/>
                    <w:tr2bl w:val="nil"/>
                  </w:tcBorders>
                  <w:vAlign w:val="center"/>
                </w:tcPr>
                <w:p w14:paraId="43013E28">
                  <w:pPr>
                    <w:keepNext w:val="0"/>
                    <w:keepLines w:val="0"/>
                    <w:widowControl/>
                    <w:suppressLineNumbers w:val="0"/>
                    <w:jc w:val="center"/>
                    <w:textAlignment w:val="center"/>
                    <w:rPr>
                      <w:color w:val="auto"/>
                      <w:kern w:val="0"/>
                    </w:rPr>
                  </w:pPr>
                  <w:r>
                    <w:rPr>
                      <w:rFonts w:hint="default" w:ascii="Times New Roman" w:hAnsi="Times New Roman" w:eastAsia="宋体" w:cs="Times New Roman"/>
                      <w:i w:val="0"/>
                      <w:iCs w:val="0"/>
                      <w:snapToGrid w:val="0"/>
                      <w:color w:val="auto"/>
                      <w:kern w:val="0"/>
                      <w:sz w:val="21"/>
                      <w:szCs w:val="21"/>
                      <w:u w:val="none"/>
                      <w:lang w:val="en-US" w:eastAsia="zh-CN" w:bidi="ar"/>
                    </w:rPr>
                    <w:t>0.18</w:t>
                  </w:r>
                </w:p>
              </w:tc>
              <w:tc>
                <w:tcPr>
                  <w:tcW w:w="640" w:type="pct"/>
                  <w:vMerge w:val="continue"/>
                  <w:tcBorders>
                    <w:tl2br w:val="nil"/>
                    <w:tr2bl w:val="nil"/>
                  </w:tcBorders>
                  <w:vAlign w:val="center"/>
                </w:tcPr>
                <w:p w14:paraId="3E69D136">
                  <w:pPr>
                    <w:adjustRightInd w:val="0"/>
                    <w:snapToGrid w:val="0"/>
                    <w:jc w:val="center"/>
                    <w:rPr>
                      <w:color w:val="auto"/>
                      <w:kern w:val="0"/>
                    </w:rPr>
                  </w:pPr>
                </w:p>
              </w:tc>
            </w:tr>
            <w:tr w14:paraId="6BB91B3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310" w:type="pct"/>
                  <w:vMerge w:val="continue"/>
                  <w:tcBorders>
                    <w:tl2br w:val="nil"/>
                    <w:tr2bl w:val="nil"/>
                  </w:tcBorders>
                  <w:vAlign w:val="center"/>
                </w:tcPr>
                <w:p w14:paraId="1DE8BAD2">
                  <w:pPr>
                    <w:adjustRightInd w:val="0"/>
                    <w:snapToGrid w:val="0"/>
                    <w:jc w:val="center"/>
                    <w:rPr>
                      <w:color w:val="auto"/>
                      <w:kern w:val="0"/>
                    </w:rPr>
                  </w:pPr>
                </w:p>
              </w:tc>
              <w:tc>
                <w:tcPr>
                  <w:tcW w:w="482" w:type="pct"/>
                  <w:vMerge w:val="continue"/>
                  <w:tcBorders>
                    <w:tl2br w:val="nil"/>
                    <w:tr2bl w:val="nil"/>
                  </w:tcBorders>
                  <w:vAlign w:val="center"/>
                </w:tcPr>
                <w:p w14:paraId="7A271768">
                  <w:pPr>
                    <w:adjustRightInd w:val="0"/>
                    <w:snapToGrid w:val="0"/>
                    <w:jc w:val="center"/>
                    <w:rPr>
                      <w:color w:val="auto"/>
                      <w:kern w:val="0"/>
                    </w:rPr>
                  </w:pPr>
                </w:p>
              </w:tc>
              <w:tc>
                <w:tcPr>
                  <w:tcW w:w="548" w:type="pct"/>
                  <w:tcBorders>
                    <w:tl2br w:val="nil"/>
                    <w:tr2bl w:val="nil"/>
                  </w:tcBorders>
                  <w:vAlign w:val="center"/>
                </w:tcPr>
                <w:p w14:paraId="5AA3E2BF">
                  <w:pPr>
                    <w:widowControl/>
                    <w:adjustRightInd w:val="0"/>
                    <w:snapToGrid w:val="0"/>
                    <w:jc w:val="center"/>
                    <w:rPr>
                      <w:color w:val="auto"/>
                      <w:kern w:val="0"/>
                    </w:rPr>
                  </w:pPr>
                  <w:r>
                    <w:rPr>
                      <w:color w:val="auto"/>
                      <w:kern w:val="0"/>
                    </w:rPr>
                    <w:t>NH</w:t>
                  </w:r>
                  <w:r>
                    <w:rPr>
                      <w:color w:val="auto"/>
                      <w:kern w:val="0"/>
                      <w:vertAlign w:val="subscript"/>
                    </w:rPr>
                    <w:t>3</w:t>
                  </w:r>
                  <w:r>
                    <w:rPr>
                      <w:color w:val="auto"/>
                      <w:kern w:val="0"/>
                    </w:rPr>
                    <w:t>-N</w:t>
                  </w:r>
                </w:p>
              </w:tc>
              <w:tc>
                <w:tcPr>
                  <w:tcW w:w="541" w:type="pct"/>
                  <w:tcBorders>
                    <w:tl2br w:val="nil"/>
                    <w:tr2bl w:val="nil"/>
                  </w:tcBorders>
                  <w:vAlign w:val="center"/>
                </w:tcPr>
                <w:p w14:paraId="35F64391">
                  <w:pPr>
                    <w:jc w:val="center"/>
                    <w:rPr>
                      <w:color w:val="auto"/>
                      <w:kern w:val="0"/>
                    </w:rPr>
                  </w:pPr>
                  <w:r>
                    <w:rPr>
                      <w:rFonts w:hint="eastAsia" w:eastAsia="仿宋"/>
                      <w:color w:val="auto"/>
                      <w:kern w:val="0"/>
                    </w:rPr>
                    <w:t>35</w:t>
                  </w:r>
                </w:p>
              </w:tc>
              <w:tc>
                <w:tcPr>
                  <w:tcW w:w="670" w:type="pct"/>
                  <w:tcBorders>
                    <w:tl2br w:val="nil"/>
                    <w:tr2bl w:val="nil"/>
                  </w:tcBorders>
                  <w:vAlign w:val="center"/>
                </w:tcPr>
                <w:p w14:paraId="7254B305">
                  <w:pPr>
                    <w:keepNext w:val="0"/>
                    <w:keepLines w:val="0"/>
                    <w:widowControl/>
                    <w:suppressLineNumbers w:val="0"/>
                    <w:jc w:val="center"/>
                    <w:textAlignment w:val="center"/>
                    <w:rPr>
                      <w:rFonts w:hint="default" w:eastAsia="仿宋"/>
                      <w:color w:val="auto"/>
                      <w:kern w:val="0"/>
                      <w:lang w:val="en-US" w:eastAsia="zh-CN"/>
                    </w:rPr>
                  </w:pPr>
                  <w:r>
                    <w:rPr>
                      <w:rFonts w:hint="default" w:ascii="Times New Roman" w:hAnsi="Times New Roman" w:eastAsia="宋体" w:cs="Times New Roman"/>
                      <w:i w:val="0"/>
                      <w:iCs w:val="0"/>
                      <w:snapToGrid w:val="0"/>
                      <w:color w:val="auto"/>
                      <w:kern w:val="0"/>
                      <w:sz w:val="21"/>
                      <w:szCs w:val="21"/>
                      <w:u w:val="none"/>
                      <w:lang w:val="en-US" w:eastAsia="zh-CN" w:bidi="ar"/>
                    </w:rPr>
                    <w:t>0.0252</w:t>
                  </w:r>
                </w:p>
              </w:tc>
              <w:tc>
                <w:tcPr>
                  <w:tcW w:w="576" w:type="pct"/>
                  <w:vMerge w:val="continue"/>
                  <w:tcBorders>
                    <w:tl2br w:val="nil"/>
                    <w:tr2bl w:val="nil"/>
                  </w:tcBorders>
                  <w:vAlign w:val="center"/>
                </w:tcPr>
                <w:p w14:paraId="7E937391">
                  <w:pPr>
                    <w:adjustRightInd w:val="0"/>
                    <w:snapToGrid w:val="0"/>
                    <w:jc w:val="center"/>
                    <w:rPr>
                      <w:color w:val="auto"/>
                      <w:kern w:val="0"/>
                    </w:rPr>
                  </w:pPr>
                </w:p>
              </w:tc>
              <w:tc>
                <w:tcPr>
                  <w:tcW w:w="566" w:type="pct"/>
                  <w:tcBorders>
                    <w:tl2br w:val="nil"/>
                    <w:tr2bl w:val="nil"/>
                  </w:tcBorders>
                  <w:vAlign w:val="center"/>
                </w:tcPr>
                <w:p w14:paraId="090B620F">
                  <w:pPr>
                    <w:jc w:val="center"/>
                    <w:rPr>
                      <w:color w:val="auto"/>
                      <w:kern w:val="0"/>
                    </w:rPr>
                  </w:pPr>
                  <w:r>
                    <w:rPr>
                      <w:rFonts w:hint="eastAsia" w:eastAsia="仿宋"/>
                      <w:color w:val="auto"/>
                      <w:kern w:val="0"/>
                    </w:rPr>
                    <w:t>35</w:t>
                  </w:r>
                </w:p>
              </w:tc>
              <w:tc>
                <w:tcPr>
                  <w:tcW w:w="662" w:type="pct"/>
                  <w:tcBorders>
                    <w:tl2br w:val="nil"/>
                    <w:tr2bl w:val="nil"/>
                  </w:tcBorders>
                  <w:vAlign w:val="center"/>
                </w:tcPr>
                <w:p w14:paraId="529BB1F0">
                  <w:pPr>
                    <w:keepNext w:val="0"/>
                    <w:keepLines w:val="0"/>
                    <w:widowControl/>
                    <w:suppressLineNumbers w:val="0"/>
                    <w:jc w:val="center"/>
                    <w:textAlignment w:val="center"/>
                    <w:rPr>
                      <w:color w:val="auto"/>
                      <w:kern w:val="0"/>
                    </w:rPr>
                  </w:pPr>
                  <w:r>
                    <w:rPr>
                      <w:rFonts w:hint="default" w:ascii="Times New Roman" w:hAnsi="Times New Roman" w:eastAsia="宋体" w:cs="Times New Roman"/>
                      <w:i w:val="0"/>
                      <w:iCs w:val="0"/>
                      <w:snapToGrid w:val="0"/>
                      <w:color w:val="auto"/>
                      <w:kern w:val="0"/>
                      <w:sz w:val="21"/>
                      <w:szCs w:val="21"/>
                      <w:u w:val="none"/>
                      <w:lang w:val="en-US" w:eastAsia="zh-CN" w:bidi="ar"/>
                    </w:rPr>
                    <w:t>0.0252</w:t>
                  </w:r>
                </w:p>
              </w:tc>
              <w:tc>
                <w:tcPr>
                  <w:tcW w:w="640" w:type="pct"/>
                  <w:vMerge w:val="continue"/>
                  <w:tcBorders>
                    <w:tl2br w:val="nil"/>
                    <w:tr2bl w:val="nil"/>
                  </w:tcBorders>
                  <w:vAlign w:val="center"/>
                </w:tcPr>
                <w:p w14:paraId="313F227A">
                  <w:pPr>
                    <w:adjustRightInd w:val="0"/>
                    <w:snapToGrid w:val="0"/>
                    <w:jc w:val="center"/>
                    <w:rPr>
                      <w:color w:val="auto"/>
                      <w:kern w:val="0"/>
                    </w:rPr>
                  </w:pPr>
                </w:p>
              </w:tc>
            </w:tr>
            <w:tr w14:paraId="744A29C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PrEx>
              <w:trPr>
                <w:jc w:val="center"/>
              </w:trPr>
              <w:tc>
                <w:tcPr>
                  <w:tcW w:w="310" w:type="pct"/>
                  <w:vMerge w:val="continue"/>
                  <w:tcBorders>
                    <w:tl2br w:val="nil"/>
                    <w:tr2bl w:val="nil"/>
                  </w:tcBorders>
                  <w:vAlign w:val="center"/>
                </w:tcPr>
                <w:p w14:paraId="2AAF2F21">
                  <w:pPr>
                    <w:adjustRightInd w:val="0"/>
                    <w:snapToGrid w:val="0"/>
                    <w:jc w:val="center"/>
                    <w:rPr>
                      <w:color w:val="auto"/>
                      <w:kern w:val="0"/>
                    </w:rPr>
                  </w:pPr>
                </w:p>
              </w:tc>
              <w:tc>
                <w:tcPr>
                  <w:tcW w:w="482" w:type="pct"/>
                  <w:vMerge w:val="continue"/>
                  <w:tcBorders>
                    <w:tl2br w:val="nil"/>
                    <w:tr2bl w:val="nil"/>
                  </w:tcBorders>
                  <w:vAlign w:val="center"/>
                </w:tcPr>
                <w:p w14:paraId="027357CB">
                  <w:pPr>
                    <w:adjustRightInd w:val="0"/>
                    <w:snapToGrid w:val="0"/>
                    <w:jc w:val="center"/>
                    <w:rPr>
                      <w:color w:val="auto"/>
                      <w:kern w:val="0"/>
                    </w:rPr>
                  </w:pPr>
                </w:p>
              </w:tc>
              <w:tc>
                <w:tcPr>
                  <w:tcW w:w="548" w:type="pct"/>
                  <w:tcBorders>
                    <w:tl2br w:val="nil"/>
                    <w:tr2bl w:val="nil"/>
                  </w:tcBorders>
                  <w:vAlign w:val="center"/>
                </w:tcPr>
                <w:p w14:paraId="23B292A6">
                  <w:pPr>
                    <w:adjustRightInd w:val="0"/>
                    <w:snapToGrid w:val="0"/>
                    <w:jc w:val="center"/>
                    <w:textAlignment w:val="center"/>
                    <w:rPr>
                      <w:color w:val="auto"/>
                      <w:kern w:val="0"/>
                    </w:rPr>
                  </w:pPr>
                  <w:r>
                    <w:rPr>
                      <w:color w:val="auto"/>
                      <w:kern w:val="0"/>
                    </w:rPr>
                    <w:t>TP</w:t>
                  </w:r>
                </w:p>
              </w:tc>
              <w:tc>
                <w:tcPr>
                  <w:tcW w:w="541" w:type="pct"/>
                  <w:tcBorders>
                    <w:tl2br w:val="nil"/>
                    <w:tr2bl w:val="nil"/>
                  </w:tcBorders>
                  <w:vAlign w:val="center"/>
                </w:tcPr>
                <w:p w14:paraId="7052A127">
                  <w:pPr>
                    <w:jc w:val="center"/>
                    <w:rPr>
                      <w:color w:val="auto"/>
                      <w:kern w:val="0"/>
                    </w:rPr>
                  </w:pPr>
                  <w:r>
                    <w:rPr>
                      <w:rFonts w:hint="eastAsia" w:eastAsia="仿宋"/>
                      <w:color w:val="auto"/>
                      <w:kern w:val="0"/>
                    </w:rPr>
                    <w:t>3</w:t>
                  </w:r>
                </w:p>
              </w:tc>
              <w:tc>
                <w:tcPr>
                  <w:tcW w:w="670" w:type="pct"/>
                  <w:tcBorders>
                    <w:tl2br w:val="nil"/>
                    <w:tr2bl w:val="nil"/>
                  </w:tcBorders>
                  <w:vAlign w:val="center"/>
                </w:tcPr>
                <w:p w14:paraId="1D90B662">
                  <w:pPr>
                    <w:keepNext w:val="0"/>
                    <w:keepLines w:val="0"/>
                    <w:widowControl/>
                    <w:suppressLineNumbers w:val="0"/>
                    <w:jc w:val="center"/>
                    <w:textAlignment w:val="center"/>
                    <w:rPr>
                      <w:rFonts w:hint="default" w:eastAsia="仿宋"/>
                      <w:color w:val="auto"/>
                      <w:kern w:val="0"/>
                      <w:lang w:val="en-US" w:eastAsia="zh-CN"/>
                    </w:rPr>
                  </w:pPr>
                  <w:r>
                    <w:rPr>
                      <w:rFonts w:hint="default" w:ascii="Times New Roman" w:hAnsi="Times New Roman" w:eastAsia="宋体" w:cs="Times New Roman"/>
                      <w:i w:val="0"/>
                      <w:iCs w:val="0"/>
                      <w:snapToGrid w:val="0"/>
                      <w:color w:val="auto"/>
                      <w:kern w:val="0"/>
                      <w:sz w:val="21"/>
                      <w:szCs w:val="21"/>
                      <w:u w:val="none"/>
                      <w:lang w:val="en-US" w:eastAsia="zh-CN" w:bidi="ar"/>
                    </w:rPr>
                    <w:t>0.00216</w:t>
                  </w:r>
                </w:p>
              </w:tc>
              <w:tc>
                <w:tcPr>
                  <w:tcW w:w="576" w:type="pct"/>
                  <w:vMerge w:val="continue"/>
                  <w:tcBorders>
                    <w:tl2br w:val="nil"/>
                    <w:tr2bl w:val="nil"/>
                  </w:tcBorders>
                  <w:vAlign w:val="center"/>
                </w:tcPr>
                <w:p w14:paraId="57D5991B">
                  <w:pPr>
                    <w:adjustRightInd w:val="0"/>
                    <w:snapToGrid w:val="0"/>
                    <w:jc w:val="center"/>
                    <w:rPr>
                      <w:color w:val="auto"/>
                      <w:kern w:val="0"/>
                    </w:rPr>
                  </w:pPr>
                </w:p>
              </w:tc>
              <w:tc>
                <w:tcPr>
                  <w:tcW w:w="566" w:type="pct"/>
                  <w:tcBorders>
                    <w:tl2br w:val="nil"/>
                    <w:tr2bl w:val="nil"/>
                  </w:tcBorders>
                  <w:vAlign w:val="center"/>
                </w:tcPr>
                <w:p w14:paraId="529DBF9E">
                  <w:pPr>
                    <w:jc w:val="center"/>
                    <w:rPr>
                      <w:color w:val="auto"/>
                      <w:kern w:val="0"/>
                    </w:rPr>
                  </w:pPr>
                  <w:r>
                    <w:rPr>
                      <w:rFonts w:hint="eastAsia" w:eastAsia="仿宋"/>
                      <w:color w:val="auto"/>
                      <w:kern w:val="0"/>
                    </w:rPr>
                    <w:t>3</w:t>
                  </w:r>
                </w:p>
              </w:tc>
              <w:tc>
                <w:tcPr>
                  <w:tcW w:w="662" w:type="pct"/>
                  <w:tcBorders>
                    <w:tl2br w:val="nil"/>
                    <w:tr2bl w:val="nil"/>
                  </w:tcBorders>
                  <w:vAlign w:val="center"/>
                </w:tcPr>
                <w:p w14:paraId="65822E6C">
                  <w:pPr>
                    <w:keepNext w:val="0"/>
                    <w:keepLines w:val="0"/>
                    <w:widowControl/>
                    <w:suppressLineNumbers w:val="0"/>
                    <w:jc w:val="center"/>
                    <w:textAlignment w:val="center"/>
                    <w:rPr>
                      <w:color w:val="auto"/>
                      <w:kern w:val="0"/>
                    </w:rPr>
                  </w:pPr>
                  <w:r>
                    <w:rPr>
                      <w:rFonts w:hint="default" w:ascii="Times New Roman" w:hAnsi="Times New Roman" w:eastAsia="宋体" w:cs="Times New Roman"/>
                      <w:i w:val="0"/>
                      <w:iCs w:val="0"/>
                      <w:snapToGrid w:val="0"/>
                      <w:color w:val="auto"/>
                      <w:kern w:val="0"/>
                      <w:sz w:val="21"/>
                      <w:szCs w:val="21"/>
                      <w:u w:val="none"/>
                      <w:lang w:val="en-US" w:eastAsia="zh-CN" w:bidi="ar"/>
                    </w:rPr>
                    <w:t>0.00216</w:t>
                  </w:r>
                </w:p>
              </w:tc>
              <w:tc>
                <w:tcPr>
                  <w:tcW w:w="640" w:type="pct"/>
                  <w:vMerge w:val="continue"/>
                  <w:tcBorders>
                    <w:tl2br w:val="nil"/>
                    <w:tr2bl w:val="nil"/>
                  </w:tcBorders>
                  <w:vAlign w:val="center"/>
                </w:tcPr>
                <w:p w14:paraId="1C1FB545">
                  <w:pPr>
                    <w:adjustRightInd w:val="0"/>
                    <w:snapToGrid w:val="0"/>
                    <w:jc w:val="center"/>
                    <w:rPr>
                      <w:color w:val="auto"/>
                      <w:kern w:val="0"/>
                    </w:rPr>
                  </w:pPr>
                </w:p>
              </w:tc>
            </w:tr>
            <w:tr w14:paraId="3506017F">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PrEx>
              <w:trPr>
                <w:jc w:val="center"/>
              </w:trPr>
              <w:tc>
                <w:tcPr>
                  <w:tcW w:w="310" w:type="pct"/>
                  <w:vMerge w:val="continue"/>
                  <w:tcBorders>
                    <w:tl2br w:val="nil"/>
                    <w:tr2bl w:val="nil"/>
                  </w:tcBorders>
                  <w:vAlign w:val="center"/>
                </w:tcPr>
                <w:p w14:paraId="38B644C1">
                  <w:pPr>
                    <w:adjustRightInd w:val="0"/>
                    <w:snapToGrid w:val="0"/>
                    <w:jc w:val="center"/>
                    <w:rPr>
                      <w:color w:val="auto"/>
                      <w:kern w:val="0"/>
                    </w:rPr>
                  </w:pPr>
                </w:p>
              </w:tc>
              <w:tc>
                <w:tcPr>
                  <w:tcW w:w="482" w:type="pct"/>
                  <w:vMerge w:val="continue"/>
                  <w:tcBorders>
                    <w:tl2br w:val="nil"/>
                    <w:tr2bl w:val="nil"/>
                  </w:tcBorders>
                  <w:vAlign w:val="center"/>
                </w:tcPr>
                <w:p w14:paraId="14A38781">
                  <w:pPr>
                    <w:adjustRightInd w:val="0"/>
                    <w:snapToGrid w:val="0"/>
                    <w:jc w:val="center"/>
                    <w:rPr>
                      <w:color w:val="auto"/>
                      <w:kern w:val="0"/>
                    </w:rPr>
                  </w:pPr>
                </w:p>
              </w:tc>
              <w:tc>
                <w:tcPr>
                  <w:tcW w:w="548" w:type="pct"/>
                  <w:tcBorders>
                    <w:tl2br w:val="nil"/>
                    <w:tr2bl w:val="nil"/>
                  </w:tcBorders>
                  <w:vAlign w:val="center"/>
                </w:tcPr>
                <w:p w14:paraId="3DD1C34D">
                  <w:pPr>
                    <w:adjustRightInd w:val="0"/>
                    <w:snapToGrid w:val="0"/>
                    <w:jc w:val="center"/>
                    <w:textAlignment w:val="center"/>
                    <w:rPr>
                      <w:color w:val="auto"/>
                      <w:kern w:val="0"/>
                    </w:rPr>
                  </w:pPr>
                  <w:r>
                    <w:rPr>
                      <w:color w:val="auto"/>
                      <w:kern w:val="0"/>
                    </w:rPr>
                    <w:t>TN</w:t>
                  </w:r>
                </w:p>
              </w:tc>
              <w:tc>
                <w:tcPr>
                  <w:tcW w:w="541" w:type="pct"/>
                  <w:tcBorders>
                    <w:tl2br w:val="nil"/>
                    <w:tr2bl w:val="nil"/>
                  </w:tcBorders>
                  <w:vAlign w:val="center"/>
                </w:tcPr>
                <w:p w14:paraId="231CDF16">
                  <w:pPr>
                    <w:jc w:val="center"/>
                    <w:rPr>
                      <w:color w:val="auto"/>
                      <w:kern w:val="0"/>
                    </w:rPr>
                  </w:pPr>
                  <w:r>
                    <w:rPr>
                      <w:rFonts w:hint="eastAsia" w:eastAsia="仿宋"/>
                      <w:color w:val="auto"/>
                      <w:kern w:val="0"/>
                    </w:rPr>
                    <w:t>50</w:t>
                  </w:r>
                </w:p>
              </w:tc>
              <w:tc>
                <w:tcPr>
                  <w:tcW w:w="670" w:type="pct"/>
                  <w:tcBorders>
                    <w:tl2br w:val="nil"/>
                    <w:tr2bl w:val="nil"/>
                  </w:tcBorders>
                  <w:vAlign w:val="center"/>
                </w:tcPr>
                <w:p w14:paraId="79DEBFD1">
                  <w:pPr>
                    <w:keepNext w:val="0"/>
                    <w:keepLines w:val="0"/>
                    <w:widowControl/>
                    <w:suppressLineNumbers w:val="0"/>
                    <w:jc w:val="center"/>
                    <w:textAlignment w:val="center"/>
                    <w:rPr>
                      <w:rFonts w:hint="default" w:eastAsia="仿宋"/>
                      <w:color w:val="auto"/>
                      <w:kern w:val="0"/>
                      <w:lang w:val="en-US" w:eastAsia="zh-CN"/>
                    </w:rPr>
                  </w:pPr>
                  <w:r>
                    <w:rPr>
                      <w:rFonts w:hint="default" w:ascii="Times New Roman" w:hAnsi="Times New Roman" w:eastAsia="宋体" w:cs="Times New Roman"/>
                      <w:i w:val="0"/>
                      <w:iCs w:val="0"/>
                      <w:snapToGrid w:val="0"/>
                      <w:color w:val="auto"/>
                      <w:kern w:val="0"/>
                      <w:sz w:val="21"/>
                      <w:szCs w:val="21"/>
                      <w:u w:val="none"/>
                      <w:lang w:val="en-US" w:eastAsia="zh-CN" w:bidi="ar"/>
                    </w:rPr>
                    <w:t>0.036</w:t>
                  </w:r>
                </w:p>
              </w:tc>
              <w:tc>
                <w:tcPr>
                  <w:tcW w:w="576" w:type="pct"/>
                  <w:vMerge w:val="continue"/>
                  <w:tcBorders>
                    <w:tl2br w:val="nil"/>
                    <w:tr2bl w:val="nil"/>
                  </w:tcBorders>
                  <w:vAlign w:val="center"/>
                </w:tcPr>
                <w:p w14:paraId="5AF4FFEA">
                  <w:pPr>
                    <w:adjustRightInd w:val="0"/>
                    <w:snapToGrid w:val="0"/>
                    <w:jc w:val="center"/>
                    <w:rPr>
                      <w:color w:val="auto"/>
                      <w:kern w:val="0"/>
                    </w:rPr>
                  </w:pPr>
                </w:p>
              </w:tc>
              <w:tc>
                <w:tcPr>
                  <w:tcW w:w="566" w:type="pct"/>
                  <w:tcBorders>
                    <w:tl2br w:val="nil"/>
                    <w:tr2bl w:val="nil"/>
                  </w:tcBorders>
                  <w:vAlign w:val="center"/>
                </w:tcPr>
                <w:p w14:paraId="71137F02">
                  <w:pPr>
                    <w:jc w:val="center"/>
                    <w:rPr>
                      <w:color w:val="auto"/>
                      <w:kern w:val="0"/>
                    </w:rPr>
                  </w:pPr>
                  <w:r>
                    <w:rPr>
                      <w:rFonts w:hint="eastAsia" w:eastAsia="仿宋"/>
                      <w:color w:val="auto"/>
                      <w:kern w:val="0"/>
                    </w:rPr>
                    <w:t>50</w:t>
                  </w:r>
                </w:p>
              </w:tc>
              <w:tc>
                <w:tcPr>
                  <w:tcW w:w="662" w:type="pct"/>
                  <w:tcBorders>
                    <w:tl2br w:val="nil"/>
                    <w:tr2bl w:val="nil"/>
                  </w:tcBorders>
                  <w:vAlign w:val="center"/>
                </w:tcPr>
                <w:p w14:paraId="51B66737">
                  <w:pPr>
                    <w:keepNext w:val="0"/>
                    <w:keepLines w:val="0"/>
                    <w:widowControl/>
                    <w:suppressLineNumbers w:val="0"/>
                    <w:jc w:val="center"/>
                    <w:textAlignment w:val="center"/>
                    <w:rPr>
                      <w:color w:val="auto"/>
                      <w:kern w:val="0"/>
                    </w:rPr>
                  </w:pPr>
                  <w:r>
                    <w:rPr>
                      <w:rFonts w:hint="default" w:ascii="Times New Roman" w:hAnsi="Times New Roman" w:eastAsia="宋体" w:cs="Times New Roman"/>
                      <w:i w:val="0"/>
                      <w:iCs w:val="0"/>
                      <w:snapToGrid w:val="0"/>
                      <w:color w:val="auto"/>
                      <w:kern w:val="0"/>
                      <w:sz w:val="21"/>
                      <w:szCs w:val="21"/>
                      <w:u w:val="none"/>
                      <w:lang w:val="en-US" w:eastAsia="zh-CN" w:bidi="ar"/>
                    </w:rPr>
                    <w:t>0.036</w:t>
                  </w:r>
                </w:p>
              </w:tc>
              <w:tc>
                <w:tcPr>
                  <w:tcW w:w="640" w:type="pct"/>
                  <w:vMerge w:val="continue"/>
                  <w:tcBorders>
                    <w:tl2br w:val="nil"/>
                    <w:tr2bl w:val="nil"/>
                  </w:tcBorders>
                  <w:vAlign w:val="center"/>
                </w:tcPr>
                <w:p w14:paraId="7325AD82">
                  <w:pPr>
                    <w:adjustRightInd w:val="0"/>
                    <w:snapToGrid w:val="0"/>
                    <w:jc w:val="center"/>
                    <w:rPr>
                      <w:color w:val="auto"/>
                      <w:kern w:val="0"/>
                    </w:rPr>
                  </w:pPr>
                </w:p>
              </w:tc>
            </w:tr>
          </w:tbl>
          <w:p w14:paraId="52A3625D">
            <w:pPr>
              <w:pStyle w:val="23"/>
              <w:ind w:firstLine="422" w:firstLineChars="200"/>
              <w:rPr>
                <w:b/>
                <w:bCs/>
                <w:color w:val="auto"/>
                <w:sz w:val="21"/>
                <w:szCs w:val="21"/>
              </w:rPr>
            </w:pPr>
            <w:r>
              <w:rPr>
                <w:b/>
                <w:bCs/>
                <w:color w:val="auto"/>
                <w:sz w:val="21"/>
                <w:szCs w:val="21"/>
              </w:rPr>
              <w:t>（2）排放口基本情况</w:t>
            </w:r>
          </w:p>
          <w:p w14:paraId="3F0A7F06">
            <w:pPr>
              <w:adjustRightInd w:val="0"/>
              <w:snapToGrid w:val="0"/>
              <w:jc w:val="center"/>
              <w:rPr>
                <w:b/>
                <w:color w:val="auto"/>
                <w:kern w:val="0"/>
              </w:rPr>
            </w:pPr>
            <w:r>
              <w:rPr>
                <w:b/>
                <w:color w:val="auto"/>
                <w:kern w:val="0"/>
              </w:rPr>
              <w:t>表4-</w:t>
            </w:r>
            <w:r>
              <w:rPr>
                <w:rFonts w:hint="eastAsia"/>
                <w:b/>
                <w:color w:val="auto"/>
                <w:kern w:val="0"/>
                <w:lang w:val="en-US" w:eastAsia="zh-CN"/>
              </w:rPr>
              <w:t>15</w:t>
            </w:r>
            <w:r>
              <w:rPr>
                <w:b/>
                <w:color w:val="auto"/>
                <w:kern w:val="0"/>
              </w:rPr>
              <w:t xml:space="preserve">   废水类别、污染物及污染治理设施信息表</w:t>
            </w:r>
          </w:p>
          <w:tbl>
            <w:tblPr>
              <w:tblStyle w:val="59"/>
              <w:tblW w:w="4997"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581"/>
              <w:gridCol w:w="855"/>
              <w:gridCol w:w="900"/>
              <w:gridCol w:w="1182"/>
              <w:gridCol w:w="676"/>
              <w:gridCol w:w="794"/>
              <w:gridCol w:w="801"/>
              <w:gridCol w:w="709"/>
              <w:gridCol w:w="885"/>
              <w:gridCol w:w="1473"/>
            </w:tblGrid>
            <w:tr w14:paraId="40018D9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PrEx>
              <w:trPr>
                <w:trHeight w:val="0" w:hRule="atLeast"/>
                <w:jc w:val="center"/>
              </w:trPr>
              <w:tc>
                <w:tcPr>
                  <w:tcW w:w="328" w:type="pct"/>
                  <w:vMerge w:val="restart"/>
                  <w:vAlign w:val="center"/>
                </w:tcPr>
                <w:p w14:paraId="1B0D5667">
                  <w:pPr>
                    <w:adjustRightInd w:val="0"/>
                    <w:snapToGrid w:val="0"/>
                    <w:jc w:val="center"/>
                    <w:rPr>
                      <w:b/>
                      <w:color w:val="auto"/>
                      <w:kern w:val="0"/>
                      <w:sz w:val="18"/>
                      <w:szCs w:val="18"/>
                    </w:rPr>
                  </w:pPr>
                  <w:r>
                    <w:rPr>
                      <w:b/>
                      <w:color w:val="auto"/>
                      <w:kern w:val="0"/>
                      <w:sz w:val="18"/>
                      <w:szCs w:val="18"/>
                    </w:rPr>
                    <w:t>废水类别</w:t>
                  </w:r>
                </w:p>
              </w:tc>
              <w:tc>
                <w:tcPr>
                  <w:tcW w:w="482" w:type="pct"/>
                  <w:vMerge w:val="restart"/>
                  <w:vAlign w:val="center"/>
                </w:tcPr>
                <w:p w14:paraId="065CDF39">
                  <w:pPr>
                    <w:adjustRightInd w:val="0"/>
                    <w:snapToGrid w:val="0"/>
                    <w:jc w:val="center"/>
                    <w:rPr>
                      <w:b/>
                      <w:color w:val="auto"/>
                      <w:kern w:val="0"/>
                      <w:sz w:val="18"/>
                      <w:szCs w:val="18"/>
                    </w:rPr>
                  </w:pPr>
                  <w:r>
                    <w:rPr>
                      <w:b/>
                      <w:color w:val="auto"/>
                      <w:kern w:val="0"/>
                      <w:sz w:val="18"/>
                      <w:szCs w:val="18"/>
                    </w:rPr>
                    <w:t>污染物种类</w:t>
                  </w:r>
                </w:p>
              </w:tc>
              <w:tc>
                <w:tcPr>
                  <w:tcW w:w="508" w:type="pct"/>
                  <w:vMerge w:val="restart"/>
                  <w:vAlign w:val="center"/>
                </w:tcPr>
                <w:p w14:paraId="03F2DF70">
                  <w:pPr>
                    <w:adjustRightInd w:val="0"/>
                    <w:snapToGrid w:val="0"/>
                    <w:jc w:val="center"/>
                    <w:rPr>
                      <w:b/>
                      <w:color w:val="auto"/>
                      <w:kern w:val="0"/>
                      <w:sz w:val="18"/>
                      <w:szCs w:val="18"/>
                    </w:rPr>
                  </w:pPr>
                  <w:r>
                    <w:rPr>
                      <w:b/>
                      <w:color w:val="auto"/>
                      <w:kern w:val="0"/>
                      <w:sz w:val="18"/>
                      <w:szCs w:val="18"/>
                    </w:rPr>
                    <w:t>排放去向</w:t>
                  </w:r>
                </w:p>
              </w:tc>
              <w:tc>
                <w:tcPr>
                  <w:tcW w:w="667" w:type="pct"/>
                  <w:vMerge w:val="restart"/>
                  <w:vAlign w:val="center"/>
                </w:tcPr>
                <w:p w14:paraId="37355A65">
                  <w:pPr>
                    <w:adjustRightInd w:val="0"/>
                    <w:snapToGrid w:val="0"/>
                    <w:jc w:val="center"/>
                    <w:rPr>
                      <w:b/>
                      <w:color w:val="auto"/>
                      <w:kern w:val="0"/>
                      <w:sz w:val="18"/>
                      <w:szCs w:val="18"/>
                    </w:rPr>
                  </w:pPr>
                  <w:r>
                    <w:rPr>
                      <w:b/>
                      <w:color w:val="auto"/>
                      <w:kern w:val="0"/>
                      <w:sz w:val="18"/>
                      <w:szCs w:val="18"/>
                    </w:rPr>
                    <w:t>排放规律</w:t>
                  </w:r>
                </w:p>
              </w:tc>
              <w:tc>
                <w:tcPr>
                  <w:tcW w:w="1282" w:type="pct"/>
                  <w:gridSpan w:val="3"/>
                  <w:vAlign w:val="center"/>
                </w:tcPr>
                <w:p w14:paraId="1D4F51C2">
                  <w:pPr>
                    <w:adjustRightInd w:val="0"/>
                    <w:snapToGrid w:val="0"/>
                    <w:jc w:val="center"/>
                    <w:rPr>
                      <w:b/>
                      <w:color w:val="auto"/>
                      <w:kern w:val="0"/>
                      <w:sz w:val="18"/>
                      <w:szCs w:val="18"/>
                    </w:rPr>
                  </w:pPr>
                  <w:r>
                    <w:rPr>
                      <w:b/>
                      <w:color w:val="auto"/>
                      <w:kern w:val="0"/>
                      <w:sz w:val="18"/>
                      <w:szCs w:val="18"/>
                    </w:rPr>
                    <w:t>污染治理设施</w:t>
                  </w:r>
                </w:p>
              </w:tc>
              <w:tc>
                <w:tcPr>
                  <w:tcW w:w="400" w:type="pct"/>
                  <w:vMerge w:val="restart"/>
                  <w:tcMar>
                    <w:top w:w="0" w:type="dxa"/>
                    <w:left w:w="0" w:type="dxa"/>
                    <w:bottom w:w="0" w:type="dxa"/>
                    <w:right w:w="0" w:type="dxa"/>
                  </w:tcMar>
                  <w:vAlign w:val="center"/>
                </w:tcPr>
                <w:p w14:paraId="70D8BD14">
                  <w:pPr>
                    <w:adjustRightInd w:val="0"/>
                    <w:snapToGrid w:val="0"/>
                    <w:jc w:val="center"/>
                    <w:rPr>
                      <w:b/>
                      <w:color w:val="auto"/>
                      <w:kern w:val="0"/>
                      <w:sz w:val="18"/>
                      <w:szCs w:val="18"/>
                    </w:rPr>
                  </w:pPr>
                  <w:r>
                    <w:rPr>
                      <w:b/>
                      <w:color w:val="auto"/>
                      <w:kern w:val="0"/>
                      <w:sz w:val="18"/>
                      <w:szCs w:val="18"/>
                    </w:rPr>
                    <w:t>排放口编号</w:t>
                  </w:r>
                </w:p>
              </w:tc>
              <w:tc>
                <w:tcPr>
                  <w:tcW w:w="499" w:type="pct"/>
                  <w:vMerge w:val="restart"/>
                  <w:vAlign w:val="center"/>
                </w:tcPr>
                <w:p w14:paraId="51B26D01">
                  <w:pPr>
                    <w:adjustRightInd w:val="0"/>
                    <w:snapToGrid w:val="0"/>
                    <w:jc w:val="center"/>
                    <w:rPr>
                      <w:b/>
                      <w:color w:val="auto"/>
                      <w:kern w:val="0"/>
                      <w:sz w:val="18"/>
                      <w:szCs w:val="18"/>
                    </w:rPr>
                  </w:pPr>
                  <w:r>
                    <w:rPr>
                      <w:b/>
                      <w:color w:val="auto"/>
                      <w:kern w:val="0"/>
                      <w:sz w:val="18"/>
                      <w:szCs w:val="18"/>
                    </w:rPr>
                    <w:t>排放口设置是否符合要求</w:t>
                  </w:r>
                </w:p>
              </w:tc>
              <w:tc>
                <w:tcPr>
                  <w:tcW w:w="831" w:type="pct"/>
                  <w:vMerge w:val="restart"/>
                  <w:vAlign w:val="center"/>
                </w:tcPr>
                <w:p w14:paraId="51430AC1">
                  <w:pPr>
                    <w:adjustRightInd w:val="0"/>
                    <w:snapToGrid w:val="0"/>
                    <w:jc w:val="center"/>
                    <w:rPr>
                      <w:b/>
                      <w:color w:val="auto"/>
                      <w:kern w:val="0"/>
                      <w:sz w:val="18"/>
                      <w:szCs w:val="18"/>
                    </w:rPr>
                  </w:pPr>
                  <w:r>
                    <w:rPr>
                      <w:b/>
                      <w:color w:val="auto"/>
                      <w:kern w:val="0"/>
                      <w:sz w:val="18"/>
                      <w:szCs w:val="18"/>
                    </w:rPr>
                    <w:t>排放口类型</w:t>
                  </w:r>
                </w:p>
              </w:tc>
            </w:tr>
            <w:tr w14:paraId="713837E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328" w:type="pct"/>
                  <w:vMerge w:val="continue"/>
                  <w:vAlign w:val="center"/>
                </w:tcPr>
                <w:p w14:paraId="58D67E11">
                  <w:pPr>
                    <w:widowControl/>
                    <w:adjustRightInd w:val="0"/>
                    <w:snapToGrid w:val="0"/>
                    <w:jc w:val="left"/>
                    <w:rPr>
                      <w:bCs/>
                      <w:color w:val="auto"/>
                      <w:kern w:val="0"/>
                      <w:sz w:val="18"/>
                      <w:szCs w:val="18"/>
                    </w:rPr>
                  </w:pPr>
                </w:p>
              </w:tc>
              <w:tc>
                <w:tcPr>
                  <w:tcW w:w="482" w:type="pct"/>
                  <w:vMerge w:val="continue"/>
                  <w:vAlign w:val="center"/>
                </w:tcPr>
                <w:p w14:paraId="15837048">
                  <w:pPr>
                    <w:widowControl/>
                    <w:adjustRightInd w:val="0"/>
                    <w:snapToGrid w:val="0"/>
                    <w:jc w:val="left"/>
                    <w:rPr>
                      <w:bCs/>
                      <w:color w:val="auto"/>
                      <w:kern w:val="0"/>
                      <w:sz w:val="18"/>
                      <w:szCs w:val="18"/>
                    </w:rPr>
                  </w:pPr>
                </w:p>
              </w:tc>
              <w:tc>
                <w:tcPr>
                  <w:tcW w:w="508" w:type="pct"/>
                  <w:vMerge w:val="continue"/>
                  <w:vAlign w:val="center"/>
                </w:tcPr>
                <w:p w14:paraId="76D76FB9">
                  <w:pPr>
                    <w:widowControl/>
                    <w:adjustRightInd w:val="0"/>
                    <w:snapToGrid w:val="0"/>
                    <w:jc w:val="left"/>
                    <w:rPr>
                      <w:bCs/>
                      <w:color w:val="auto"/>
                      <w:kern w:val="0"/>
                      <w:sz w:val="18"/>
                      <w:szCs w:val="18"/>
                    </w:rPr>
                  </w:pPr>
                </w:p>
              </w:tc>
              <w:tc>
                <w:tcPr>
                  <w:tcW w:w="667" w:type="pct"/>
                  <w:vMerge w:val="continue"/>
                  <w:vAlign w:val="center"/>
                </w:tcPr>
                <w:p w14:paraId="6C1B10C9">
                  <w:pPr>
                    <w:widowControl/>
                    <w:adjustRightInd w:val="0"/>
                    <w:snapToGrid w:val="0"/>
                    <w:jc w:val="left"/>
                    <w:rPr>
                      <w:bCs/>
                      <w:color w:val="auto"/>
                      <w:kern w:val="0"/>
                      <w:sz w:val="18"/>
                      <w:szCs w:val="18"/>
                    </w:rPr>
                  </w:pPr>
                </w:p>
              </w:tc>
              <w:tc>
                <w:tcPr>
                  <w:tcW w:w="381" w:type="pct"/>
                  <w:tcMar>
                    <w:top w:w="0" w:type="dxa"/>
                    <w:left w:w="0" w:type="dxa"/>
                    <w:bottom w:w="0" w:type="dxa"/>
                    <w:right w:w="0" w:type="dxa"/>
                  </w:tcMar>
                  <w:vAlign w:val="center"/>
                </w:tcPr>
                <w:p w14:paraId="4F58D774">
                  <w:pPr>
                    <w:adjustRightInd w:val="0"/>
                    <w:snapToGrid w:val="0"/>
                    <w:jc w:val="center"/>
                    <w:rPr>
                      <w:b/>
                      <w:color w:val="auto"/>
                      <w:kern w:val="0"/>
                      <w:sz w:val="18"/>
                      <w:szCs w:val="18"/>
                    </w:rPr>
                  </w:pPr>
                  <w:r>
                    <w:rPr>
                      <w:b/>
                      <w:color w:val="auto"/>
                      <w:kern w:val="0"/>
                      <w:sz w:val="18"/>
                      <w:szCs w:val="18"/>
                    </w:rPr>
                    <w:t>污染治理设施编号</w:t>
                  </w:r>
                </w:p>
              </w:tc>
              <w:tc>
                <w:tcPr>
                  <w:tcW w:w="448" w:type="pct"/>
                  <w:vAlign w:val="center"/>
                </w:tcPr>
                <w:p w14:paraId="222F5D94">
                  <w:pPr>
                    <w:adjustRightInd w:val="0"/>
                    <w:snapToGrid w:val="0"/>
                    <w:jc w:val="center"/>
                    <w:rPr>
                      <w:b/>
                      <w:color w:val="auto"/>
                      <w:kern w:val="0"/>
                      <w:sz w:val="18"/>
                      <w:szCs w:val="18"/>
                    </w:rPr>
                  </w:pPr>
                  <w:r>
                    <w:rPr>
                      <w:b/>
                      <w:color w:val="auto"/>
                      <w:kern w:val="0"/>
                      <w:sz w:val="18"/>
                      <w:szCs w:val="18"/>
                    </w:rPr>
                    <w:t>污染治理设施名称</w:t>
                  </w:r>
                </w:p>
              </w:tc>
              <w:tc>
                <w:tcPr>
                  <w:tcW w:w="452" w:type="pct"/>
                  <w:vAlign w:val="center"/>
                </w:tcPr>
                <w:p w14:paraId="7C8E6AA2">
                  <w:pPr>
                    <w:adjustRightInd w:val="0"/>
                    <w:snapToGrid w:val="0"/>
                    <w:jc w:val="center"/>
                    <w:rPr>
                      <w:b/>
                      <w:color w:val="auto"/>
                      <w:kern w:val="0"/>
                      <w:sz w:val="18"/>
                      <w:szCs w:val="18"/>
                    </w:rPr>
                  </w:pPr>
                  <w:r>
                    <w:rPr>
                      <w:b/>
                      <w:color w:val="auto"/>
                      <w:kern w:val="0"/>
                      <w:sz w:val="18"/>
                      <w:szCs w:val="18"/>
                    </w:rPr>
                    <w:t>污染治理设施工艺</w:t>
                  </w:r>
                </w:p>
              </w:tc>
              <w:tc>
                <w:tcPr>
                  <w:tcW w:w="400" w:type="pct"/>
                  <w:vMerge w:val="continue"/>
                  <w:vAlign w:val="center"/>
                </w:tcPr>
                <w:p w14:paraId="609C3828">
                  <w:pPr>
                    <w:widowControl/>
                    <w:adjustRightInd w:val="0"/>
                    <w:snapToGrid w:val="0"/>
                    <w:jc w:val="left"/>
                    <w:rPr>
                      <w:b/>
                      <w:color w:val="auto"/>
                      <w:kern w:val="0"/>
                      <w:sz w:val="18"/>
                      <w:szCs w:val="18"/>
                    </w:rPr>
                  </w:pPr>
                </w:p>
              </w:tc>
              <w:tc>
                <w:tcPr>
                  <w:tcW w:w="499" w:type="pct"/>
                  <w:vMerge w:val="continue"/>
                  <w:vAlign w:val="center"/>
                </w:tcPr>
                <w:p w14:paraId="0424F8D3">
                  <w:pPr>
                    <w:widowControl/>
                    <w:adjustRightInd w:val="0"/>
                    <w:snapToGrid w:val="0"/>
                    <w:jc w:val="left"/>
                    <w:rPr>
                      <w:b/>
                      <w:color w:val="auto"/>
                      <w:kern w:val="0"/>
                      <w:sz w:val="18"/>
                      <w:szCs w:val="18"/>
                    </w:rPr>
                  </w:pPr>
                </w:p>
              </w:tc>
              <w:tc>
                <w:tcPr>
                  <w:tcW w:w="831" w:type="pct"/>
                  <w:vMerge w:val="continue"/>
                  <w:vAlign w:val="center"/>
                </w:tcPr>
                <w:p w14:paraId="327C68BE">
                  <w:pPr>
                    <w:widowControl/>
                    <w:adjustRightInd w:val="0"/>
                    <w:snapToGrid w:val="0"/>
                    <w:jc w:val="left"/>
                    <w:rPr>
                      <w:b/>
                      <w:color w:val="auto"/>
                      <w:kern w:val="0"/>
                      <w:sz w:val="18"/>
                      <w:szCs w:val="18"/>
                    </w:rPr>
                  </w:pPr>
                </w:p>
              </w:tc>
            </w:tr>
            <w:tr w14:paraId="41E2C0F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36" w:hRule="atLeast"/>
                <w:jc w:val="center"/>
              </w:trPr>
              <w:tc>
                <w:tcPr>
                  <w:tcW w:w="328" w:type="pct"/>
                  <w:vMerge w:val="restart"/>
                  <w:vAlign w:val="center"/>
                </w:tcPr>
                <w:p w14:paraId="31C5A1EC">
                  <w:pPr>
                    <w:adjustRightInd w:val="0"/>
                    <w:snapToGrid w:val="0"/>
                    <w:jc w:val="center"/>
                    <w:rPr>
                      <w:bCs/>
                      <w:color w:val="auto"/>
                      <w:kern w:val="0"/>
                      <w:sz w:val="18"/>
                      <w:szCs w:val="18"/>
                    </w:rPr>
                  </w:pPr>
                  <w:r>
                    <w:rPr>
                      <w:color w:val="auto"/>
                      <w:kern w:val="0"/>
                      <w:sz w:val="18"/>
                      <w:szCs w:val="18"/>
                    </w:rPr>
                    <w:t>生活污水</w:t>
                  </w:r>
                </w:p>
              </w:tc>
              <w:tc>
                <w:tcPr>
                  <w:tcW w:w="482" w:type="pct"/>
                  <w:vAlign w:val="center"/>
                </w:tcPr>
                <w:p w14:paraId="4AF61B5F">
                  <w:pPr>
                    <w:adjustRightInd w:val="0"/>
                    <w:snapToGrid w:val="0"/>
                    <w:jc w:val="center"/>
                    <w:rPr>
                      <w:bCs/>
                      <w:color w:val="auto"/>
                      <w:kern w:val="0"/>
                      <w:sz w:val="18"/>
                      <w:szCs w:val="18"/>
                    </w:rPr>
                  </w:pPr>
                  <w:r>
                    <w:rPr>
                      <w:color w:val="auto"/>
                      <w:kern w:val="0"/>
                      <w:sz w:val="18"/>
                      <w:szCs w:val="18"/>
                    </w:rPr>
                    <w:t>COD</w:t>
                  </w:r>
                </w:p>
              </w:tc>
              <w:tc>
                <w:tcPr>
                  <w:tcW w:w="508" w:type="pct"/>
                  <w:vMerge w:val="restart"/>
                  <w:vAlign w:val="center"/>
                </w:tcPr>
                <w:p w14:paraId="6D127E53">
                  <w:pPr>
                    <w:adjustRightInd w:val="0"/>
                    <w:snapToGrid w:val="0"/>
                    <w:jc w:val="center"/>
                    <w:rPr>
                      <w:bCs/>
                      <w:color w:val="auto"/>
                      <w:kern w:val="0"/>
                      <w:sz w:val="18"/>
                      <w:szCs w:val="18"/>
                    </w:rPr>
                  </w:pPr>
                  <w:r>
                    <w:rPr>
                      <w:rFonts w:hint="eastAsia"/>
                      <w:color w:val="auto"/>
                      <w:kern w:val="0"/>
                      <w:sz w:val="18"/>
                      <w:szCs w:val="18"/>
                    </w:rPr>
                    <w:t>接管至常州金坛区第二污水处理有限公司</w:t>
                  </w:r>
                </w:p>
              </w:tc>
              <w:tc>
                <w:tcPr>
                  <w:tcW w:w="667" w:type="pct"/>
                  <w:vMerge w:val="restart"/>
                  <w:vAlign w:val="center"/>
                </w:tcPr>
                <w:p w14:paraId="08D17B6A">
                  <w:pPr>
                    <w:adjustRightInd w:val="0"/>
                    <w:snapToGrid w:val="0"/>
                    <w:jc w:val="center"/>
                    <w:rPr>
                      <w:bCs/>
                      <w:color w:val="auto"/>
                      <w:kern w:val="0"/>
                      <w:sz w:val="18"/>
                      <w:szCs w:val="18"/>
                    </w:rPr>
                  </w:pPr>
                  <w:r>
                    <w:rPr>
                      <w:color w:val="auto"/>
                      <w:kern w:val="0"/>
                      <w:sz w:val="18"/>
                      <w:szCs w:val="18"/>
                    </w:rPr>
                    <w:t>间断排放，排放期间流量不稳定且无规律，但不属于冲击型排放</w:t>
                  </w:r>
                </w:p>
              </w:tc>
              <w:tc>
                <w:tcPr>
                  <w:tcW w:w="381" w:type="pct"/>
                  <w:vMerge w:val="restart"/>
                  <w:tcMar>
                    <w:top w:w="0" w:type="dxa"/>
                    <w:left w:w="0" w:type="dxa"/>
                    <w:bottom w:w="0" w:type="dxa"/>
                    <w:right w:w="0" w:type="dxa"/>
                  </w:tcMar>
                  <w:vAlign w:val="center"/>
                </w:tcPr>
                <w:p w14:paraId="3B619D02">
                  <w:pPr>
                    <w:adjustRightInd w:val="0"/>
                    <w:snapToGrid w:val="0"/>
                    <w:jc w:val="center"/>
                    <w:rPr>
                      <w:bCs/>
                      <w:color w:val="auto"/>
                      <w:kern w:val="0"/>
                      <w:sz w:val="18"/>
                      <w:szCs w:val="18"/>
                    </w:rPr>
                  </w:pPr>
                  <w:r>
                    <w:rPr>
                      <w:color w:val="auto"/>
                      <w:kern w:val="0"/>
                      <w:sz w:val="18"/>
                      <w:szCs w:val="18"/>
                    </w:rPr>
                    <w:t>--</w:t>
                  </w:r>
                </w:p>
              </w:tc>
              <w:tc>
                <w:tcPr>
                  <w:tcW w:w="448" w:type="pct"/>
                  <w:vMerge w:val="restart"/>
                  <w:vAlign w:val="center"/>
                </w:tcPr>
                <w:p w14:paraId="5873DDEF">
                  <w:pPr>
                    <w:adjustRightInd w:val="0"/>
                    <w:snapToGrid w:val="0"/>
                    <w:jc w:val="center"/>
                    <w:rPr>
                      <w:bCs/>
                      <w:color w:val="auto"/>
                      <w:kern w:val="0"/>
                      <w:sz w:val="18"/>
                      <w:szCs w:val="18"/>
                    </w:rPr>
                  </w:pPr>
                  <w:r>
                    <w:rPr>
                      <w:color w:val="auto"/>
                      <w:kern w:val="0"/>
                      <w:sz w:val="18"/>
                      <w:szCs w:val="18"/>
                    </w:rPr>
                    <w:t>--</w:t>
                  </w:r>
                </w:p>
              </w:tc>
              <w:tc>
                <w:tcPr>
                  <w:tcW w:w="452" w:type="pct"/>
                  <w:vMerge w:val="restart"/>
                  <w:vAlign w:val="center"/>
                </w:tcPr>
                <w:p w14:paraId="53CD3451">
                  <w:pPr>
                    <w:adjustRightInd w:val="0"/>
                    <w:snapToGrid w:val="0"/>
                    <w:jc w:val="center"/>
                    <w:rPr>
                      <w:bCs/>
                      <w:color w:val="auto"/>
                      <w:kern w:val="0"/>
                      <w:sz w:val="18"/>
                      <w:szCs w:val="18"/>
                    </w:rPr>
                  </w:pPr>
                  <w:r>
                    <w:rPr>
                      <w:color w:val="auto"/>
                      <w:kern w:val="0"/>
                      <w:sz w:val="18"/>
                      <w:szCs w:val="18"/>
                    </w:rPr>
                    <w:t>--</w:t>
                  </w:r>
                </w:p>
              </w:tc>
              <w:tc>
                <w:tcPr>
                  <w:tcW w:w="400" w:type="pct"/>
                  <w:vMerge w:val="restart"/>
                  <w:vAlign w:val="center"/>
                </w:tcPr>
                <w:p w14:paraId="07B7CB96">
                  <w:pPr>
                    <w:adjustRightInd w:val="0"/>
                    <w:snapToGrid w:val="0"/>
                    <w:jc w:val="center"/>
                    <w:rPr>
                      <w:color w:val="auto"/>
                      <w:kern w:val="0"/>
                      <w:sz w:val="18"/>
                      <w:szCs w:val="18"/>
                    </w:rPr>
                  </w:pPr>
                  <w:r>
                    <w:rPr>
                      <w:color w:val="auto"/>
                      <w:kern w:val="0"/>
                      <w:sz w:val="18"/>
                      <w:szCs w:val="18"/>
                    </w:rPr>
                    <w:t>DW001</w:t>
                  </w:r>
                </w:p>
              </w:tc>
              <w:tc>
                <w:tcPr>
                  <w:tcW w:w="499" w:type="pct"/>
                  <w:vMerge w:val="restart"/>
                  <w:vAlign w:val="center"/>
                </w:tcPr>
                <w:p w14:paraId="6C27E314">
                  <w:pPr>
                    <w:autoSpaceDE w:val="0"/>
                    <w:autoSpaceDN w:val="0"/>
                    <w:adjustRightInd w:val="0"/>
                    <w:snapToGrid w:val="0"/>
                    <w:jc w:val="center"/>
                    <w:rPr>
                      <w:color w:val="auto"/>
                      <w:kern w:val="0"/>
                      <w:sz w:val="18"/>
                      <w:szCs w:val="18"/>
                    </w:rPr>
                  </w:pPr>
                  <w:r>
                    <w:rPr>
                      <w:color w:val="auto"/>
                      <w:kern w:val="0"/>
                      <w:sz w:val="18"/>
                      <w:szCs w:val="18"/>
                    </w:rPr>
                    <w:sym w:font="Wingdings 2" w:char="0052"/>
                  </w:r>
                  <w:r>
                    <w:rPr>
                      <w:color w:val="auto"/>
                      <w:kern w:val="0"/>
                      <w:sz w:val="18"/>
                      <w:szCs w:val="18"/>
                    </w:rPr>
                    <w:t>是</w:t>
                  </w:r>
                </w:p>
                <w:p w14:paraId="26BFF4CD">
                  <w:pPr>
                    <w:autoSpaceDE w:val="0"/>
                    <w:autoSpaceDN w:val="0"/>
                    <w:adjustRightInd w:val="0"/>
                    <w:snapToGrid w:val="0"/>
                    <w:jc w:val="center"/>
                    <w:rPr>
                      <w:b/>
                      <w:color w:val="auto"/>
                      <w:kern w:val="0"/>
                      <w:sz w:val="18"/>
                      <w:szCs w:val="18"/>
                    </w:rPr>
                  </w:pPr>
                  <w:r>
                    <w:rPr>
                      <w:rFonts w:cs="Wingdings"/>
                      <w:color w:val="auto"/>
                      <w:kern w:val="0"/>
                      <w:sz w:val="18"/>
                      <w:szCs w:val="18"/>
                    </w:rPr>
                    <w:t>□</w:t>
                  </w:r>
                  <w:r>
                    <w:rPr>
                      <w:color w:val="auto"/>
                      <w:kern w:val="0"/>
                      <w:sz w:val="18"/>
                      <w:szCs w:val="18"/>
                    </w:rPr>
                    <w:t>否</w:t>
                  </w:r>
                </w:p>
              </w:tc>
              <w:tc>
                <w:tcPr>
                  <w:tcW w:w="831" w:type="pct"/>
                  <w:vMerge w:val="restart"/>
                  <w:vAlign w:val="center"/>
                </w:tcPr>
                <w:p w14:paraId="4FBF2104">
                  <w:pPr>
                    <w:adjustRightInd w:val="0"/>
                    <w:snapToGrid w:val="0"/>
                    <w:jc w:val="left"/>
                    <w:rPr>
                      <w:color w:val="auto"/>
                      <w:kern w:val="0"/>
                      <w:sz w:val="18"/>
                      <w:szCs w:val="18"/>
                    </w:rPr>
                  </w:pPr>
                  <w:r>
                    <w:rPr>
                      <w:color w:val="auto"/>
                      <w:kern w:val="0"/>
                      <w:sz w:val="18"/>
                      <w:szCs w:val="18"/>
                    </w:rPr>
                    <w:sym w:font="Wingdings" w:char="00FE"/>
                  </w:r>
                  <w:r>
                    <w:rPr>
                      <w:color w:val="auto"/>
                      <w:kern w:val="0"/>
                      <w:sz w:val="18"/>
                      <w:szCs w:val="18"/>
                    </w:rPr>
                    <w:t>企业总排</w:t>
                  </w:r>
                </w:p>
                <w:p w14:paraId="42D5F01E">
                  <w:pPr>
                    <w:adjustRightInd w:val="0"/>
                    <w:snapToGrid w:val="0"/>
                    <w:jc w:val="left"/>
                    <w:rPr>
                      <w:color w:val="auto"/>
                      <w:kern w:val="0"/>
                      <w:sz w:val="18"/>
                      <w:szCs w:val="18"/>
                    </w:rPr>
                  </w:pPr>
                  <w:r>
                    <w:rPr>
                      <w:color w:val="auto"/>
                      <w:kern w:val="0"/>
                      <w:sz w:val="18"/>
                      <w:szCs w:val="18"/>
                    </w:rPr>
                    <w:sym w:font="Wingdings" w:char="00A8"/>
                  </w:r>
                  <w:r>
                    <w:rPr>
                      <w:color w:val="auto"/>
                      <w:kern w:val="0"/>
                      <w:sz w:val="18"/>
                      <w:szCs w:val="18"/>
                    </w:rPr>
                    <w:t>雨水排放</w:t>
                  </w:r>
                </w:p>
                <w:p w14:paraId="6F1DE258">
                  <w:pPr>
                    <w:adjustRightInd w:val="0"/>
                    <w:snapToGrid w:val="0"/>
                    <w:jc w:val="left"/>
                    <w:rPr>
                      <w:color w:val="auto"/>
                      <w:kern w:val="0"/>
                      <w:sz w:val="18"/>
                      <w:szCs w:val="18"/>
                    </w:rPr>
                  </w:pPr>
                  <w:r>
                    <w:rPr>
                      <w:color w:val="auto"/>
                      <w:kern w:val="0"/>
                      <w:sz w:val="18"/>
                      <w:szCs w:val="18"/>
                    </w:rPr>
                    <w:sym w:font="Wingdings" w:char="00A8"/>
                  </w:r>
                  <w:r>
                    <w:rPr>
                      <w:color w:val="auto"/>
                      <w:kern w:val="0"/>
                      <w:sz w:val="18"/>
                      <w:szCs w:val="18"/>
                    </w:rPr>
                    <w:t>清净下水排放</w:t>
                  </w:r>
                </w:p>
                <w:p w14:paraId="4A3CFB66">
                  <w:pPr>
                    <w:adjustRightInd w:val="0"/>
                    <w:snapToGrid w:val="0"/>
                    <w:jc w:val="left"/>
                    <w:rPr>
                      <w:color w:val="auto"/>
                      <w:kern w:val="0"/>
                      <w:sz w:val="18"/>
                      <w:szCs w:val="18"/>
                    </w:rPr>
                  </w:pPr>
                  <w:r>
                    <w:rPr>
                      <w:color w:val="auto"/>
                      <w:kern w:val="0"/>
                      <w:sz w:val="18"/>
                      <w:szCs w:val="18"/>
                    </w:rPr>
                    <w:sym w:font="Wingdings" w:char="00A8"/>
                  </w:r>
                  <w:r>
                    <w:rPr>
                      <w:color w:val="auto"/>
                      <w:kern w:val="0"/>
                      <w:sz w:val="18"/>
                      <w:szCs w:val="18"/>
                    </w:rPr>
                    <w:t>温排水排放</w:t>
                  </w:r>
                </w:p>
                <w:p w14:paraId="6D32EC78">
                  <w:pPr>
                    <w:autoSpaceDE w:val="0"/>
                    <w:autoSpaceDN w:val="0"/>
                    <w:adjustRightInd w:val="0"/>
                    <w:snapToGrid w:val="0"/>
                    <w:rPr>
                      <w:b/>
                      <w:color w:val="auto"/>
                      <w:kern w:val="0"/>
                      <w:sz w:val="18"/>
                      <w:szCs w:val="18"/>
                    </w:rPr>
                  </w:pPr>
                  <w:r>
                    <w:rPr>
                      <w:color w:val="auto"/>
                      <w:kern w:val="0"/>
                      <w:sz w:val="18"/>
                      <w:szCs w:val="18"/>
                    </w:rPr>
                    <w:sym w:font="Wingdings" w:char="00A8"/>
                  </w:r>
                  <w:r>
                    <w:rPr>
                      <w:color w:val="auto"/>
                      <w:kern w:val="0"/>
                      <w:sz w:val="18"/>
                      <w:szCs w:val="18"/>
                    </w:rPr>
                    <w:t>车间或车间处理设施排放口</w:t>
                  </w:r>
                </w:p>
              </w:tc>
            </w:tr>
            <w:tr w14:paraId="62E540B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31" w:hRule="atLeast"/>
                <w:jc w:val="center"/>
              </w:trPr>
              <w:tc>
                <w:tcPr>
                  <w:tcW w:w="328" w:type="pct"/>
                  <w:vMerge w:val="continue"/>
                  <w:vAlign w:val="center"/>
                </w:tcPr>
                <w:p w14:paraId="65460732">
                  <w:pPr>
                    <w:adjustRightInd w:val="0"/>
                    <w:snapToGrid w:val="0"/>
                    <w:jc w:val="center"/>
                    <w:rPr>
                      <w:color w:val="auto"/>
                      <w:kern w:val="0"/>
                      <w:sz w:val="18"/>
                      <w:szCs w:val="18"/>
                    </w:rPr>
                  </w:pPr>
                </w:p>
              </w:tc>
              <w:tc>
                <w:tcPr>
                  <w:tcW w:w="482" w:type="pct"/>
                  <w:vAlign w:val="center"/>
                </w:tcPr>
                <w:p w14:paraId="01A7F322">
                  <w:pPr>
                    <w:adjustRightInd w:val="0"/>
                    <w:snapToGrid w:val="0"/>
                    <w:jc w:val="center"/>
                    <w:rPr>
                      <w:bCs/>
                      <w:color w:val="auto"/>
                      <w:kern w:val="0"/>
                      <w:sz w:val="18"/>
                      <w:szCs w:val="18"/>
                    </w:rPr>
                  </w:pPr>
                  <w:r>
                    <w:rPr>
                      <w:color w:val="auto"/>
                      <w:kern w:val="0"/>
                      <w:sz w:val="18"/>
                      <w:szCs w:val="18"/>
                    </w:rPr>
                    <w:t>SS</w:t>
                  </w:r>
                </w:p>
              </w:tc>
              <w:tc>
                <w:tcPr>
                  <w:tcW w:w="508" w:type="pct"/>
                  <w:vMerge w:val="continue"/>
                  <w:vAlign w:val="center"/>
                </w:tcPr>
                <w:p w14:paraId="01C07868">
                  <w:pPr>
                    <w:adjustRightInd w:val="0"/>
                    <w:snapToGrid w:val="0"/>
                    <w:jc w:val="center"/>
                    <w:rPr>
                      <w:bCs/>
                      <w:color w:val="auto"/>
                      <w:kern w:val="0"/>
                      <w:sz w:val="18"/>
                      <w:szCs w:val="18"/>
                    </w:rPr>
                  </w:pPr>
                </w:p>
              </w:tc>
              <w:tc>
                <w:tcPr>
                  <w:tcW w:w="667" w:type="pct"/>
                  <w:vMerge w:val="continue"/>
                  <w:vAlign w:val="center"/>
                </w:tcPr>
                <w:p w14:paraId="5CF8F64C">
                  <w:pPr>
                    <w:adjustRightInd w:val="0"/>
                    <w:snapToGrid w:val="0"/>
                    <w:jc w:val="center"/>
                    <w:rPr>
                      <w:bCs/>
                      <w:color w:val="auto"/>
                      <w:kern w:val="0"/>
                      <w:sz w:val="18"/>
                      <w:szCs w:val="18"/>
                    </w:rPr>
                  </w:pPr>
                </w:p>
              </w:tc>
              <w:tc>
                <w:tcPr>
                  <w:tcW w:w="381" w:type="pct"/>
                  <w:vMerge w:val="continue"/>
                  <w:tcMar>
                    <w:top w:w="0" w:type="dxa"/>
                    <w:left w:w="0" w:type="dxa"/>
                    <w:bottom w:w="0" w:type="dxa"/>
                    <w:right w:w="0" w:type="dxa"/>
                  </w:tcMar>
                  <w:vAlign w:val="center"/>
                </w:tcPr>
                <w:p w14:paraId="0404233F">
                  <w:pPr>
                    <w:adjustRightInd w:val="0"/>
                    <w:snapToGrid w:val="0"/>
                    <w:jc w:val="center"/>
                    <w:rPr>
                      <w:bCs/>
                      <w:color w:val="auto"/>
                      <w:kern w:val="0"/>
                      <w:sz w:val="18"/>
                      <w:szCs w:val="18"/>
                    </w:rPr>
                  </w:pPr>
                </w:p>
              </w:tc>
              <w:tc>
                <w:tcPr>
                  <w:tcW w:w="448" w:type="pct"/>
                  <w:vMerge w:val="continue"/>
                  <w:vAlign w:val="center"/>
                </w:tcPr>
                <w:p w14:paraId="5A486764">
                  <w:pPr>
                    <w:adjustRightInd w:val="0"/>
                    <w:snapToGrid w:val="0"/>
                    <w:jc w:val="center"/>
                    <w:rPr>
                      <w:bCs/>
                      <w:color w:val="auto"/>
                      <w:kern w:val="0"/>
                      <w:sz w:val="18"/>
                      <w:szCs w:val="18"/>
                    </w:rPr>
                  </w:pPr>
                </w:p>
              </w:tc>
              <w:tc>
                <w:tcPr>
                  <w:tcW w:w="452" w:type="pct"/>
                  <w:vMerge w:val="continue"/>
                  <w:vAlign w:val="center"/>
                </w:tcPr>
                <w:p w14:paraId="12115989">
                  <w:pPr>
                    <w:adjustRightInd w:val="0"/>
                    <w:snapToGrid w:val="0"/>
                    <w:jc w:val="center"/>
                    <w:rPr>
                      <w:bCs/>
                      <w:color w:val="auto"/>
                      <w:kern w:val="0"/>
                      <w:sz w:val="18"/>
                      <w:szCs w:val="18"/>
                    </w:rPr>
                  </w:pPr>
                </w:p>
              </w:tc>
              <w:tc>
                <w:tcPr>
                  <w:tcW w:w="400" w:type="pct"/>
                  <w:vMerge w:val="continue"/>
                  <w:vAlign w:val="center"/>
                </w:tcPr>
                <w:p w14:paraId="1F227E33">
                  <w:pPr>
                    <w:adjustRightInd w:val="0"/>
                    <w:snapToGrid w:val="0"/>
                    <w:jc w:val="center"/>
                    <w:rPr>
                      <w:bCs/>
                      <w:color w:val="auto"/>
                      <w:kern w:val="0"/>
                      <w:sz w:val="18"/>
                      <w:szCs w:val="18"/>
                    </w:rPr>
                  </w:pPr>
                </w:p>
              </w:tc>
              <w:tc>
                <w:tcPr>
                  <w:tcW w:w="499" w:type="pct"/>
                  <w:vMerge w:val="continue"/>
                  <w:vAlign w:val="center"/>
                </w:tcPr>
                <w:p w14:paraId="51E977F6">
                  <w:pPr>
                    <w:adjustRightInd w:val="0"/>
                    <w:snapToGrid w:val="0"/>
                    <w:jc w:val="center"/>
                    <w:rPr>
                      <w:bCs/>
                      <w:color w:val="auto"/>
                      <w:kern w:val="0"/>
                      <w:sz w:val="18"/>
                      <w:szCs w:val="18"/>
                    </w:rPr>
                  </w:pPr>
                </w:p>
              </w:tc>
              <w:tc>
                <w:tcPr>
                  <w:tcW w:w="831" w:type="pct"/>
                  <w:vMerge w:val="continue"/>
                  <w:vAlign w:val="center"/>
                </w:tcPr>
                <w:p w14:paraId="36B3EC84">
                  <w:pPr>
                    <w:adjustRightInd w:val="0"/>
                    <w:snapToGrid w:val="0"/>
                    <w:jc w:val="center"/>
                    <w:rPr>
                      <w:bCs/>
                      <w:color w:val="auto"/>
                      <w:kern w:val="0"/>
                      <w:sz w:val="18"/>
                      <w:szCs w:val="18"/>
                    </w:rPr>
                  </w:pPr>
                </w:p>
              </w:tc>
            </w:tr>
            <w:tr w14:paraId="6BC2C2B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16" w:hRule="atLeast"/>
                <w:jc w:val="center"/>
              </w:trPr>
              <w:tc>
                <w:tcPr>
                  <w:tcW w:w="328" w:type="pct"/>
                  <w:vMerge w:val="continue"/>
                  <w:vAlign w:val="center"/>
                </w:tcPr>
                <w:p w14:paraId="35E821A9">
                  <w:pPr>
                    <w:adjustRightInd w:val="0"/>
                    <w:snapToGrid w:val="0"/>
                    <w:jc w:val="center"/>
                    <w:rPr>
                      <w:bCs/>
                      <w:color w:val="auto"/>
                      <w:kern w:val="0"/>
                      <w:sz w:val="18"/>
                      <w:szCs w:val="18"/>
                    </w:rPr>
                  </w:pPr>
                </w:p>
              </w:tc>
              <w:tc>
                <w:tcPr>
                  <w:tcW w:w="482" w:type="pct"/>
                  <w:vAlign w:val="center"/>
                </w:tcPr>
                <w:p w14:paraId="3E397215">
                  <w:pPr>
                    <w:adjustRightInd w:val="0"/>
                    <w:snapToGrid w:val="0"/>
                    <w:jc w:val="center"/>
                    <w:rPr>
                      <w:bCs/>
                      <w:color w:val="auto"/>
                      <w:kern w:val="0"/>
                      <w:sz w:val="18"/>
                      <w:szCs w:val="18"/>
                    </w:rPr>
                  </w:pPr>
                  <w:r>
                    <w:rPr>
                      <w:color w:val="auto"/>
                      <w:kern w:val="0"/>
                      <w:sz w:val="18"/>
                      <w:szCs w:val="18"/>
                    </w:rPr>
                    <w:t>NH</w:t>
                  </w:r>
                  <w:r>
                    <w:rPr>
                      <w:color w:val="auto"/>
                      <w:kern w:val="0"/>
                      <w:sz w:val="18"/>
                      <w:szCs w:val="18"/>
                      <w:vertAlign w:val="subscript"/>
                    </w:rPr>
                    <w:t>3</w:t>
                  </w:r>
                  <w:r>
                    <w:rPr>
                      <w:color w:val="auto"/>
                      <w:kern w:val="0"/>
                      <w:sz w:val="18"/>
                      <w:szCs w:val="18"/>
                    </w:rPr>
                    <w:t>-N</w:t>
                  </w:r>
                </w:p>
              </w:tc>
              <w:tc>
                <w:tcPr>
                  <w:tcW w:w="508" w:type="pct"/>
                  <w:vMerge w:val="continue"/>
                  <w:vAlign w:val="center"/>
                </w:tcPr>
                <w:p w14:paraId="7FF50EFF">
                  <w:pPr>
                    <w:adjustRightInd w:val="0"/>
                    <w:snapToGrid w:val="0"/>
                    <w:jc w:val="center"/>
                    <w:rPr>
                      <w:bCs/>
                      <w:color w:val="auto"/>
                      <w:kern w:val="0"/>
                      <w:sz w:val="18"/>
                      <w:szCs w:val="18"/>
                    </w:rPr>
                  </w:pPr>
                </w:p>
              </w:tc>
              <w:tc>
                <w:tcPr>
                  <w:tcW w:w="667" w:type="pct"/>
                  <w:vMerge w:val="continue"/>
                  <w:vAlign w:val="center"/>
                </w:tcPr>
                <w:p w14:paraId="28FF2EAD">
                  <w:pPr>
                    <w:adjustRightInd w:val="0"/>
                    <w:snapToGrid w:val="0"/>
                    <w:jc w:val="center"/>
                    <w:rPr>
                      <w:bCs/>
                      <w:color w:val="auto"/>
                      <w:kern w:val="0"/>
                      <w:sz w:val="18"/>
                      <w:szCs w:val="18"/>
                    </w:rPr>
                  </w:pPr>
                </w:p>
              </w:tc>
              <w:tc>
                <w:tcPr>
                  <w:tcW w:w="381" w:type="pct"/>
                  <w:vMerge w:val="continue"/>
                  <w:tcMar>
                    <w:top w:w="0" w:type="dxa"/>
                    <w:left w:w="0" w:type="dxa"/>
                    <w:bottom w:w="0" w:type="dxa"/>
                    <w:right w:w="0" w:type="dxa"/>
                  </w:tcMar>
                  <w:vAlign w:val="center"/>
                </w:tcPr>
                <w:p w14:paraId="77B0C83B">
                  <w:pPr>
                    <w:adjustRightInd w:val="0"/>
                    <w:snapToGrid w:val="0"/>
                    <w:jc w:val="center"/>
                    <w:rPr>
                      <w:bCs/>
                      <w:color w:val="auto"/>
                      <w:kern w:val="0"/>
                      <w:sz w:val="18"/>
                      <w:szCs w:val="18"/>
                    </w:rPr>
                  </w:pPr>
                </w:p>
              </w:tc>
              <w:tc>
                <w:tcPr>
                  <w:tcW w:w="448" w:type="pct"/>
                  <w:vMerge w:val="continue"/>
                  <w:vAlign w:val="center"/>
                </w:tcPr>
                <w:p w14:paraId="64C1711B">
                  <w:pPr>
                    <w:adjustRightInd w:val="0"/>
                    <w:snapToGrid w:val="0"/>
                    <w:jc w:val="center"/>
                    <w:rPr>
                      <w:bCs/>
                      <w:color w:val="auto"/>
                      <w:kern w:val="0"/>
                      <w:sz w:val="18"/>
                      <w:szCs w:val="18"/>
                    </w:rPr>
                  </w:pPr>
                </w:p>
              </w:tc>
              <w:tc>
                <w:tcPr>
                  <w:tcW w:w="452" w:type="pct"/>
                  <w:vMerge w:val="continue"/>
                  <w:vAlign w:val="center"/>
                </w:tcPr>
                <w:p w14:paraId="3C134FCC">
                  <w:pPr>
                    <w:adjustRightInd w:val="0"/>
                    <w:snapToGrid w:val="0"/>
                    <w:jc w:val="center"/>
                    <w:rPr>
                      <w:bCs/>
                      <w:color w:val="auto"/>
                      <w:kern w:val="0"/>
                      <w:sz w:val="18"/>
                      <w:szCs w:val="18"/>
                    </w:rPr>
                  </w:pPr>
                </w:p>
              </w:tc>
              <w:tc>
                <w:tcPr>
                  <w:tcW w:w="400" w:type="pct"/>
                  <w:vMerge w:val="continue"/>
                  <w:vAlign w:val="center"/>
                </w:tcPr>
                <w:p w14:paraId="52C60137">
                  <w:pPr>
                    <w:adjustRightInd w:val="0"/>
                    <w:snapToGrid w:val="0"/>
                    <w:jc w:val="center"/>
                    <w:rPr>
                      <w:bCs/>
                      <w:color w:val="auto"/>
                      <w:kern w:val="0"/>
                      <w:sz w:val="18"/>
                      <w:szCs w:val="18"/>
                    </w:rPr>
                  </w:pPr>
                </w:p>
              </w:tc>
              <w:tc>
                <w:tcPr>
                  <w:tcW w:w="499" w:type="pct"/>
                  <w:vMerge w:val="continue"/>
                  <w:vAlign w:val="center"/>
                </w:tcPr>
                <w:p w14:paraId="288E9801">
                  <w:pPr>
                    <w:adjustRightInd w:val="0"/>
                    <w:snapToGrid w:val="0"/>
                    <w:jc w:val="center"/>
                    <w:rPr>
                      <w:bCs/>
                      <w:color w:val="auto"/>
                      <w:kern w:val="0"/>
                      <w:sz w:val="18"/>
                      <w:szCs w:val="18"/>
                    </w:rPr>
                  </w:pPr>
                </w:p>
              </w:tc>
              <w:tc>
                <w:tcPr>
                  <w:tcW w:w="831" w:type="pct"/>
                  <w:vMerge w:val="continue"/>
                  <w:vAlign w:val="center"/>
                </w:tcPr>
                <w:p w14:paraId="765B9B38">
                  <w:pPr>
                    <w:adjustRightInd w:val="0"/>
                    <w:snapToGrid w:val="0"/>
                    <w:jc w:val="center"/>
                    <w:rPr>
                      <w:bCs/>
                      <w:color w:val="auto"/>
                      <w:kern w:val="0"/>
                      <w:sz w:val="18"/>
                      <w:szCs w:val="18"/>
                    </w:rPr>
                  </w:pPr>
                </w:p>
              </w:tc>
            </w:tr>
            <w:tr w14:paraId="20EF118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61" w:hRule="atLeast"/>
                <w:jc w:val="center"/>
              </w:trPr>
              <w:tc>
                <w:tcPr>
                  <w:tcW w:w="328" w:type="pct"/>
                  <w:vMerge w:val="continue"/>
                  <w:vAlign w:val="center"/>
                </w:tcPr>
                <w:p w14:paraId="5F296F25">
                  <w:pPr>
                    <w:adjustRightInd w:val="0"/>
                    <w:snapToGrid w:val="0"/>
                    <w:jc w:val="center"/>
                    <w:rPr>
                      <w:bCs/>
                      <w:color w:val="auto"/>
                      <w:kern w:val="0"/>
                      <w:sz w:val="18"/>
                      <w:szCs w:val="18"/>
                    </w:rPr>
                  </w:pPr>
                </w:p>
              </w:tc>
              <w:tc>
                <w:tcPr>
                  <w:tcW w:w="482" w:type="pct"/>
                  <w:vAlign w:val="center"/>
                </w:tcPr>
                <w:p w14:paraId="15D669CE">
                  <w:pPr>
                    <w:adjustRightInd w:val="0"/>
                    <w:snapToGrid w:val="0"/>
                    <w:jc w:val="center"/>
                    <w:rPr>
                      <w:bCs/>
                      <w:color w:val="auto"/>
                      <w:kern w:val="0"/>
                      <w:sz w:val="18"/>
                      <w:szCs w:val="18"/>
                    </w:rPr>
                  </w:pPr>
                  <w:r>
                    <w:rPr>
                      <w:color w:val="auto"/>
                      <w:kern w:val="0"/>
                      <w:sz w:val="18"/>
                      <w:szCs w:val="18"/>
                    </w:rPr>
                    <w:t>TP</w:t>
                  </w:r>
                </w:p>
              </w:tc>
              <w:tc>
                <w:tcPr>
                  <w:tcW w:w="508" w:type="pct"/>
                  <w:vMerge w:val="continue"/>
                  <w:vAlign w:val="center"/>
                </w:tcPr>
                <w:p w14:paraId="4A645153">
                  <w:pPr>
                    <w:adjustRightInd w:val="0"/>
                    <w:snapToGrid w:val="0"/>
                    <w:jc w:val="center"/>
                    <w:rPr>
                      <w:bCs/>
                      <w:color w:val="auto"/>
                      <w:kern w:val="0"/>
                      <w:sz w:val="18"/>
                      <w:szCs w:val="18"/>
                    </w:rPr>
                  </w:pPr>
                </w:p>
              </w:tc>
              <w:tc>
                <w:tcPr>
                  <w:tcW w:w="667" w:type="pct"/>
                  <w:vMerge w:val="continue"/>
                  <w:vAlign w:val="center"/>
                </w:tcPr>
                <w:p w14:paraId="265D4F14">
                  <w:pPr>
                    <w:adjustRightInd w:val="0"/>
                    <w:snapToGrid w:val="0"/>
                    <w:jc w:val="center"/>
                    <w:rPr>
                      <w:bCs/>
                      <w:color w:val="auto"/>
                      <w:kern w:val="0"/>
                      <w:sz w:val="18"/>
                      <w:szCs w:val="18"/>
                    </w:rPr>
                  </w:pPr>
                </w:p>
              </w:tc>
              <w:tc>
                <w:tcPr>
                  <w:tcW w:w="381" w:type="pct"/>
                  <w:vMerge w:val="continue"/>
                  <w:tcMar>
                    <w:top w:w="0" w:type="dxa"/>
                    <w:left w:w="0" w:type="dxa"/>
                    <w:bottom w:w="0" w:type="dxa"/>
                    <w:right w:w="0" w:type="dxa"/>
                  </w:tcMar>
                  <w:vAlign w:val="center"/>
                </w:tcPr>
                <w:p w14:paraId="4079695E">
                  <w:pPr>
                    <w:adjustRightInd w:val="0"/>
                    <w:snapToGrid w:val="0"/>
                    <w:jc w:val="center"/>
                    <w:rPr>
                      <w:bCs/>
                      <w:color w:val="auto"/>
                      <w:kern w:val="0"/>
                      <w:sz w:val="18"/>
                      <w:szCs w:val="18"/>
                    </w:rPr>
                  </w:pPr>
                </w:p>
              </w:tc>
              <w:tc>
                <w:tcPr>
                  <w:tcW w:w="448" w:type="pct"/>
                  <w:vMerge w:val="continue"/>
                  <w:vAlign w:val="center"/>
                </w:tcPr>
                <w:p w14:paraId="0B2328E6">
                  <w:pPr>
                    <w:adjustRightInd w:val="0"/>
                    <w:snapToGrid w:val="0"/>
                    <w:jc w:val="center"/>
                    <w:rPr>
                      <w:bCs/>
                      <w:color w:val="auto"/>
                      <w:kern w:val="0"/>
                      <w:sz w:val="18"/>
                      <w:szCs w:val="18"/>
                    </w:rPr>
                  </w:pPr>
                </w:p>
              </w:tc>
              <w:tc>
                <w:tcPr>
                  <w:tcW w:w="452" w:type="pct"/>
                  <w:vMerge w:val="continue"/>
                  <w:vAlign w:val="center"/>
                </w:tcPr>
                <w:p w14:paraId="72582371">
                  <w:pPr>
                    <w:adjustRightInd w:val="0"/>
                    <w:snapToGrid w:val="0"/>
                    <w:jc w:val="center"/>
                    <w:rPr>
                      <w:bCs/>
                      <w:color w:val="auto"/>
                      <w:kern w:val="0"/>
                      <w:sz w:val="18"/>
                      <w:szCs w:val="18"/>
                    </w:rPr>
                  </w:pPr>
                </w:p>
              </w:tc>
              <w:tc>
                <w:tcPr>
                  <w:tcW w:w="400" w:type="pct"/>
                  <w:vMerge w:val="continue"/>
                  <w:vAlign w:val="center"/>
                </w:tcPr>
                <w:p w14:paraId="2548D89C">
                  <w:pPr>
                    <w:adjustRightInd w:val="0"/>
                    <w:snapToGrid w:val="0"/>
                    <w:jc w:val="center"/>
                    <w:rPr>
                      <w:bCs/>
                      <w:color w:val="auto"/>
                      <w:kern w:val="0"/>
                      <w:sz w:val="18"/>
                      <w:szCs w:val="18"/>
                    </w:rPr>
                  </w:pPr>
                </w:p>
              </w:tc>
              <w:tc>
                <w:tcPr>
                  <w:tcW w:w="499" w:type="pct"/>
                  <w:vMerge w:val="continue"/>
                  <w:vAlign w:val="center"/>
                </w:tcPr>
                <w:p w14:paraId="3E99C89B">
                  <w:pPr>
                    <w:adjustRightInd w:val="0"/>
                    <w:snapToGrid w:val="0"/>
                    <w:jc w:val="center"/>
                    <w:rPr>
                      <w:bCs/>
                      <w:color w:val="auto"/>
                      <w:kern w:val="0"/>
                      <w:sz w:val="18"/>
                      <w:szCs w:val="18"/>
                    </w:rPr>
                  </w:pPr>
                </w:p>
              </w:tc>
              <w:tc>
                <w:tcPr>
                  <w:tcW w:w="831" w:type="pct"/>
                  <w:vMerge w:val="continue"/>
                  <w:vAlign w:val="center"/>
                </w:tcPr>
                <w:p w14:paraId="515B4191">
                  <w:pPr>
                    <w:adjustRightInd w:val="0"/>
                    <w:snapToGrid w:val="0"/>
                    <w:jc w:val="center"/>
                    <w:rPr>
                      <w:bCs/>
                      <w:color w:val="auto"/>
                      <w:kern w:val="0"/>
                      <w:sz w:val="18"/>
                      <w:szCs w:val="18"/>
                    </w:rPr>
                  </w:pPr>
                </w:p>
              </w:tc>
            </w:tr>
            <w:tr w14:paraId="4EE1E3F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328" w:type="pct"/>
                  <w:vMerge w:val="continue"/>
                  <w:vAlign w:val="center"/>
                </w:tcPr>
                <w:p w14:paraId="0B2F4649">
                  <w:pPr>
                    <w:adjustRightInd w:val="0"/>
                    <w:snapToGrid w:val="0"/>
                    <w:jc w:val="center"/>
                    <w:rPr>
                      <w:bCs/>
                      <w:color w:val="auto"/>
                      <w:kern w:val="0"/>
                      <w:sz w:val="18"/>
                      <w:szCs w:val="18"/>
                    </w:rPr>
                  </w:pPr>
                </w:p>
              </w:tc>
              <w:tc>
                <w:tcPr>
                  <w:tcW w:w="482" w:type="pct"/>
                  <w:vAlign w:val="center"/>
                </w:tcPr>
                <w:p w14:paraId="3DCAAA34">
                  <w:pPr>
                    <w:adjustRightInd w:val="0"/>
                    <w:snapToGrid w:val="0"/>
                    <w:jc w:val="center"/>
                    <w:rPr>
                      <w:bCs/>
                      <w:color w:val="auto"/>
                      <w:kern w:val="0"/>
                      <w:sz w:val="18"/>
                      <w:szCs w:val="18"/>
                    </w:rPr>
                  </w:pPr>
                  <w:r>
                    <w:rPr>
                      <w:color w:val="auto"/>
                      <w:kern w:val="0"/>
                      <w:sz w:val="18"/>
                      <w:szCs w:val="18"/>
                    </w:rPr>
                    <w:t>TN</w:t>
                  </w:r>
                </w:p>
              </w:tc>
              <w:tc>
                <w:tcPr>
                  <w:tcW w:w="508" w:type="pct"/>
                  <w:vMerge w:val="continue"/>
                  <w:vAlign w:val="center"/>
                </w:tcPr>
                <w:p w14:paraId="22B1579E">
                  <w:pPr>
                    <w:adjustRightInd w:val="0"/>
                    <w:snapToGrid w:val="0"/>
                    <w:jc w:val="center"/>
                    <w:rPr>
                      <w:bCs/>
                      <w:color w:val="auto"/>
                      <w:kern w:val="0"/>
                      <w:sz w:val="18"/>
                      <w:szCs w:val="18"/>
                    </w:rPr>
                  </w:pPr>
                </w:p>
              </w:tc>
              <w:tc>
                <w:tcPr>
                  <w:tcW w:w="667" w:type="pct"/>
                  <w:vMerge w:val="continue"/>
                  <w:vAlign w:val="center"/>
                </w:tcPr>
                <w:p w14:paraId="7A68FA41">
                  <w:pPr>
                    <w:adjustRightInd w:val="0"/>
                    <w:snapToGrid w:val="0"/>
                    <w:jc w:val="center"/>
                    <w:rPr>
                      <w:bCs/>
                      <w:color w:val="auto"/>
                      <w:kern w:val="0"/>
                      <w:sz w:val="18"/>
                      <w:szCs w:val="18"/>
                    </w:rPr>
                  </w:pPr>
                </w:p>
              </w:tc>
              <w:tc>
                <w:tcPr>
                  <w:tcW w:w="381" w:type="pct"/>
                  <w:vMerge w:val="continue"/>
                  <w:tcMar>
                    <w:top w:w="0" w:type="dxa"/>
                    <w:left w:w="0" w:type="dxa"/>
                    <w:bottom w:w="0" w:type="dxa"/>
                    <w:right w:w="0" w:type="dxa"/>
                  </w:tcMar>
                  <w:vAlign w:val="center"/>
                </w:tcPr>
                <w:p w14:paraId="2AA5010D">
                  <w:pPr>
                    <w:adjustRightInd w:val="0"/>
                    <w:snapToGrid w:val="0"/>
                    <w:jc w:val="center"/>
                    <w:rPr>
                      <w:bCs/>
                      <w:color w:val="auto"/>
                      <w:kern w:val="0"/>
                      <w:sz w:val="18"/>
                      <w:szCs w:val="18"/>
                    </w:rPr>
                  </w:pPr>
                </w:p>
              </w:tc>
              <w:tc>
                <w:tcPr>
                  <w:tcW w:w="448" w:type="pct"/>
                  <w:vMerge w:val="continue"/>
                  <w:vAlign w:val="center"/>
                </w:tcPr>
                <w:p w14:paraId="39D0C55F">
                  <w:pPr>
                    <w:adjustRightInd w:val="0"/>
                    <w:snapToGrid w:val="0"/>
                    <w:jc w:val="center"/>
                    <w:rPr>
                      <w:bCs/>
                      <w:color w:val="auto"/>
                      <w:kern w:val="0"/>
                      <w:sz w:val="18"/>
                      <w:szCs w:val="18"/>
                    </w:rPr>
                  </w:pPr>
                </w:p>
              </w:tc>
              <w:tc>
                <w:tcPr>
                  <w:tcW w:w="452" w:type="pct"/>
                  <w:vMerge w:val="continue"/>
                  <w:vAlign w:val="center"/>
                </w:tcPr>
                <w:p w14:paraId="5BC95B19">
                  <w:pPr>
                    <w:adjustRightInd w:val="0"/>
                    <w:snapToGrid w:val="0"/>
                    <w:jc w:val="center"/>
                    <w:rPr>
                      <w:bCs/>
                      <w:color w:val="auto"/>
                      <w:kern w:val="0"/>
                      <w:sz w:val="18"/>
                      <w:szCs w:val="18"/>
                    </w:rPr>
                  </w:pPr>
                </w:p>
              </w:tc>
              <w:tc>
                <w:tcPr>
                  <w:tcW w:w="400" w:type="pct"/>
                  <w:vMerge w:val="continue"/>
                  <w:vAlign w:val="center"/>
                </w:tcPr>
                <w:p w14:paraId="364FF517">
                  <w:pPr>
                    <w:adjustRightInd w:val="0"/>
                    <w:snapToGrid w:val="0"/>
                    <w:jc w:val="center"/>
                    <w:rPr>
                      <w:bCs/>
                      <w:color w:val="auto"/>
                      <w:kern w:val="0"/>
                      <w:sz w:val="18"/>
                      <w:szCs w:val="18"/>
                    </w:rPr>
                  </w:pPr>
                </w:p>
              </w:tc>
              <w:tc>
                <w:tcPr>
                  <w:tcW w:w="499" w:type="pct"/>
                  <w:vMerge w:val="continue"/>
                  <w:vAlign w:val="center"/>
                </w:tcPr>
                <w:p w14:paraId="057B9539">
                  <w:pPr>
                    <w:adjustRightInd w:val="0"/>
                    <w:snapToGrid w:val="0"/>
                    <w:jc w:val="center"/>
                    <w:rPr>
                      <w:bCs/>
                      <w:color w:val="auto"/>
                      <w:kern w:val="0"/>
                      <w:sz w:val="18"/>
                      <w:szCs w:val="18"/>
                    </w:rPr>
                  </w:pPr>
                </w:p>
              </w:tc>
              <w:tc>
                <w:tcPr>
                  <w:tcW w:w="831" w:type="pct"/>
                  <w:vMerge w:val="continue"/>
                  <w:vAlign w:val="center"/>
                </w:tcPr>
                <w:p w14:paraId="6FC203BC">
                  <w:pPr>
                    <w:adjustRightInd w:val="0"/>
                    <w:snapToGrid w:val="0"/>
                    <w:jc w:val="center"/>
                    <w:rPr>
                      <w:bCs/>
                      <w:color w:val="auto"/>
                      <w:kern w:val="0"/>
                      <w:sz w:val="18"/>
                      <w:szCs w:val="18"/>
                    </w:rPr>
                  </w:pPr>
                </w:p>
              </w:tc>
            </w:tr>
          </w:tbl>
          <w:p w14:paraId="45EB6DC7">
            <w:pPr>
              <w:autoSpaceDE w:val="0"/>
              <w:autoSpaceDN w:val="0"/>
              <w:adjustRightInd w:val="0"/>
              <w:snapToGrid w:val="0"/>
              <w:spacing w:line="360" w:lineRule="auto"/>
              <w:ind w:firstLine="420" w:firstLineChars="200"/>
              <w:rPr>
                <w:b/>
                <w:bCs/>
                <w:color w:val="auto"/>
                <w:kern w:val="0"/>
                <w:sz w:val="21"/>
                <w:szCs w:val="21"/>
              </w:rPr>
            </w:pPr>
            <w:r>
              <w:rPr>
                <w:color w:val="auto"/>
                <w:kern w:val="0"/>
                <w:sz w:val="21"/>
                <w:szCs w:val="21"/>
              </w:rPr>
              <w:t>本项目废水间接排放口基本情况见</w:t>
            </w:r>
            <w:r>
              <w:rPr>
                <w:rFonts w:hint="eastAsia"/>
                <w:color w:val="auto"/>
                <w:kern w:val="0"/>
                <w:sz w:val="21"/>
                <w:szCs w:val="21"/>
              </w:rPr>
              <w:t>下表</w:t>
            </w:r>
            <w:r>
              <w:rPr>
                <w:color w:val="auto"/>
                <w:kern w:val="0"/>
                <w:sz w:val="21"/>
                <w:szCs w:val="21"/>
              </w:rPr>
              <w:t>。</w:t>
            </w:r>
          </w:p>
          <w:p w14:paraId="79139937">
            <w:pPr>
              <w:adjustRightInd w:val="0"/>
              <w:snapToGrid w:val="0"/>
              <w:jc w:val="center"/>
              <w:rPr>
                <w:color w:val="auto"/>
                <w:kern w:val="0"/>
              </w:rPr>
            </w:pPr>
            <w:r>
              <w:rPr>
                <w:b/>
                <w:bCs/>
                <w:color w:val="auto"/>
                <w:kern w:val="0"/>
              </w:rPr>
              <w:t>表4-</w:t>
            </w:r>
            <w:r>
              <w:rPr>
                <w:rFonts w:hint="eastAsia"/>
                <w:b/>
                <w:bCs/>
                <w:color w:val="auto"/>
                <w:kern w:val="0"/>
                <w:lang w:val="en-US" w:eastAsia="zh-CN"/>
              </w:rPr>
              <w:t>16</w:t>
            </w:r>
            <w:r>
              <w:rPr>
                <w:b/>
                <w:bCs/>
                <w:color w:val="auto"/>
                <w:kern w:val="0"/>
              </w:rPr>
              <w:t xml:space="preserve">   废水间接</w:t>
            </w:r>
            <w:r>
              <w:rPr>
                <w:b/>
                <w:color w:val="auto"/>
                <w:kern w:val="0"/>
              </w:rPr>
              <w:t>排放</w:t>
            </w:r>
            <w:r>
              <w:rPr>
                <w:b/>
                <w:bCs/>
                <w:color w:val="auto"/>
                <w:kern w:val="0"/>
              </w:rPr>
              <w:t>口基本情况表</w:t>
            </w:r>
          </w:p>
          <w:tbl>
            <w:tblPr>
              <w:tblStyle w:val="59"/>
              <w:tblW w:w="4997"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827"/>
              <w:gridCol w:w="810"/>
              <w:gridCol w:w="810"/>
              <w:gridCol w:w="1065"/>
              <w:gridCol w:w="817"/>
              <w:gridCol w:w="1172"/>
              <w:gridCol w:w="861"/>
              <w:gridCol w:w="780"/>
              <w:gridCol w:w="725"/>
              <w:gridCol w:w="989"/>
            </w:tblGrid>
            <w:tr w14:paraId="69DA2BF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PrEx>
              <w:trPr>
                <w:trHeight w:val="122" w:hRule="atLeast"/>
                <w:jc w:val="center"/>
              </w:trPr>
              <w:tc>
                <w:tcPr>
                  <w:tcW w:w="466" w:type="pct"/>
                  <w:vMerge w:val="restart"/>
                  <w:vAlign w:val="center"/>
                </w:tcPr>
                <w:p w14:paraId="56006DB3">
                  <w:pPr>
                    <w:autoSpaceDE w:val="0"/>
                    <w:autoSpaceDN w:val="0"/>
                    <w:adjustRightInd w:val="0"/>
                    <w:snapToGrid w:val="0"/>
                    <w:jc w:val="center"/>
                    <w:rPr>
                      <w:b/>
                      <w:bCs/>
                      <w:color w:val="auto"/>
                      <w:kern w:val="0"/>
                      <w:sz w:val="18"/>
                      <w:szCs w:val="18"/>
                    </w:rPr>
                  </w:pPr>
                  <w:r>
                    <w:rPr>
                      <w:b/>
                      <w:bCs/>
                      <w:color w:val="auto"/>
                      <w:kern w:val="0"/>
                      <w:sz w:val="18"/>
                      <w:szCs w:val="18"/>
                    </w:rPr>
                    <w:t>排放口编号</w:t>
                  </w:r>
                </w:p>
              </w:tc>
              <w:tc>
                <w:tcPr>
                  <w:tcW w:w="914" w:type="pct"/>
                  <w:gridSpan w:val="2"/>
                  <w:vAlign w:val="center"/>
                </w:tcPr>
                <w:p w14:paraId="7EF1AB6E">
                  <w:pPr>
                    <w:autoSpaceDE w:val="0"/>
                    <w:autoSpaceDN w:val="0"/>
                    <w:adjustRightInd w:val="0"/>
                    <w:snapToGrid w:val="0"/>
                    <w:jc w:val="center"/>
                    <w:rPr>
                      <w:b/>
                      <w:bCs/>
                      <w:color w:val="auto"/>
                      <w:kern w:val="0"/>
                      <w:sz w:val="18"/>
                      <w:szCs w:val="18"/>
                    </w:rPr>
                  </w:pPr>
                  <w:r>
                    <w:rPr>
                      <w:b/>
                      <w:bCs/>
                      <w:color w:val="auto"/>
                      <w:kern w:val="0"/>
                      <w:sz w:val="18"/>
                      <w:szCs w:val="18"/>
                    </w:rPr>
                    <w:t>排放口地理坐标</w:t>
                  </w:r>
                </w:p>
              </w:tc>
              <w:tc>
                <w:tcPr>
                  <w:tcW w:w="601" w:type="pct"/>
                  <w:vMerge w:val="restart"/>
                  <w:vAlign w:val="center"/>
                </w:tcPr>
                <w:p w14:paraId="17264E5C">
                  <w:pPr>
                    <w:autoSpaceDE w:val="0"/>
                    <w:autoSpaceDN w:val="0"/>
                    <w:adjustRightInd w:val="0"/>
                    <w:snapToGrid w:val="0"/>
                    <w:jc w:val="center"/>
                    <w:rPr>
                      <w:b/>
                      <w:bCs/>
                      <w:color w:val="auto"/>
                      <w:kern w:val="0"/>
                      <w:sz w:val="18"/>
                      <w:szCs w:val="18"/>
                    </w:rPr>
                  </w:pPr>
                  <w:r>
                    <w:rPr>
                      <w:b/>
                      <w:bCs/>
                      <w:color w:val="auto"/>
                      <w:kern w:val="0"/>
                      <w:sz w:val="18"/>
                      <w:szCs w:val="18"/>
                    </w:rPr>
                    <w:t>废水排放量/（t/a）</w:t>
                  </w:r>
                </w:p>
              </w:tc>
              <w:tc>
                <w:tcPr>
                  <w:tcW w:w="461" w:type="pct"/>
                  <w:vMerge w:val="restart"/>
                  <w:vAlign w:val="center"/>
                </w:tcPr>
                <w:p w14:paraId="30118AA1">
                  <w:pPr>
                    <w:autoSpaceDE w:val="0"/>
                    <w:autoSpaceDN w:val="0"/>
                    <w:adjustRightInd w:val="0"/>
                    <w:snapToGrid w:val="0"/>
                    <w:jc w:val="center"/>
                    <w:rPr>
                      <w:b/>
                      <w:bCs/>
                      <w:color w:val="auto"/>
                      <w:kern w:val="0"/>
                      <w:sz w:val="18"/>
                      <w:szCs w:val="18"/>
                    </w:rPr>
                  </w:pPr>
                  <w:r>
                    <w:rPr>
                      <w:b/>
                      <w:bCs/>
                      <w:color w:val="auto"/>
                      <w:kern w:val="0"/>
                      <w:sz w:val="18"/>
                      <w:szCs w:val="18"/>
                    </w:rPr>
                    <w:t>排放去向</w:t>
                  </w:r>
                </w:p>
              </w:tc>
              <w:tc>
                <w:tcPr>
                  <w:tcW w:w="661" w:type="pct"/>
                  <w:vMerge w:val="restart"/>
                  <w:vAlign w:val="center"/>
                </w:tcPr>
                <w:p w14:paraId="1360CBC6">
                  <w:pPr>
                    <w:autoSpaceDE w:val="0"/>
                    <w:autoSpaceDN w:val="0"/>
                    <w:adjustRightInd w:val="0"/>
                    <w:snapToGrid w:val="0"/>
                    <w:jc w:val="center"/>
                    <w:rPr>
                      <w:b/>
                      <w:bCs/>
                      <w:color w:val="auto"/>
                      <w:kern w:val="0"/>
                      <w:sz w:val="18"/>
                      <w:szCs w:val="18"/>
                    </w:rPr>
                  </w:pPr>
                  <w:r>
                    <w:rPr>
                      <w:b/>
                      <w:bCs/>
                      <w:color w:val="auto"/>
                      <w:kern w:val="0"/>
                      <w:sz w:val="18"/>
                      <w:szCs w:val="18"/>
                    </w:rPr>
                    <w:t>排放</w:t>
                  </w:r>
                </w:p>
                <w:p w14:paraId="37732536">
                  <w:pPr>
                    <w:autoSpaceDE w:val="0"/>
                    <w:autoSpaceDN w:val="0"/>
                    <w:adjustRightInd w:val="0"/>
                    <w:snapToGrid w:val="0"/>
                    <w:jc w:val="center"/>
                    <w:rPr>
                      <w:b/>
                      <w:bCs/>
                      <w:color w:val="auto"/>
                      <w:kern w:val="0"/>
                      <w:sz w:val="18"/>
                      <w:szCs w:val="18"/>
                    </w:rPr>
                  </w:pPr>
                  <w:r>
                    <w:rPr>
                      <w:b/>
                      <w:bCs/>
                      <w:color w:val="auto"/>
                      <w:kern w:val="0"/>
                      <w:sz w:val="18"/>
                      <w:szCs w:val="18"/>
                    </w:rPr>
                    <w:t>规律</w:t>
                  </w:r>
                </w:p>
              </w:tc>
              <w:tc>
                <w:tcPr>
                  <w:tcW w:w="486" w:type="pct"/>
                  <w:vMerge w:val="restart"/>
                  <w:vAlign w:val="center"/>
                </w:tcPr>
                <w:p w14:paraId="7486A47F">
                  <w:pPr>
                    <w:autoSpaceDE w:val="0"/>
                    <w:autoSpaceDN w:val="0"/>
                    <w:adjustRightInd w:val="0"/>
                    <w:snapToGrid w:val="0"/>
                    <w:jc w:val="center"/>
                    <w:rPr>
                      <w:b/>
                      <w:bCs/>
                      <w:color w:val="auto"/>
                      <w:kern w:val="0"/>
                      <w:sz w:val="18"/>
                      <w:szCs w:val="18"/>
                    </w:rPr>
                  </w:pPr>
                  <w:r>
                    <w:rPr>
                      <w:b/>
                      <w:bCs/>
                      <w:color w:val="auto"/>
                      <w:kern w:val="0"/>
                      <w:sz w:val="18"/>
                      <w:szCs w:val="18"/>
                    </w:rPr>
                    <w:t>间歇排放时段</w:t>
                  </w:r>
                </w:p>
              </w:tc>
              <w:tc>
                <w:tcPr>
                  <w:tcW w:w="1408" w:type="pct"/>
                  <w:gridSpan w:val="3"/>
                  <w:vAlign w:val="center"/>
                </w:tcPr>
                <w:p w14:paraId="69542C03">
                  <w:pPr>
                    <w:autoSpaceDE w:val="0"/>
                    <w:autoSpaceDN w:val="0"/>
                    <w:adjustRightInd w:val="0"/>
                    <w:snapToGrid w:val="0"/>
                    <w:jc w:val="center"/>
                    <w:rPr>
                      <w:b/>
                      <w:bCs/>
                      <w:color w:val="auto"/>
                      <w:kern w:val="0"/>
                      <w:sz w:val="18"/>
                      <w:szCs w:val="18"/>
                    </w:rPr>
                  </w:pPr>
                  <w:r>
                    <w:rPr>
                      <w:b/>
                      <w:bCs/>
                      <w:color w:val="auto"/>
                      <w:kern w:val="0"/>
                      <w:sz w:val="18"/>
                      <w:szCs w:val="18"/>
                    </w:rPr>
                    <w:t>受纳污水处理厂信息</w:t>
                  </w:r>
                </w:p>
              </w:tc>
            </w:tr>
            <w:tr w14:paraId="7BA90BC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71" w:hRule="atLeast"/>
                <w:jc w:val="center"/>
              </w:trPr>
              <w:tc>
                <w:tcPr>
                  <w:tcW w:w="466" w:type="pct"/>
                  <w:vMerge w:val="continue"/>
                  <w:vAlign w:val="center"/>
                </w:tcPr>
                <w:p w14:paraId="2DB25951">
                  <w:pPr>
                    <w:widowControl/>
                    <w:adjustRightInd w:val="0"/>
                    <w:snapToGrid w:val="0"/>
                    <w:jc w:val="center"/>
                    <w:rPr>
                      <w:b/>
                      <w:bCs/>
                      <w:color w:val="auto"/>
                      <w:kern w:val="0"/>
                      <w:sz w:val="18"/>
                      <w:szCs w:val="18"/>
                    </w:rPr>
                  </w:pPr>
                </w:p>
              </w:tc>
              <w:tc>
                <w:tcPr>
                  <w:tcW w:w="457" w:type="pct"/>
                  <w:vAlign w:val="center"/>
                </w:tcPr>
                <w:p w14:paraId="1ADA55B4">
                  <w:pPr>
                    <w:autoSpaceDE w:val="0"/>
                    <w:autoSpaceDN w:val="0"/>
                    <w:adjustRightInd w:val="0"/>
                    <w:snapToGrid w:val="0"/>
                    <w:jc w:val="center"/>
                    <w:rPr>
                      <w:b/>
                      <w:bCs/>
                      <w:color w:val="auto"/>
                      <w:kern w:val="0"/>
                      <w:sz w:val="18"/>
                      <w:szCs w:val="18"/>
                    </w:rPr>
                  </w:pPr>
                  <w:r>
                    <w:rPr>
                      <w:b/>
                      <w:bCs/>
                      <w:color w:val="auto"/>
                      <w:kern w:val="0"/>
                      <w:sz w:val="18"/>
                      <w:szCs w:val="18"/>
                    </w:rPr>
                    <w:t>经度</w:t>
                  </w:r>
                </w:p>
              </w:tc>
              <w:tc>
                <w:tcPr>
                  <w:tcW w:w="457" w:type="pct"/>
                  <w:vAlign w:val="center"/>
                </w:tcPr>
                <w:p w14:paraId="7472A637">
                  <w:pPr>
                    <w:autoSpaceDE w:val="0"/>
                    <w:autoSpaceDN w:val="0"/>
                    <w:adjustRightInd w:val="0"/>
                    <w:snapToGrid w:val="0"/>
                    <w:jc w:val="center"/>
                    <w:rPr>
                      <w:b/>
                      <w:bCs/>
                      <w:color w:val="auto"/>
                      <w:kern w:val="0"/>
                      <w:sz w:val="18"/>
                      <w:szCs w:val="18"/>
                    </w:rPr>
                  </w:pPr>
                  <w:r>
                    <w:rPr>
                      <w:b/>
                      <w:bCs/>
                      <w:color w:val="auto"/>
                      <w:kern w:val="0"/>
                      <w:sz w:val="18"/>
                      <w:szCs w:val="18"/>
                    </w:rPr>
                    <w:t>纬度</w:t>
                  </w:r>
                </w:p>
              </w:tc>
              <w:tc>
                <w:tcPr>
                  <w:tcW w:w="601" w:type="pct"/>
                  <w:vMerge w:val="continue"/>
                  <w:vAlign w:val="center"/>
                </w:tcPr>
                <w:p w14:paraId="24C37E0B">
                  <w:pPr>
                    <w:widowControl/>
                    <w:adjustRightInd w:val="0"/>
                    <w:snapToGrid w:val="0"/>
                    <w:jc w:val="center"/>
                    <w:rPr>
                      <w:b/>
                      <w:bCs/>
                      <w:color w:val="auto"/>
                      <w:kern w:val="0"/>
                      <w:sz w:val="18"/>
                      <w:szCs w:val="18"/>
                    </w:rPr>
                  </w:pPr>
                </w:p>
              </w:tc>
              <w:tc>
                <w:tcPr>
                  <w:tcW w:w="461" w:type="pct"/>
                  <w:vMerge w:val="continue"/>
                  <w:vAlign w:val="center"/>
                </w:tcPr>
                <w:p w14:paraId="167D6AE9">
                  <w:pPr>
                    <w:widowControl/>
                    <w:adjustRightInd w:val="0"/>
                    <w:snapToGrid w:val="0"/>
                    <w:jc w:val="center"/>
                    <w:rPr>
                      <w:b/>
                      <w:bCs/>
                      <w:color w:val="auto"/>
                      <w:kern w:val="0"/>
                      <w:sz w:val="18"/>
                      <w:szCs w:val="18"/>
                    </w:rPr>
                  </w:pPr>
                </w:p>
              </w:tc>
              <w:tc>
                <w:tcPr>
                  <w:tcW w:w="661" w:type="pct"/>
                  <w:vMerge w:val="continue"/>
                  <w:vAlign w:val="center"/>
                </w:tcPr>
                <w:p w14:paraId="4AC457D5">
                  <w:pPr>
                    <w:widowControl/>
                    <w:adjustRightInd w:val="0"/>
                    <w:snapToGrid w:val="0"/>
                    <w:jc w:val="center"/>
                    <w:rPr>
                      <w:b/>
                      <w:bCs/>
                      <w:color w:val="auto"/>
                      <w:kern w:val="0"/>
                      <w:sz w:val="18"/>
                      <w:szCs w:val="18"/>
                    </w:rPr>
                  </w:pPr>
                </w:p>
              </w:tc>
              <w:tc>
                <w:tcPr>
                  <w:tcW w:w="486" w:type="pct"/>
                  <w:vMerge w:val="continue"/>
                  <w:vAlign w:val="center"/>
                </w:tcPr>
                <w:p w14:paraId="7CE5AF9B">
                  <w:pPr>
                    <w:widowControl/>
                    <w:adjustRightInd w:val="0"/>
                    <w:snapToGrid w:val="0"/>
                    <w:jc w:val="center"/>
                    <w:rPr>
                      <w:b/>
                      <w:bCs/>
                      <w:color w:val="auto"/>
                      <w:kern w:val="0"/>
                      <w:sz w:val="18"/>
                      <w:szCs w:val="18"/>
                    </w:rPr>
                  </w:pPr>
                </w:p>
              </w:tc>
              <w:tc>
                <w:tcPr>
                  <w:tcW w:w="440" w:type="pct"/>
                  <w:vAlign w:val="center"/>
                </w:tcPr>
                <w:p w14:paraId="644D7DC1">
                  <w:pPr>
                    <w:autoSpaceDE w:val="0"/>
                    <w:autoSpaceDN w:val="0"/>
                    <w:adjustRightInd w:val="0"/>
                    <w:snapToGrid w:val="0"/>
                    <w:jc w:val="center"/>
                    <w:rPr>
                      <w:b/>
                      <w:bCs/>
                      <w:color w:val="auto"/>
                      <w:kern w:val="0"/>
                      <w:sz w:val="18"/>
                      <w:szCs w:val="18"/>
                    </w:rPr>
                  </w:pPr>
                  <w:r>
                    <w:rPr>
                      <w:b/>
                      <w:bCs/>
                      <w:color w:val="auto"/>
                      <w:kern w:val="0"/>
                      <w:sz w:val="18"/>
                      <w:szCs w:val="18"/>
                    </w:rPr>
                    <w:t>名称</w:t>
                  </w:r>
                </w:p>
              </w:tc>
              <w:tc>
                <w:tcPr>
                  <w:tcW w:w="409" w:type="pct"/>
                  <w:vAlign w:val="center"/>
                </w:tcPr>
                <w:p w14:paraId="1A8F0AC6">
                  <w:pPr>
                    <w:autoSpaceDE w:val="0"/>
                    <w:autoSpaceDN w:val="0"/>
                    <w:adjustRightInd w:val="0"/>
                    <w:snapToGrid w:val="0"/>
                    <w:jc w:val="center"/>
                    <w:rPr>
                      <w:b/>
                      <w:bCs/>
                      <w:color w:val="auto"/>
                      <w:kern w:val="0"/>
                      <w:sz w:val="18"/>
                      <w:szCs w:val="18"/>
                    </w:rPr>
                  </w:pPr>
                  <w:r>
                    <w:rPr>
                      <w:b/>
                      <w:bCs/>
                      <w:color w:val="auto"/>
                      <w:kern w:val="0"/>
                      <w:sz w:val="18"/>
                      <w:szCs w:val="18"/>
                    </w:rPr>
                    <w:t>污染物种类</w:t>
                  </w:r>
                </w:p>
              </w:tc>
              <w:tc>
                <w:tcPr>
                  <w:tcW w:w="558" w:type="pct"/>
                  <w:vAlign w:val="center"/>
                </w:tcPr>
                <w:p w14:paraId="6370DDDF">
                  <w:pPr>
                    <w:autoSpaceDE w:val="0"/>
                    <w:autoSpaceDN w:val="0"/>
                    <w:adjustRightInd w:val="0"/>
                    <w:snapToGrid w:val="0"/>
                    <w:jc w:val="center"/>
                    <w:rPr>
                      <w:b/>
                      <w:bCs/>
                      <w:color w:val="auto"/>
                      <w:kern w:val="0"/>
                      <w:sz w:val="18"/>
                      <w:szCs w:val="18"/>
                    </w:rPr>
                  </w:pPr>
                  <w:r>
                    <w:rPr>
                      <w:b/>
                      <w:bCs/>
                      <w:color w:val="auto"/>
                      <w:kern w:val="0"/>
                      <w:sz w:val="18"/>
                      <w:szCs w:val="18"/>
                    </w:rPr>
                    <w:t>浓度限值（mg/L）</w:t>
                  </w:r>
                </w:p>
              </w:tc>
            </w:tr>
            <w:tr w14:paraId="6664842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93" w:hRule="atLeast"/>
                <w:jc w:val="center"/>
              </w:trPr>
              <w:tc>
                <w:tcPr>
                  <w:tcW w:w="466" w:type="pct"/>
                  <w:vMerge w:val="restart"/>
                  <w:vAlign w:val="center"/>
                </w:tcPr>
                <w:p w14:paraId="40B92204">
                  <w:pPr>
                    <w:autoSpaceDE w:val="0"/>
                    <w:autoSpaceDN w:val="0"/>
                    <w:adjustRightInd w:val="0"/>
                    <w:snapToGrid w:val="0"/>
                    <w:jc w:val="center"/>
                    <w:rPr>
                      <w:color w:val="auto"/>
                      <w:kern w:val="0"/>
                      <w:sz w:val="18"/>
                      <w:szCs w:val="18"/>
                    </w:rPr>
                  </w:pPr>
                  <w:r>
                    <w:rPr>
                      <w:color w:val="auto"/>
                      <w:kern w:val="0"/>
                      <w:sz w:val="18"/>
                      <w:szCs w:val="18"/>
                    </w:rPr>
                    <w:t>依托</w:t>
                  </w:r>
                  <w:r>
                    <w:rPr>
                      <w:rFonts w:hint="eastAsia"/>
                      <w:color w:val="auto"/>
                      <w:kern w:val="0"/>
                      <w:sz w:val="18"/>
                      <w:szCs w:val="18"/>
                    </w:rPr>
                    <w:t>出租方</w:t>
                  </w:r>
                  <w:r>
                    <w:rPr>
                      <w:color w:val="auto"/>
                      <w:kern w:val="0"/>
                      <w:sz w:val="18"/>
                      <w:szCs w:val="18"/>
                    </w:rPr>
                    <w:t>总排口，不另外设置排口</w:t>
                  </w:r>
                </w:p>
              </w:tc>
              <w:tc>
                <w:tcPr>
                  <w:tcW w:w="457" w:type="pct"/>
                  <w:vMerge w:val="restart"/>
                  <w:vAlign w:val="center"/>
                </w:tcPr>
                <w:p w14:paraId="576747B9">
                  <w:pPr>
                    <w:adjustRightInd w:val="0"/>
                    <w:snapToGrid w:val="0"/>
                    <w:jc w:val="center"/>
                    <w:rPr>
                      <w:color w:val="auto"/>
                      <w:kern w:val="0"/>
                      <w:sz w:val="18"/>
                      <w:szCs w:val="18"/>
                    </w:rPr>
                  </w:pPr>
                  <w:r>
                    <w:rPr>
                      <w:rFonts w:hint="eastAsia"/>
                      <w:color w:val="auto"/>
                      <w:kern w:val="0"/>
                      <w:sz w:val="18"/>
                      <w:szCs w:val="18"/>
                    </w:rPr>
                    <w:t>119.66236711</w:t>
                  </w:r>
                </w:p>
              </w:tc>
              <w:tc>
                <w:tcPr>
                  <w:tcW w:w="457" w:type="pct"/>
                  <w:vMerge w:val="restart"/>
                  <w:vAlign w:val="center"/>
                </w:tcPr>
                <w:p w14:paraId="6C218626">
                  <w:pPr>
                    <w:adjustRightInd w:val="0"/>
                    <w:snapToGrid w:val="0"/>
                    <w:jc w:val="center"/>
                    <w:rPr>
                      <w:color w:val="auto"/>
                      <w:kern w:val="0"/>
                      <w:sz w:val="18"/>
                      <w:szCs w:val="18"/>
                    </w:rPr>
                  </w:pPr>
                  <w:r>
                    <w:rPr>
                      <w:rFonts w:hint="eastAsia"/>
                      <w:color w:val="auto"/>
                      <w:kern w:val="0"/>
                      <w:sz w:val="18"/>
                      <w:szCs w:val="18"/>
                    </w:rPr>
                    <w:t>31.72275104</w:t>
                  </w:r>
                </w:p>
              </w:tc>
              <w:tc>
                <w:tcPr>
                  <w:tcW w:w="601" w:type="pct"/>
                  <w:vMerge w:val="restart"/>
                  <w:vAlign w:val="center"/>
                </w:tcPr>
                <w:p w14:paraId="43594266">
                  <w:pPr>
                    <w:autoSpaceDE w:val="0"/>
                    <w:autoSpaceDN w:val="0"/>
                    <w:adjustRightInd w:val="0"/>
                    <w:snapToGrid w:val="0"/>
                    <w:jc w:val="center"/>
                    <w:rPr>
                      <w:rFonts w:hint="default" w:eastAsia="宋体"/>
                      <w:color w:val="auto"/>
                      <w:kern w:val="0"/>
                      <w:sz w:val="18"/>
                      <w:szCs w:val="18"/>
                      <w:lang w:val="en-US" w:eastAsia="zh-CN"/>
                    </w:rPr>
                  </w:pPr>
                  <w:r>
                    <w:rPr>
                      <w:rFonts w:hint="eastAsia"/>
                      <w:color w:val="auto"/>
                      <w:kern w:val="0"/>
                      <w:sz w:val="18"/>
                      <w:szCs w:val="18"/>
                      <w:lang w:val="en-US" w:eastAsia="zh-CN"/>
                    </w:rPr>
                    <w:t>720</w:t>
                  </w:r>
                </w:p>
              </w:tc>
              <w:tc>
                <w:tcPr>
                  <w:tcW w:w="461" w:type="pct"/>
                  <w:vMerge w:val="restart"/>
                  <w:vAlign w:val="center"/>
                </w:tcPr>
                <w:p w14:paraId="54B0F765">
                  <w:pPr>
                    <w:autoSpaceDE w:val="0"/>
                    <w:autoSpaceDN w:val="0"/>
                    <w:adjustRightInd w:val="0"/>
                    <w:snapToGrid w:val="0"/>
                    <w:jc w:val="center"/>
                    <w:rPr>
                      <w:color w:val="auto"/>
                      <w:kern w:val="0"/>
                      <w:sz w:val="18"/>
                      <w:szCs w:val="18"/>
                    </w:rPr>
                  </w:pPr>
                  <w:r>
                    <w:rPr>
                      <w:rFonts w:hint="eastAsia"/>
                      <w:color w:val="auto"/>
                      <w:kern w:val="0"/>
                      <w:sz w:val="18"/>
                      <w:szCs w:val="18"/>
                    </w:rPr>
                    <w:t>进入常州金坛区第二污水处理有限公司</w:t>
                  </w:r>
                </w:p>
              </w:tc>
              <w:tc>
                <w:tcPr>
                  <w:tcW w:w="661" w:type="pct"/>
                  <w:vMerge w:val="restart"/>
                  <w:vAlign w:val="center"/>
                </w:tcPr>
                <w:p w14:paraId="6293E963">
                  <w:pPr>
                    <w:autoSpaceDE w:val="0"/>
                    <w:autoSpaceDN w:val="0"/>
                    <w:adjustRightInd w:val="0"/>
                    <w:snapToGrid w:val="0"/>
                    <w:jc w:val="center"/>
                    <w:rPr>
                      <w:color w:val="auto"/>
                      <w:kern w:val="0"/>
                      <w:sz w:val="18"/>
                      <w:szCs w:val="18"/>
                    </w:rPr>
                  </w:pPr>
                  <w:r>
                    <w:rPr>
                      <w:color w:val="auto"/>
                      <w:kern w:val="0"/>
                      <w:sz w:val="18"/>
                      <w:szCs w:val="18"/>
                    </w:rPr>
                    <w:t>间断排放，排放期间流量不稳定且无规律，但不属于冲击型排放</w:t>
                  </w:r>
                </w:p>
              </w:tc>
              <w:tc>
                <w:tcPr>
                  <w:tcW w:w="486" w:type="pct"/>
                  <w:vMerge w:val="restart"/>
                  <w:vAlign w:val="center"/>
                </w:tcPr>
                <w:p w14:paraId="2DE8E861">
                  <w:pPr>
                    <w:autoSpaceDE w:val="0"/>
                    <w:autoSpaceDN w:val="0"/>
                    <w:adjustRightInd w:val="0"/>
                    <w:snapToGrid w:val="0"/>
                    <w:jc w:val="center"/>
                    <w:rPr>
                      <w:color w:val="auto"/>
                      <w:kern w:val="0"/>
                      <w:sz w:val="18"/>
                      <w:szCs w:val="18"/>
                    </w:rPr>
                  </w:pPr>
                  <w:r>
                    <w:rPr>
                      <w:rFonts w:hint="eastAsia"/>
                      <w:color w:val="auto"/>
                      <w:kern w:val="0"/>
                      <w:sz w:val="18"/>
                      <w:szCs w:val="18"/>
                      <w:lang w:val="en-US" w:eastAsia="zh-CN"/>
                    </w:rPr>
                    <w:t>8</w:t>
                  </w:r>
                  <w:r>
                    <w:rPr>
                      <w:rFonts w:hint="eastAsia"/>
                      <w:color w:val="auto"/>
                      <w:kern w:val="0"/>
                      <w:sz w:val="18"/>
                      <w:szCs w:val="18"/>
                    </w:rPr>
                    <w:t>:</w:t>
                  </w:r>
                  <w:r>
                    <w:rPr>
                      <w:rFonts w:hint="eastAsia"/>
                      <w:color w:val="auto"/>
                      <w:kern w:val="0"/>
                      <w:sz w:val="18"/>
                      <w:szCs w:val="18"/>
                      <w:lang w:val="en-US" w:eastAsia="zh-CN"/>
                    </w:rPr>
                    <w:t>3</w:t>
                  </w:r>
                  <w:r>
                    <w:rPr>
                      <w:rFonts w:hint="eastAsia"/>
                      <w:color w:val="auto"/>
                      <w:kern w:val="0"/>
                      <w:sz w:val="18"/>
                      <w:szCs w:val="18"/>
                    </w:rPr>
                    <w:t>0~</w:t>
                  </w:r>
                  <w:r>
                    <w:rPr>
                      <w:rFonts w:hint="eastAsia"/>
                      <w:color w:val="auto"/>
                      <w:kern w:val="0"/>
                      <w:sz w:val="18"/>
                      <w:szCs w:val="18"/>
                      <w:lang w:val="en-US" w:eastAsia="zh-CN"/>
                    </w:rPr>
                    <w:t>18</w:t>
                  </w:r>
                  <w:r>
                    <w:rPr>
                      <w:rFonts w:hint="eastAsia"/>
                      <w:color w:val="auto"/>
                      <w:kern w:val="0"/>
                      <w:sz w:val="18"/>
                      <w:szCs w:val="18"/>
                    </w:rPr>
                    <w:t>:</w:t>
                  </w:r>
                  <w:r>
                    <w:rPr>
                      <w:rFonts w:hint="eastAsia"/>
                      <w:color w:val="auto"/>
                      <w:kern w:val="0"/>
                      <w:sz w:val="18"/>
                      <w:szCs w:val="18"/>
                      <w:lang w:val="en-US" w:eastAsia="zh-CN"/>
                    </w:rPr>
                    <w:t>3</w:t>
                  </w:r>
                  <w:r>
                    <w:rPr>
                      <w:rFonts w:hint="eastAsia"/>
                      <w:color w:val="auto"/>
                      <w:kern w:val="0"/>
                      <w:sz w:val="18"/>
                      <w:szCs w:val="18"/>
                    </w:rPr>
                    <w:t>0</w:t>
                  </w:r>
                </w:p>
              </w:tc>
              <w:tc>
                <w:tcPr>
                  <w:tcW w:w="440" w:type="pct"/>
                  <w:vMerge w:val="restart"/>
                  <w:vAlign w:val="center"/>
                </w:tcPr>
                <w:p w14:paraId="43B00DA6">
                  <w:pPr>
                    <w:autoSpaceDE w:val="0"/>
                    <w:autoSpaceDN w:val="0"/>
                    <w:adjustRightInd w:val="0"/>
                    <w:snapToGrid w:val="0"/>
                    <w:jc w:val="center"/>
                    <w:rPr>
                      <w:color w:val="auto"/>
                      <w:kern w:val="0"/>
                      <w:sz w:val="18"/>
                      <w:szCs w:val="18"/>
                    </w:rPr>
                  </w:pPr>
                  <w:r>
                    <w:rPr>
                      <w:rFonts w:hint="eastAsia"/>
                      <w:color w:val="auto"/>
                      <w:kern w:val="0"/>
                      <w:sz w:val="18"/>
                      <w:szCs w:val="18"/>
                    </w:rPr>
                    <w:t>常州金坛区第二污水处理有限公司</w:t>
                  </w:r>
                </w:p>
              </w:tc>
              <w:tc>
                <w:tcPr>
                  <w:tcW w:w="409" w:type="pct"/>
                  <w:vAlign w:val="center"/>
                </w:tcPr>
                <w:p w14:paraId="5519177A">
                  <w:pPr>
                    <w:adjustRightInd w:val="0"/>
                    <w:snapToGrid w:val="0"/>
                    <w:jc w:val="center"/>
                    <w:rPr>
                      <w:color w:val="auto"/>
                      <w:kern w:val="0"/>
                      <w:sz w:val="18"/>
                      <w:szCs w:val="18"/>
                    </w:rPr>
                  </w:pPr>
                  <w:r>
                    <w:rPr>
                      <w:color w:val="auto"/>
                      <w:kern w:val="0"/>
                      <w:sz w:val="18"/>
                      <w:szCs w:val="18"/>
                    </w:rPr>
                    <w:t>COD</w:t>
                  </w:r>
                </w:p>
              </w:tc>
              <w:tc>
                <w:tcPr>
                  <w:tcW w:w="558" w:type="pct"/>
                  <w:vAlign w:val="center"/>
                </w:tcPr>
                <w:p w14:paraId="219D6BB1">
                  <w:pPr>
                    <w:adjustRightInd w:val="0"/>
                    <w:snapToGrid w:val="0"/>
                    <w:jc w:val="center"/>
                    <w:rPr>
                      <w:color w:val="auto"/>
                      <w:kern w:val="0"/>
                      <w:sz w:val="18"/>
                      <w:szCs w:val="18"/>
                    </w:rPr>
                  </w:pPr>
                  <w:r>
                    <w:rPr>
                      <w:rFonts w:hint="eastAsia"/>
                      <w:color w:val="auto"/>
                      <w:kern w:val="0"/>
                      <w:sz w:val="18"/>
                      <w:szCs w:val="18"/>
                    </w:rPr>
                    <w:t>50</w:t>
                  </w:r>
                </w:p>
              </w:tc>
            </w:tr>
            <w:tr w14:paraId="7492A6A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48" w:hRule="atLeast"/>
                <w:jc w:val="center"/>
              </w:trPr>
              <w:tc>
                <w:tcPr>
                  <w:tcW w:w="466" w:type="pct"/>
                  <w:vMerge w:val="continue"/>
                  <w:vAlign w:val="center"/>
                </w:tcPr>
                <w:p w14:paraId="6D259E9D">
                  <w:pPr>
                    <w:widowControl/>
                    <w:adjustRightInd w:val="0"/>
                    <w:snapToGrid w:val="0"/>
                    <w:jc w:val="center"/>
                    <w:rPr>
                      <w:color w:val="auto"/>
                      <w:kern w:val="0"/>
                      <w:sz w:val="18"/>
                      <w:szCs w:val="18"/>
                    </w:rPr>
                  </w:pPr>
                </w:p>
              </w:tc>
              <w:tc>
                <w:tcPr>
                  <w:tcW w:w="457" w:type="pct"/>
                  <w:vMerge w:val="continue"/>
                  <w:vAlign w:val="center"/>
                </w:tcPr>
                <w:p w14:paraId="2F6022AB">
                  <w:pPr>
                    <w:widowControl/>
                    <w:adjustRightInd w:val="0"/>
                    <w:snapToGrid w:val="0"/>
                    <w:jc w:val="center"/>
                    <w:rPr>
                      <w:color w:val="auto"/>
                      <w:kern w:val="0"/>
                      <w:sz w:val="18"/>
                      <w:szCs w:val="18"/>
                    </w:rPr>
                  </w:pPr>
                </w:p>
              </w:tc>
              <w:tc>
                <w:tcPr>
                  <w:tcW w:w="457" w:type="pct"/>
                  <w:vMerge w:val="continue"/>
                  <w:vAlign w:val="center"/>
                </w:tcPr>
                <w:p w14:paraId="01D0869B">
                  <w:pPr>
                    <w:widowControl/>
                    <w:adjustRightInd w:val="0"/>
                    <w:snapToGrid w:val="0"/>
                    <w:jc w:val="center"/>
                    <w:rPr>
                      <w:color w:val="auto"/>
                      <w:kern w:val="0"/>
                      <w:sz w:val="18"/>
                      <w:szCs w:val="18"/>
                    </w:rPr>
                  </w:pPr>
                </w:p>
              </w:tc>
              <w:tc>
                <w:tcPr>
                  <w:tcW w:w="601" w:type="pct"/>
                  <w:vMerge w:val="continue"/>
                  <w:vAlign w:val="center"/>
                </w:tcPr>
                <w:p w14:paraId="5B1D83DC">
                  <w:pPr>
                    <w:widowControl/>
                    <w:adjustRightInd w:val="0"/>
                    <w:snapToGrid w:val="0"/>
                    <w:jc w:val="center"/>
                    <w:rPr>
                      <w:color w:val="auto"/>
                      <w:kern w:val="0"/>
                      <w:sz w:val="18"/>
                      <w:szCs w:val="18"/>
                    </w:rPr>
                  </w:pPr>
                </w:p>
              </w:tc>
              <w:tc>
                <w:tcPr>
                  <w:tcW w:w="461" w:type="pct"/>
                  <w:vMerge w:val="continue"/>
                  <w:vAlign w:val="center"/>
                </w:tcPr>
                <w:p w14:paraId="7DC7DF7A">
                  <w:pPr>
                    <w:widowControl/>
                    <w:adjustRightInd w:val="0"/>
                    <w:snapToGrid w:val="0"/>
                    <w:jc w:val="center"/>
                    <w:rPr>
                      <w:color w:val="auto"/>
                      <w:kern w:val="0"/>
                      <w:sz w:val="18"/>
                      <w:szCs w:val="18"/>
                    </w:rPr>
                  </w:pPr>
                </w:p>
              </w:tc>
              <w:tc>
                <w:tcPr>
                  <w:tcW w:w="661" w:type="pct"/>
                  <w:vMerge w:val="continue"/>
                  <w:vAlign w:val="center"/>
                </w:tcPr>
                <w:p w14:paraId="23F12469">
                  <w:pPr>
                    <w:widowControl/>
                    <w:adjustRightInd w:val="0"/>
                    <w:snapToGrid w:val="0"/>
                    <w:jc w:val="center"/>
                    <w:rPr>
                      <w:color w:val="auto"/>
                      <w:kern w:val="0"/>
                      <w:sz w:val="18"/>
                      <w:szCs w:val="18"/>
                    </w:rPr>
                  </w:pPr>
                </w:p>
              </w:tc>
              <w:tc>
                <w:tcPr>
                  <w:tcW w:w="486" w:type="pct"/>
                  <w:vMerge w:val="continue"/>
                  <w:vAlign w:val="center"/>
                </w:tcPr>
                <w:p w14:paraId="352D49E4">
                  <w:pPr>
                    <w:widowControl/>
                    <w:adjustRightInd w:val="0"/>
                    <w:snapToGrid w:val="0"/>
                    <w:jc w:val="center"/>
                    <w:rPr>
                      <w:color w:val="auto"/>
                      <w:kern w:val="0"/>
                      <w:sz w:val="18"/>
                      <w:szCs w:val="18"/>
                    </w:rPr>
                  </w:pPr>
                </w:p>
              </w:tc>
              <w:tc>
                <w:tcPr>
                  <w:tcW w:w="440" w:type="pct"/>
                  <w:vMerge w:val="continue"/>
                  <w:vAlign w:val="center"/>
                </w:tcPr>
                <w:p w14:paraId="58397AE6">
                  <w:pPr>
                    <w:widowControl/>
                    <w:adjustRightInd w:val="0"/>
                    <w:snapToGrid w:val="0"/>
                    <w:jc w:val="center"/>
                    <w:rPr>
                      <w:color w:val="auto"/>
                      <w:kern w:val="0"/>
                      <w:sz w:val="18"/>
                      <w:szCs w:val="18"/>
                    </w:rPr>
                  </w:pPr>
                </w:p>
              </w:tc>
              <w:tc>
                <w:tcPr>
                  <w:tcW w:w="409" w:type="pct"/>
                  <w:vAlign w:val="center"/>
                </w:tcPr>
                <w:p w14:paraId="779DCDCA">
                  <w:pPr>
                    <w:adjustRightInd w:val="0"/>
                    <w:snapToGrid w:val="0"/>
                    <w:jc w:val="center"/>
                    <w:rPr>
                      <w:color w:val="auto"/>
                      <w:kern w:val="0"/>
                      <w:sz w:val="18"/>
                      <w:szCs w:val="18"/>
                    </w:rPr>
                  </w:pPr>
                  <w:r>
                    <w:rPr>
                      <w:color w:val="auto"/>
                      <w:kern w:val="0"/>
                      <w:sz w:val="18"/>
                      <w:szCs w:val="18"/>
                    </w:rPr>
                    <w:t>SS</w:t>
                  </w:r>
                </w:p>
              </w:tc>
              <w:tc>
                <w:tcPr>
                  <w:tcW w:w="558" w:type="pct"/>
                  <w:vAlign w:val="center"/>
                </w:tcPr>
                <w:p w14:paraId="7F9B4CBC">
                  <w:pPr>
                    <w:adjustRightInd w:val="0"/>
                    <w:snapToGrid w:val="0"/>
                    <w:jc w:val="center"/>
                    <w:rPr>
                      <w:color w:val="auto"/>
                      <w:kern w:val="0"/>
                      <w:sz w:val="18"/>
                      <w:szCs w:val="18"/>
                    </w:rPr>
                  </w:pPr>
                  <w:r>
                    <w:rPr>
                      <w:color w:val="auto"/>
                      <w:kern w:val="0"/>
                      <w:sz w:val="18"/>
                      <w:szCs w:val="18"/>
                    </w:rPr>
                    <w:t>10</w:t>
                  </w:r>
                </w:p>
              </w:tc>
            </w:tr>
            <w:tr w14:paraId="04B7155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38" w:hRule="atLeast"/>
                <w:jc w:val="center"/>
              </w:trPr>
              <w:tc>
                <w:tcPr>
                  <w:tcW w:w="466" w:type="pct"/>
                  <w:vMerge w:val="continue"/>
                  <w:vAlign w:val="center"/>
                </w:tcPr>
                <w:p w14:paraId="00045FCB">
                  <w:pPr>
                    <w:widowControl/>
                    <w:adjustRightInd w:val="0"/>
                    <w:snapToGrid w:val="0"/>
                    <w:jc w:val="center"/>
                    <w:rPr>
                      <w:color w:val="auto"/>
                      <w:kern w:val="0"/>
                      <w:sz w:val="18"/>
                      <w:szCs w:val="18"/>
                    </w:rPr>
                  </w:pPr>
                </w:p>
              </w:tc>
              <w:tc>
                <w:tcPr>
                  <w:tcW w:w="457" w:type="pct"/>
                  <w:vMerge w:val="continue"/>
                  <w:vAlign w:val="center"/>
                </w:tcPr>
                <w:p w14:paraId="7C7E6AEA">
                  <w:pPr>
                    <w:widowControl/>
                    <w:adjustRightInd w:val="0"/>
                    <w:snapToGrid w:val="0"/>
                    <w:jc w:val="center"/>
                    <w:rPr>
                      <w:color w:val="auto"/>
                      <w:kern w:val="0"/>
                      <w:sz w:val="18"/>
                      <w:szCs w:val="18"/>
                    </w:rPr>
                  </w:pPr>
                </w:p>
              </w:tc>
              <w:tc>
                <w:tcPr>
                  <w:tcW w:w="457" w:type="pct"/>
                  <w:vMerge w:val="continue"/>
                  <w:vAlign w:val="center"/>
                </w:tcPr>
                <w:p w14:paraId="1DFAE44E">
                  <w:pPr>
                    <w:widowControl/>
                    <w:adjustRightInd w:val="0"/>
                    <w:snapToGrid w:val="0"/>
                    <w:jc w:val="center"/>
                    <w:rPr>
                      <w:color w:val="auto"/>
                      <w:kern w:val="0"/>
                      <w:sz w:val="18"/>
                      <w:szCs w:val="18"/>
                    </w:rPr>
                  </w:pPr>
                </w:p>
              </w:tc>
              <w:tc>
                <w:tcPr>
                  <w:tcW w:w="601" w:type="pct"/>
                  <w:vMerge w:val="continue"/>
                  <w:vAlign w:val="center"/>
                </w:tcPr>
                <w:p w14:paraId="24AD3AA0">
                  <w:pPr>
                    <w:widowControl/>
                    <w:adjustRightInd w:val="0"/>
                    <w:snapToGrid w:val="0"/>
                    <w:jc w:val="center"/>
                    <w:rPr>
                      <w:color w:val="auto"/>
                      <w:kern w:val="0"/>
                      <w:sz w:val="18"/>
                      <w:szCs w:val="18"/>
                    </w:rPr>
                  </w:pPr>
                </w:p>
              </w:tc>
              <w:tc>
                <w:tcPr>
                  <w:tcW w:w="461" w:type="pct"/>
                  <w:vMerge w:val="continue"/>
                  <w:vAlign w:val="center"/>
                </w:tcPr>
                <w:p w14:paraId="1A792457">
                  <w:pPr>
                    <w:widowControl/>
                    <w:adjustRightInd w:val="0"/>
                    <w:snapToGrid w:val="0"/>
                    <w:jc w:val="center"/>
                    <w:rPr>
                      <w:color w:val="auto"/>
                      <w:kern w:val="0"/>
                      <w:sz w:val="18"/>
                      <w:szCs w:val="18"/>
                    </w:rPr>
                  </w:pPr>
                </w:p>
              </w:tc>
              <w:tc>
                <w:tcPr>
                  <w:tcW w:w="661" w:type="pct"/>
                  <w:vMerge w:val="continue"/>
                  <w:vAlign w:val="center"/>
                </w:tcPr>
                <w:p w14:paraId="6FB2770B">
                  <w:pPr>
                    <w:widowControl/>
                    <w:adjustRightInd w:val="0"/>
                    <w:snapToGrid w:val="0"/>
                    <w:jc w:val="center"/>
                    <w:rPr>
                      <w:color w:val="auto"/>
                      <w:kern w:val="0"/>
                      <w:sz w:val="18"/>
                      <w:szCs w:val="18"/>
                    </w:rPr>
                  </w:pPr>
                </w:p>
              </w:tc>
              <w:tc>
                <w:tcPr>
                  <w:tcW w:w="486" w:type="pct"/>
                  <w:vMerge w:val="continue"/>
                  <w:vAlign w:val="center"/>
                </w:tcPr>
                <w:p w14:paraId="73A9064C">
                  <w:pPr>
                    <w:widowControl/>
                    <w:adjustRightInd w:val="0"/>
                    <w:snapToGrid w:val="0"/>
                    <w:jc w:val="center"/>
                    <w:rPr>
                      <w:color w:val="auto"/>
                      <w:kern w:val="0"/>
                      <w:sz w:val="18"/>
                      <w:szCs w:val="18"/>
                    </w:rPr>
                  </w:pPr>
                </w:p>
              </w:tc>
              <w:tc>
                <w:tcPr>
                  <w:tcW w:w="440" w:type="pct"/>
                  <w:vMerge w:val="continue"/>
                  <w:vAlign w:val="center"/>
                </w:tcPr>
                <w:p w14:paraId="06A29025">
                  <w:pPr>
                    <w:widowControl/>
                    <w:adjustRightInd w:val="0"/>
                    <w:snapToGrid w:val="0"/>
                    <w:jc w:val="center"/>
                    <w:rPr>
                      <w:color w:val="auto"/>
                      <w:kern w:val="0"/>
                      <w:sz w:val="18"/>
                      <w:szCs w:val="18"/>
                    </w:rPr>
                  </w:pPr>
                </w:p>
              </w:tc>
              <w:tc>
                <w:tcPr>
                  <w:tcW w:w="409" w:type="pct"/>
                  <w:vAlign w:val="center"/>
                </w:tcPr>
                <w:p w14:paraId="714F50F8">
                  <w:pPr>
                    <w:adjustRightInd w:val="0"/>
                    <w:snapToGrid w:val="0"/>
                    <w:jc w:val="center"/>
                    <w:rPr>
                      <w:color w:val="auto"/>
                      <w:kern w:val="0"/>
                      <w:sz w:val="18"/>
                      <w:szCs w:val="18"/>
                    </w:rPr>
                  </w:pPr>
                  <w:r>
                    <w:rPr>
                      <w:color w:val="auto"/>
                      <w:kern w:val="0"/>
                      <w:sz w:val="18"/>
                      <w:szCs w:val="18"/>
                    </w:rPr>
                    <w:t>NH</w:t>
                  </w:r>
                  <w:r>
                    <w:rPr>
                      <w:color w:val="auto"/>
                      <w:kern w:val="0"/>
                      <w:sz w:val="18"/>
                      <w:szCs w:val="18"/>
                      <w:vertAlign w:val="subscript"/>
                    </w:rPr>
                    <w:t>3</w:t>
                  </w:r>
                  <w:r>
                    <w:rPr>
                      <w:color w:val="auto"/>
                      <w:kern w:val="0"/>
                      <w:sz w:val="18"/>
                      <w:szCs w:val="18"/>
                    </w:rPr>
                    <w:t>-N</w:t>
                  </w:r>
                </w:p>
              </w:tc>
              <w:tc>
                <w:tcPr>
                  <w:tcW w:w="558" w:type="pct"/>
                  <w:vAlign w:val="center"/>
                </w:tcPr>
                <w:p w14:paraId="7D93D5C7">
                  <w:pPr>
                    <w:adjustRightInd w:val="0"/>
                    <w:snapToGrid w:val="0"/>
                    <w:jc w:val="center"/>
                    <w:rPr>
                      <w:color w:val="auto"/>
                      <w:kern w:val="0"/>
                      <w:sz w:val="18"/>
                      <w:szCs w:val="18"/>
                    </w:rPr>
                  </w:pPr>
                  <w:r>
                    <w:rPr>
                      <w:rFonts w:hint="eastAsia"/>
                      <w:color w:val="auto"/>
                      <w:kern w:val="0"/>
                      <w:sz w:val="18"/>
                      <w:szCs w:val="18"/>
                    </w:rPr>
                    <w:t>4</w:t>
                  </w:r>
                  <w:r>
                    <w:rPr>
                      <w:color w:val="auto"/>
                      <w:kern w:val="0"/>
                      <w:sz w:val="18"/>
                      <w:szCs w:val="18"/>
                    </w:rPr>
                    <w:t>（</w:t>
                  </w:r>
                  <w:r>
                    <w:rPr>
                      <w:rFonts w:hint="eastAsia"/>
                      <w:color w:val="auto"/>
                      <w:kern w:val="0"/>
                      <w:sz w:val="18"/>
                      <w:szCs w:val="18"/>
                    </w:rPr>
                    <w:t>6</w:t>
                  </w:r>
                  <w:r>
                    <w:rPr>
                      <w:color w:val="auto"/>
                      <w:kern w:val="0"/>
                      <w:sz w:val="18"/>
                      <w:szCs w:val="18"/>
                    </w:rPr>
                    <w:t>）</w:t>
                  </w:r>
                  <w:r>
                    <w:rPr>
                      <w:rFonts w:hint="eastAsia"/>
                      <w:color w:val="auto"/>
                      <w:kern w:val="0"/>
                      <w:sz w:val="18"/>
                      <w:szCs w:val="18"/>
                    </w:rPr>
                    <w:t>*</w:t>
                  </w:r>
                </w:p>
              </w:tc>
            </w:tr>
            <w:tr w14:paraId="2871ADC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68" w:hRule="atLeast"/>
                <w:jc w:val="center"/>
              </w:trPr>
              <w:tc>
                <w:tcPr>
                  <w:tcW w:w="466" w:type="pct"/>
                  <w:vMerge w:val="continue"/>
                  <w:vAlign w:val="center"/>
                </w:tcPr>
                <w:p w14:paraId="65E31571">
                  <w:pPr>
                    <w:widowControl/>
                    <w:adjustRightInd w:val="0"/>
                    <w:snapToGrid w:val="0"/>
                    <w:jc w:val="center"/>
                    <w:rPr>
                      <w:color w:val="auto"/>
                      <w:kern w:val="0"/>
                      <w:sz w:val="18"/>
                      <w:szCs w:val="18"/>
                    </w:rPr>
                  </w:pPr>
                </w:p>
              </w:tc>
              <w:tc>
                <w:tcPr>
                  <w:tcW w:w="457" w:type="pct"/>
                  <w:vMerge w:val="continue"/>
                  <w:vAlign w:val="center"/>
                </w:tcPr>
                <w:p w14:paraId="587AA69D">
                  <w:pPr>
                    <w:widowControl/>
                    <w:adjustRightInd w:val="0"/>
                    <w:snapToGrid w:val="0"/>
                    <w:jc w:val="center"/>
                    <w:rPr>
                      <w:color w:val="auto"/>
                      <w:kern w:val="0"/>
                      <w:sz w:val="18"/>
                      <w:szCs w:val="18"/>
                    </w:rPr>
                  </w:pPr>
                </w:p>
              </w:tc>
              <w:tc>
                <w:tcPr>
                  <w:tcW w:w="457" w:type="pct"/>
                  <w:vMerge w:val="continue"/>
                  <w:vAlign w:val="center"/>
                </w:tcPr>
                <w:p w14:paraId="50F9F624">
                  <w:pPr>
                    <w:widowControl/>
                    <w:adjustRightInd w:val="0"/>
                    <w:snapToGrid w:val="0"/>
                    <w:jc w:val="center"/>
                    <w:rPr>
                      <w:color w:val="auto"/>
                      <w:kern w:val="0"/>
                      <w:sz w:val="18"/>
                      <w:szCs w:val="18"/>
                    </w:rPr>
                  </w:pPr>
                </w:p>
              </w:tc>
              <w:tc>
                <w:tcPr>
                  <w:tcW w:w="601" w:type="pct"/>
                  <w:vMerge w:val="continue"/>
                  <w:vAlign w:val="center"/>
                </w:tcPr>
                <w:p w14:paraId="308051AF">
                  <w:pPr>
                    <w:widowControl/>
                    <w:adjustRightInd w:val="0"/>
                    <w:snapToGrid w:val="0"/>
                    <w:jc w:val="center"/>
                    <w:rPr>
                      <w:color w:val="auto"/>
                      <w:kern w:val="0"/>
                      <w:sz w:val="18"/>
                      <w:szCs w:val="18"/>
                    </w:rPr>
                  </w:pPr>
                </w:p>
              </w:tc>
              <w:tc>
                <w:tcPr>
                  <w:tcW w:w="461" w:type="pct"/>
                  <w:vMerge w:val="continue"/>
                  <w:vAlign w:val="center"/>
                </w:tcPr>
                <w:p w14:paraId="5454FBFC">
                  <w:pPr>
                    <w:widowControl/>
                    <w:adjustRightInd w:val="0"/>
                    <w:snapToGrid w:val="0"/>
                    <w:jc w:val="center"/>
                    <w:rPr>
                      <w:color w:val="auto"/>
                      <w:kern w:val="0"/>
                      <w:sz w:val="18"/>
                      <w:szCs w:val="18"/>
                    </w:rPr>
                  </w:pPr>
                </w:p>
              </w:tc>
              <w:tc>
                <w:tcPr>
                  <w:tcW w:w="661" w:type="pct"/>
                  <w:vMerge w:val="continue"/>
                  <w:vAlign w:val="center"/>
                </w:tcPr>
                <w:p w14:paraId="48C943A7">
                  <w:pPr>
                    <w:widowControl/>
                    <w:adjustRightInd w:val="0"/>
                    <w:snapToGrid w:val="0"/>
                    <w:jc w:val="center"/>
                    <w:rPr>
                      <w:color w:val="auto"/>
                      <w:kern w:val="0"/>
                      <w:sz w:val="18"/>
                      <w:szCs w:val="18"/>
                    </w:rPr>
                  </w:pPr>
                </w:p>
              </w:tc>
              <w:tc>
                <w:tcPr>
                  <w:tcW w:w="486" w:type="pct"/>
                  <w:vMerge w:val="continue"/>
                  <w:vAlign w:val="center"/>
                </w:tcPr>
                <w:p w14:paraId="0F1B4EEE">
                  <w:pPr>
                    <w:widowControl/>
                    <w:adjustRightInd w:val="0"/>
                    <w:snapToGrid w:val="0"/>
                    <w:jc w:val="center"/>
                    <w:rPr>
                      <w:color w:val="auto"/>
                      <w:kern w:val="0"/>
                      <w:sz w:val="18"/>
                      <w:szCs w:val="18"/>
                    </w:rPr>
                  </w:pPr>
                </w:p>
              </w:tc>
              <w:tc>
                <w:tcPr>
                  <w:tcW w:w="440" w:type="pct"/>
                  <w:vMerge w:val="continue"/>
                  <w:vAlign w:val="center"/>
                </w:tcPr>
                <w:p w14:paraId="0D44ADE5">
                  <w:pPr>
                    <w:widowControl/>
                    <w:adjustRightInd w:val="0"/>
                    <w:snapToGrid w:val="0"/>
                    <w:jc w:val="center"/>
                    <w:rPr>
                      <w:color w:val="auto"/>
                      <w:kern w:val="0"/>
                      <w:sz w:val="18"/>
                      <w:szCs w:val="18"/>
                    </w:rPr>
                  </w:pPr>
                </w:p>
              </w:tc>
              <w:tc>
                <w:tcPr>
                  <w:tcW w:w="409" w:type="pct"/>
                  <w:vAlign w:val="center"/>
                </w:tcPr>
                <w:p w14:paraId="783A9CA2">
                  <w:pPr>
                    <w:adjustRightInd w:val="0"/>
                    <w:snapToGrid w:val="0"/>
                    <w:jc w:val="center"/>
                    <w:rPr>
                      <w:color w:val="auto"/>
                      <w:kern w:val="0"/>
                      <w:sz w:val="18"/>
                      <w:szCs w:val="18"/>
                    </w:rPr>
                  </w:pPr>
                  <w:r>
                    <w:rPr>
                      <w:color w:val="auto"/>
                      <w:kern w:val="0"/>
                      <w:sz w:val="18"/>
                      <w:szCs w:val="18"/>
                    </w:rPr>
                    <w:t>TP</w:t>
                  </w:r>
                </w:p>
              </w:tc>
              <w:tc>
                <w:tcPr>
                  <w:tcW w:w="558" w:type="pct"/>
                  <w:vAlign w:val="center"/>
                </w:tcPr>
                <w:p w14:paraId="58E43D41">
                  <w:pPr>
                    <w:adjustRightInd w:val="0"/>
                    <w:snapToGrid w:val="0"/>
                    <w:jc w:val="center"/>
                    <w:rPr>
                      <w:color w:val="auto"/>
                      <w:kern w:val="0"/>
                      <w:sz w:val="18"/>
                      <w:szCs w:val="18"/>
                    </w:rPr>
                  </w:pPr>
                  <w:r>
                    <w:rPr>
                      <w:color w:val="auto"/>
                      <w:kern w:val="0"/>
                      <w:sz w:val="18"/>
                      <w:szCs w:val="18"/>
                    </w:rPr>
                    <w:t>0.</w:t>
                  </w:r>
                  <w:r>
                    <w:rPr>
                      <w:rFonts w:hint="eastAsia"/>
                      <w:color w:val="auto"/>
                      <w:kern w:val="0"/>
                      <w:sz w:val="18"/>
                      <w:szCs w:val="18"/>
                    </w:rPr>
                    <w:t>5</w:t>
                  </w:r>
                </w:p>
              </w:tc>
            </w:tr>
            <w:tr w14:paraId="363867B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73" w:hRule="atLeast"/>
                <w:jc w:val="center"/>
              </w:trPr>
              <w:tc>
                <w:tcPr>
                  <w:tcW w:w="466" w:type="pct"/>
                  <w:vMerge w:val="continue"/>
                  <w:vAlign w:val="center"/>
                </w:tcPr>
                <w:p w14:paraId="16D18B90">
                  <w:pPr>
                    <w:widowControl/>
                    <w:adjustRightInd w:val="0"/>
                    <w:snapToGrid w:val="0"/>
                    <w:jc w:val="center"/>
                    <w:rPr>
                      <w:color w:val="auto"/>
                      <w:kern w:val="0"/>
                      <w:sz w:val="18"/>
                      <w:szCs w:val="18"/>
                    </w:rPr>
                  </w:pPr>
                </w:p>
              </w:tc>
              <w:tc>
                <w:tcPr>
                  <w:tcW w:w="457" w:type="pct"/>
                  <w:vMerge w:val="continue"/>
                  <w:vAlign w:val="center"/>
                </w:tcPr>
                <w:p w14:paraId="5C784500">
                  <w:pPr>
                    <w:widowControl/>
                    <w:adjustRightInd w:val="0"/>
                    <w:snapToGrid w:val="0"/>
                    <w:jc w:val="center"/>
                    <w:rPr>
                      <w:color w:val="auto"/>
                      <w:kern w:val="0"/>
                      <w:sz w:val="18"/>
                      <w:szCs w:val="18"/>
                    </w:rPr>
                  </w:pPr>
                </w:p>
              </w:tc>
              <w:tc>
                <w:tcPr>
                  <w:tcW w:w="457" w:type="pct"/>
                  <w:vMerge w:val="continue"/>
                  <w:vAlign w:val="center"/>
                </w:tcPr>
                <w:p w14:paraId="28B9B4E7">
                  <w:pPr>
                    <w:widowControl/>
                    <w:adjustRightInd w:val="0"/>
                    <w:snapToGrid w:val="0"/>
                    <w:jc w:val="center"/>
                    <w:rPr>
                      <w:color w:val="auto"/>
                      <w:kern w:val="0"/>
                      <w:sz w:val="18"/>
                      <w:szCs w:val="18"/>
                    </w:rPr>
                  </w:pPr>
                </w:p>
              </w:tc>
              <w:tc>
                <w:tcPr>
                  <w:tcW w:w="601" w:type="pct"/>
                  <w:vMerge w:val="continue"/>
                  <w:vAlign w:val="center"/>
                </w:tcPr>
                <w:p w14:paraId="0AE308BF">
                  <w:pPr>
                    <w:widowControl/>
                    <w:adjustRightInd w:val="0"/>
                    <w:snapToGrid w:val="0"/>
                    <w:jc w:val="center"/>
                    <w:rPr>
                      <w:color w:val="auto"/>
                      <w:kern w:val="0"/>
                      <w:sz w:val="18"/>
                      <w:szCs w:val="18"/>
                    </w:rPr>
                  </w:pPr>
                </w:p>
              </w:tc>
              <w:tc>
                <w:tcPr>
                  <w:tcW w:w="461" w:type="pct"/>
                  <w:vMerge w:val="continue"/>
                  <w:vAlign w:val="center"/>
                </w:tcPr>
                <w:p w14:paraId="1A570942">
                  <w:pPr>
                    <w:widowControl/>
                    <w:adjustRightInd w:val="0"/>
                    <w:snapToGrid w:val="0"/>
                    <w:jc w:val="center"/>
                    <w:rPr>
                      <w:color w:val="auto"/>
                      <w:kern w:val="0"/>
                      <w:sz w:val="18"/>
                      <w:szCs w:val="18"/>
                    </w:rPr>
                  </w:pPr>
                </w:p>
              </w:tc>
              <w:tc>
                <w:tcPr>
                  <w:tcW w:w="661" w:type="pct"/>
                  <w:vMerge w:val="continue"/>
                  <w:vAlign w:val="center"/>
                </w:tcPr>
                <w:p w14:paraId="74709CF9">
                  <w:pPr>
                    <w:widowControl/>
                    <w:adjustRightInd w:val="0"/>
                    <w:snapToGrid w:val="0"/>
                    <w:jc w:val="center"/>
                    <w:rPr>
                      <w:color w:val="auto"/>
                      <w:kern w:val="0"/>
                      <w:sz w:val="18"/>
                      <w:szCs w:val="18"/>
                    </w:rPr>
                  </w:pPr>
                </w:p>
              </w:tc>
              <w:tc>
                <w:tcPr>
                  <w:tcW w:w="486" w:type="pct"/>
                  <w:vMerge w:val="continue"/>
                  <w:vAlign w:val="center"/>
                </w:tcPr>
                <w:p w14:paraId="519E32D0">
                  <w:pPr>
                    <w:widowControl/>
                    <w:adjustRightInd w:val="0"/>
                    <w:snapToGrid w:val="0"/>
                    <w:jc w:val="center"/>
                    <w:rPr>
                      <w:color w:val="auto"/>
                      <w:kern w:val="0"/>
                      <w:sz w:val="18"/>
                      <w:szCs w:val="18"/>
                    </w:rPr>
                  </w:pPr>
                </w:p>
              </w:tc>
              <w:tc>
                <w:tcPr>
                  <w:tcW w:w="440" w:type="pct"/>
                  <w:vMerge w:val="continue"/>
                  <w:vAlign w:val="center"/>
                </w:tcPr>
                <w:p w14:paraId="110EF6BD">
                  <w:pPr>
                    <w:widowControl/>
                    <w:adjustRightInd w:val="0"/>
                    <w:snapToGrid w:val="0"/>
                    <w:jc w:val="center"/>
                    <w:rPr>
                      <w:color w:val="auto"/>
                      <w:kern w:val="0"/>
                      <w:sz w:val="18"/>
                      <w:szCs w:val="18"/>
                    </w:rPr>
                  </w:pPr>
                </w:p>
              </w:tc>
              <w:tc>
                <w:tcPr>
                  <w:tcW w:w="409" w:type="pct"/>
                  <w:vAlign w:val="center"/>
                </w:tcPr>
                <w:p w14:paraId="24B166FA">
                  <w:pPr>
                    <w:adjustRightInd w:val="0"/>
                    <w:snapToGrid w:val="0"/>
                    <w:jc w:val="center"/>
                    <w:rPr>
                      <w:color w:val="auto"/>
                      <w:kern w:val="0"/>
                      <w:sz w:val="18"/>
                      <w:szCs w:val="18"/>
                    </w:rPr>
                  </w:pPr>
                  <w:r>
                    <w:rPr>
                      <w:color w:val="auto"/>
                      <w:kern w:val="0"/>
                      <w:sz w:val="18"/>
                      <w:szCs w:val="18"/>
                    </w:rPr>
                    <w:t>TN</w:t>
                  </w:r>
                </w:p>
              </w:tc>
              <w:tc>
                <w:tcPr>
                  <w:tcW w:w="558" w:type="pct"/>
                  <w:vAlign w:val="center"/>
                </w:tcPr>
                <w:p w14:paraId="608EAD03">
                  <w:pPr>
                    <w:adjustRightInd w:val="0"/>
                    <w:snapToGrid w:val="0"/>
                    <w:jc w:val="center"/>
                    <w:rPr>
                      <w:color w:val="auto"/>
                      <w:kern w:val="0"/>
                      <w:sz w:val="18"/>
                      <w:szCs w:val="18"/>
                    </w:rPr>
                  </w:pPr>
                  <w:r>
                    <w:rPr>
                      <w:rFonts w:hint="eastAsia"/>
                      <w:color w:val="auto"/>
                      <w:kern w:val="0"/>
                      <w:sz w:val="18"/>
                      <w:szCs w:val="18"/>
                    </w:rPr>
                    <w:t>12（15）*</w:t>
                  </w:r>
                </w:p>
              </w:tc>
            </w:tr>
          </w:tbl>
          <w:p w14:paraId="1FF5976A">
            <w:pPr>
              <w:pStyle w:val="23"/>
              <w:ind w:firstLine="422" w:firstLineChars="200"/>
              <w:rPr>
                <w:b/>
                <w:bCs/>
                <w:color w:val="auto"/>
                <w:sz w:val="21"/>
                <w:szCs w:val="21"/>
              </w:rPr>
            </w:pPr>
            <w:r>
              <w:rPr>
                <w:b/>
                <w:bCs/>
                <w:color w:val="auto"/>
                <w:sz w:val="21"/>
                <w:szCs w:val="21"/>
              </w:rPr>
              <w:t>（3）接管可行性分析</w:t>
            </w:r>
          </w:p>
          <w:p w14:paraId="18D73A2B">
            <w:pPr>
              <w:autoSpaceDE w:val="0"/>
              <w:autoSpaceDN w:val="0"/>
              <w:adjustRightInd w:val="0"/>
              <w:snapToGrid w:val="0"/>
              <w:spacing w:line="360" w:lineRule="auto"/>
              <w:ind w:firstLine="422" w:firstLineChars="200"/>
              <w:rPr>
                <w:b/>
                <w:bCs/>
                <w:color w:val="auto"/>
                <w:kern w:val="0"/>
              </w:rPr>
            </w:pPr>
            <w:r>
              <w:rPr>
                <w:rFonts w:hint="eastAsia"/>
                <w:b/>
                <w:bCs/>
                <w:color w:val="auto"/>
                <w:kern w:val="0"/>
              </w:rPr>
              <w:t>1）废水水质可行性分析</w:t>
            </w:r>
          </w:p>
          <w:p w14:paraId="5BB98F8C">
            <w:pPr>
              <w:autoSpaceDE w:val="0"/>
              <w:autoSpaceDN w:val="0"/>
              <w:adjustRightInd w:val="0"/>
              <w:snapToGrid w:val="0"/>
              <w:spacing w:line="360" w:lineRule="auto"/>
              <w:ind w:firstLine="420" w:firstLineChars="200"/>
              <w:rPr>
                <w:color w:val="auto"/>
                <w:kern w:val="0"/>
              </w:rPr>
            </w:pPr>
            <w:r>
              <w:rPr>
                <w:rFonts w:hint="eastAsia"/>
                <w:color w:val="auto"/>
                <w:kern w:val="0"/>
              </w:rPr>
              <w:t>项目废水中主要含有COD、SS、NH</w:t>
            </w:r>
            <w:r>
              <w:rPr>
                <w:rFonts w:hint="eastAsia"/>
                <w:color w:val="auto"/>
                <w:kern w:val="0"/>
                <w:vertAlign w:val="subscript"/>
              </w:rPr>
              <w:t>3</w:t>
            </w:r>
            <w:r>
              <w:rPr>
                <w:rFonts w:hint="eastAsia"/>
                <w:color w:val="auto"/>
                <w:kern w:val="0"/>
              </w:rPr>
              <w:t>-N、TP、TN等常规指标，</w:t>
            </w:r>
            <w:r>
              <w:rPr>
                <w:color w:val="auto"/>
                <w:kern w:val="0"/>
              </w:rPr>
              <w:t>接管</w:t>
            </w:r>
            <w:r>
              <w:rPr>
                <w:rFonts w:hint="eastAsia"/>
                <w:color w:val="auto"/>
                <w:kern w:val="0"/>
              </w:rPr>
              <w:t>浓度为</w:t>
            </w:r>
            <w:r>
              <w:rPr>
                <w:color w:val="auto"/>
                <w:kern w:val="0"/>
              </w:rPr>
              <w:t>COD</w:t>
            </w:r>
            <w:r>
              <w:rPr>
                <w:rFonts w:hint="eastAsia"/>
                <w:color w:val="auto"/>
                <w:kern w:val="0"/>
              </w:rPr>
              <w:t xml:space="preserve"> 500</w:t>
            </w:r>
            <w:r>
              <w:rPr>
                <w:color w:val="auto"/>
                <w:kern w:val="0"/>
              </w:rPr>
              <w:t>mg/L、SS</w:t>
            </w:r>
            <w:r>
              <w:rPr>
                <w:rFonts w:hint="eastAsia"/>
                <w:color w:val="auto"/>
                <w:kern w:val="0"/>
              </w:rPr>
              <w:t xml:space="preserve"> 250</w:t>
            </w:r>
            <w:r>
              <w:rPr>
                <w:color w:val="auto"/>
                <w:kern w:val="0"/>
              </w:rPr>
              <w:t>mg/L、</w:t>
            </w:r>
            <w:r>
              <w:rPr>
                <w:rFonts w:hint="eastAsia"/>
                <w:color w:val="auto"/>
                <w:kern w:val="0"/>
              </w:rPr>
              <w:t>NH</w:t>
            </w:r>
            <w:r>
              <w:rPr>
                <w:rFonts w:hint="eastAsia"/>
                <w:color w:val="auto"/>
                <w:kern w:val="0"/>
                <w:vertAlign w:val="subscript"/>
              </w:rPr>
              <w:t>3</w:t>
            </w:r>
            <w:r>
              <w:rPr>
                <w:rFonts w:hint="eastAsia"/>
                <w:color w:val="auto"/>
                <w:kern w:val="0"/>
              </w:rPr>
              <w:t xml:space="preserve">-N </w:t>
            </w:r>
            <w:r>
              <w:rPr>
                <w:color w:val="auto"/>
                <w:kern w:val="0"/>
              </w:rPr>
              <w:t>3</w:t>
            </w:r>
            <w:r>
              <w:rPr>
                <w:rFonts w:hint="eastAsia"/>
                <w:color w:val="auto"/>
                <w:kern w:val="0"/>
              </w:rPr>
              <w:t>5</w:t>
            </w:r>
            <w:r>
              <w:rPr>
                <w:color w:val="auto"/>
                <w:kern w:val="0"/>
              </w:rPr>
              <w:t>mg/L、</w:t>
            </w:r>
            <w:r>
              <w:rPr>
                <w:rFonts w:hint="eastAsia"/>
                <w:color w:val="auto"/>
                <w:kern w:val="0"/>
              </w:rPr>
              <w:t xml:space="preserve">TP </w:t>
            </w:r>
            <w:r>
              <w:rPr>
                <w:color w:val="auto"/>
                <w:kern w:val="0"/>
              </w:rPr>
              <w:t>3mg/L、TN</w:t>
            </w:r>
            <w:r>
              <w:rPr>
                <w:rFonts w:hint="eastAsia"/>
                <w:color w:val="auto"/>
                <w:kern w:val="0"/>
              </w:rPr>
              <w:t xml:space="preserve"> </w:t>
            </w:r>
            <w:r>
              <w:rPr>
                <w:color w:val="auto"/>
                <w:kern w:val="0"/>
              </w:rPr>
              <w:t>50mg/L，均可达到接管标准，可生化性好，污水处理厂对</w:t>
            </w:r>
            <w:r>
              <w:rPr>
                <w:rFonts w:hint="eastAsia"/>
                <w:color w:val="auto"/>
                <w:kern w:val="0"/>
              </w:rPr>
              <w:t>本项目</w:t>
            </w:r>
            <w:r>
              <w:rPr>
                <w:color w:val="auto"/>
                <w:kern w:val="0"/>
              </w:rPr>
              <w:t>废水去除效果较好，能做到达标排放，目前项目所在地污水管网已经铺设到位。因此，从工程角度上，项目生活污水具备接管可行性。</w:t>
            </w:r>
          </w:p>
          <w:p w14:paraId="24AD81D2">
            <w:pPr>
              <w:adjustRightInd w:val="0"/>
              <w:snapToGrid w:val="0"/>
              <w:spacing w:line="360" w:lineRule="auto"/>
              <w:ind w:firstLine="422" w:firstLineChars="200"/>
              <w:rPr>
                <w:b/>
                <w:bCs/>
                <w:color w:val="auto"/>
                <w:kern w:val="0"/>
              </w:rPr>
            </w:pPr>
            <w:r>
              <w:rPr>
                <w:rFonts w:hint="eastAsia"/>
                <w:b/>
                <w:bCs/>
                <w:color w:val="auto"/>
                <w:kern w:val="0"/>
              </w:rPr>
              <w:t>2）</w:t>
            </w:r>
            <w:r>
              <w:rPr>
                <w:b/>
                <w:bCs/>
                <w:color w:val="auto"/>
                <w:kern w:val="0"/>
              </w:rPr>
              <w:t>污水处理厂处理负荷可行性分析</w:t>
            </w:r>
          </w:p>
          <w:p w14:paraId="423427D7">
            <w:pPr>
              <w:adjustRightInd w:val="0"/>
              <w:snapToGrid w:val="0"/>
              <w:spacing w:line="360" w:lineRule="auto"/>
              <w:ind w:firstLine="420" w:firstLineChars="200"/>
              <w:rPr>
                <w:color w:val="auto"/>
                <w:kern w:val="0"/>
              </w:rPr>
            </w:pPr>
            <w:r>
              <w:rPr>
                <w:rFonts w:hint="eastAsia"/>
                <w:color w:val="auto"/>
                <w:kern w:val="0"/>
              </w:rPr>
              <w:t>常州金坛区第二污水处理有限公司</w:t>
            </w:r>
            <w:r>
              <w:rPr>
                <w:color w:val="auto"/>
                <w:kern w:val="0"/>
              </w:rPr>
              <w:t>一期建设规模2万m</w:t>
            </w:r>
            <w:r>
              <w:rPr>
                <w:color w:val="auto"/>
                <w:kern w:val="0"/>
                <w:vertAlign w:val="superscript"/>
              </w:rPr>
              <w:t>3</w:t>
            </w:r>
            <w:r>
              <w:rPr>
                <w:color w:val="auto"/>
                <w:kern w:val="0"/>
              </w:rPr>
              <w:t>/d，于2005年底建成运营；二期2万m</w:t>
            </w:r>
            <w:r>
              <w:rPr>
                <w:color w:val="auto"/>
                <w:kern w:val="0"/>
                <w:vertAlign w:val="superscript"/>
              </w:rPr>
              <w:t>3</w:t>
            </w:r>
            <w:r>
              <w:rPr>
                <w:color w:val="auto"/>
                <w:kern w:val="0"/>
              </w:rPr>
              <w:t>/d，已于2009年底正式投入运营；三期2万m</w:t>
            </w:r>
            <w:r>
              <w:rPr>
                <w:color w:val="auto"/>
                <w:kern w:val="0"/>
                <w:vertAlign w:val="superscript"/>
              </w:rPr>
              <w:t>3</w:t>
            </w:r>
            <w:r>
              <w:rPr>
                <w:color w:val="auto"/>
                <w:kern w:val="0"/>
              </w:rPr>
              <w:t>/d，已于2014年4月8日取得原金坛市环保局的环评批复。目前</w:t>
            </w:r>
            <w:r>
              <w:rPr>
                <w:rFonts w:hint="eastAsia"/>
                <w:color w:val="auto"/>
                <w:kern w:val="0"/>
              </w:rPr>
              <w:t>常州金坛区第二污水处理有限公司</w:t>
            </w:r>
            <w:r>
              <w:rPr>
                <w:color w:val="auto"/>
                <w:kern w:val="0"/>
              </w:rPr>
              <w:t>处理能力已达6万m</w:t>
            </w:r>
            <w:r>
              <w:rPr>
                <w:color w:val="auto"/>
                <w:kern w:val="0"/>
                <w:vertAlign w:val="superscript"/>
              </w:rPr>
              <w:t>3</w:t>
            </w:r>
            <w:r>
              <w:rPr>
                <w:color w:val="auto"/>
                <w:kern w:val="0"/>
              </w:rPr>
              <w:t>/d，实际污水处理量为5.5万m</w:t>
            </w:r>
            <w:r>
              <w:rPr>
                <w:color w:val="auto"/>
                <w:kern w:val="0"/>
                <w:vertAlign w:val="superscript"/>
              </w:rPr>
              <w:t>3</w:t>
            </w:r>
            <w:r>
              <w:rPr>
                <w:color w:val="auto"/>
                <w:kern w:val="0"/>
              </w:rPr>
              <w:t>/d，尚有0.5万m</w:t>
            </w:r>
            <w:r>
              <w:rPr>
                <w:color w:val="auto"/>
                <w:kern w:val="0"/>
                <w:vertAlign w:val="superscript"/>
              </w:rPr>
              <w:t>3</w:t>
            </w:r>
            <w:r>
              <w:rPr>
                <w:color w:val="auto"/>
                <w:kern w:val="0"/>
              </w:rPr>
              <w:t>/d的余量，且规划建设规模为16万m</w:t>
            </w:r>
            <w:r>
              <w:rPr>
                <w:color w:val="auto"/>
                <w:kern w:val="0"/>
                <w:vertAlign w:val="superscript"/>
              </w:rPr>
              <w:t>3</w:t>
            </w:r>
            <w:r>
              <w:rPr>
                <w:color w:val="auto"/>
                <w:kern w:val="0"/>
              </w:rPr>
              <w:t>/d。</w:t>
            </w:r>
          </w:p>
          <w:p w14:paraId="5040E456">
            <w:pPr>
              <w:adjustRightInd w:val="0"/>
              <w:snapToGrid w:val="0"/>
              <w:spacing w:line="360" w:lineRule="auto"/>
              <w:ind w:firstLine="420" w:firstLineChars="200"/>
              <w:rPr>
                <w:color w:val="auto"/>
                <w:kern w:val="0"/>
              </w:rPr>
            </w:pPr>
            <w:r>
              <w:rPr>
                <w:rFonts w:hint="eastAsia"/>
                <w:color w:val="auto"/>
                <w:kern w:val="0"/>
              </w:rPr>
              <w:t>本</w:t>
            </w:r>
            <w:r>
              <w:rPr>
                <w:color w:val="auto"/>
                <w:kern w:val="0"/>
              </w:rPr>
              <w:t>项目建成后污水排放量为</w:t>
            </w:r>
            <w:r>
              <w:rPr>
                <w:rFonts w:hint="eastAsia"/>
                <w:color w:val="auto"/>
                <w:kern w:val="0"/>
                <w:lang w:val="en-US" w:eastAsia="zh-CN"/>
              </w:rPr>
              <w:t>2.4</w:t>
            </w:r>
            <w:r>
              <w:rPr>
                <w:color w:val="auto"/>
                <w:kern w:val="0"/>
              </w:rPr>
              <w:t>m</w:t>
            </w:r>
            <w:r>
              <w:rPr>
                <w:color w:val="auto"/>
                <w:kern w:val="0"/>
                <w:vertAlign w:val="superscript"/>
              </w:rPr>
              <w:t>3</w:t>
            </w:r>
            <w:r>
              <w:rPr>
                <w:color w:val="auto"/>
                <w:kern w:val="0"/>
              </w:rPr>
              <w:t>/d，占</w:t>
            </w:r>
            <w:r>
              <w:rPr>
                <w:rFonts w:hint="eastAsia"/>
                <w:color w:val="auto"/>
                <w:kern w:val="0"/>
              </w:rPr>
              <w:t>常州金坛区第二污水处理有限公司</w:t>
            </w:r>
            <w:r>
              <w:rPr>
                <w:color w:val="auto"/>
                <w:kern w:val="0"/>
              </w:rPr>
              <w:t>处理余量的比例较小，仅</w:t>
            </w:r>
            <w:r>
              <w:rPr>
                <w:rFonts w:hint="eastAsia"/>
                <w:color w:val="auto"/>
                <w:kern w:val="0"/>
              </w:rPr>
              <w:t>0.</w:t>
            </w:r>
            <w:r>
              <w:rPr>
                <w:rFonts w:hint="eastAsia"/>
                <w:color w:val="auto"/>
                <w:kern w:val="0"/>
                <w:lang w:val="en-US" w:eastAsia="zh-CN"/>
              </w:rPr>
              <w:t>048</w:t>
            </w:r>
            <w:r>
              <w:rPr>
                <w:color w:val="auto"/>
                <w:kern w:val="0"/>
              </w:rPr>
              <w:t>%。因此，从水量分析，</w:t>
            </w:r>
            <w:r>
              <w:rPr>
                <w:rFonts w:hint="eastAsia"/>
                <w:color w:val="auto"/>
                <w:kern w:val="0"/>
              </w:rPr>
              <w:t>常州金坛区第二污水处理有限公司</w:t>
            </w:r>
            <w:r>
              <w:rPr>
                <w:color w:val="auto"/>
                <w:kern w:val="0"/>
              </w:rPr>
              <w:t>接纳</w:t>
            </w:r>
            <w:r>
              <w:rPr>
                <w:rFonts w:hint="eastAsia"/>
                <w:color w:val="auto"/>
                <w:kern w:val="0"/>
              </w:rPr>
              <w:t>本项目</w:t>
            </w:r>
            <w:r>
              <w:rPr>
                <w:color w:val="auto"/>
                <w:kern w:val="0"/>
              </w:rPr>
              <w:t>废水是可行的。</w:t>
            </w:r>
          </w:p>
          <w:p w14:paraId="70A5AF00">
            <w:pPr>
              <w:pStyle w:val="27"/>
              <w:spacing w:line="360" w:lineRule="auto"/>
              <w:ind w:left="0" w:leftChars="0" w:right="0" w:rightChars="0" w:firstLine="422"/>
              <w:rPr>
                <w:b/>
                <w:bCs/>
                <w:color w:val="auto"/>
                <w:kern w:val="0"/>
                <w:sz w:val="21"/>
              </w:rPr>
            </w:pPr>
            <w:r>
              <w:rPr>
                <w:rFonts w:hint="eastAsia"/>
                <w:b/>
                <w:bCs/>
                <w:color w:val="auto"/>
                <w:kern w:val="0"/>
                <w:sz w:val="21"/>
              </w:rPr>
              <w:t>3）</w:t>
            </w:r>
            <w:r>
              <w:rPr>
                <w:b/>
                <w:bCs/>
                <w:color w:val="auto"/>
                <w:kern w:val="0"/>
                <w:sz w:val="21"/>
              </w:rPr>
              <w:t>污水处理厂处理工艺可行性分析</w:t>
            </w:r>
          </w:p>
          <w:p w14:paraId="12B4FD41">
            <w:pPr>
              <w:pStyle w:val="27"/>
              <w:spacing w:line="360" w:lineRule="auto"/>
              <w:ind w:left="0" w:leftChars="0" w:right="0" w:rightChars="0" w:firstLine="420"/>
              <w:rPr>
                <w:color w:val="auto"/>
                <w:kern w:val="0"/>
                <w:sz w:val="21"/>
              </w:rPr>
            </w:pPr>
            <w:r>
              <w:rPr>
                <w:rFonts w:hint="eastAsia"/>
                <w:color w:val="auto"/>
                <w:kern w:val="0"/>
                <w:sz w:val="21"/>
              </w:rPr>
              <w:t>常州金坛区第二污水处理有限公司</w:t>
            </w:r>
            <w:r>
              <w:rPr>
                <w:color w:val="auto"/>
                <w:kern w:val="0"/>
                <w:sz w:val="21"/>
              </w:rPr>
              <w:t>采用A</w:t>
            </w:r>
            <w:r>
              <w:rPr>
                <w:color w:val="auto"/>
                <w:kern w:val="0"/>
                <w:sz w:val="21"/>
                <w:vertAlign w:val="superscript"/>
              </w:rPr>
              <w:t>2</w:t>
            </w:r>
            <w:r>
              <w:rPr>
                <w:color w:val="auto"/>
                <w:kern w:val="0"/>
                <w:sz w:val="21"/>
              </w:rPr>
              <w:t>/O工艺，把除磷、脱氮和降解有机物三个生化过程结合起来，在厌氧段和缺氧段为除磷和脱氮提供各自不同的反应条件。污水处理厂尾水执行《城镇污水处理厂污染物排放标准》（GB18918-2002）一级A标准及《太湖地区城镇污水处理厂及重点工业行业重要水污染物排放限值》（DB32/1072-2018）标准，排入尧塘河。具体工艺流程见下图</w:t>
            </w:r>
            <w:r>
              <w:rPr>
                <w:rFonts w:hint="eastAsia"/>
                <w:color w:val="auto"/>
                <w:kern w:val="0"/>
                <w:sz w:val="21"/>
              </w:rPr>
              <w:t>：</w:t>
            </w:r>
          </w:p>
          <w:p w14:paraId="5F0A1A13">
            <w:pPr>
              <w:adjustRightInd w:val="0"/>
              <w:snapToGrid w:val="0"/>
              <w:jc w:val="center"/>
              <w:rPr>
                <w:color w:val="auto"/>
                <w:kern w:val="0"/>
              </w:rPr>
            </w:pPr>
            <w:r>
              <w:rPr>
                <w:color w:val="auto"/>
                <w:kern w:val="0"/>
              </w:rPr>
              <w:object>
                <v:shape id="_x0000_i1032" o:spt="75" type="#_x0000_t75" style="height:136.5pt;width:407.25pt;" o:ole="t" filled="f" o:preferrelative="t" stroked="f" coordsize="21600,21600">
                  <v:path/>
                  <v:fill on="f" focussize="0,0"/>
                  <v:stroke on="f" joinstyle="miter"/>
                  <v:imagedata r:id="rId26" o:title=""/>
                  <o:lock v:ext="edit" aspectratio="t"/>
                  <w10:wrap type="none"/>
                  <w10:anchorlock/>
                </v:shape>
                <o:OLEObject Type="Embed" ProgID="Visio.Drawing.11" ShapeID="_x0000_i1032" DrawAspect="Content" ObjectID="_1468075732" r:id="rId25">
                  <o:LockedField>false</o:LockedField>
                </o:OLEObject>
              </w:object>
            </w:r>
          </w:p>
          <w:p w14:paraId="5F936096">
            <w:pPr>
              <w:snapToGrid w:val="0"/>
              <w:spacing w:line="360" w:lineRule="auto"/>
              <w:jc w:val="center"/>
              <w:rPr>
                <w:b/>
                <w:color w:val="auto"/>
                <w:kern w:val="0"/>
              </w:rPr>
            </w:pPr>
            <w:r>
              <w:rPr>
                <w:b/>
                <w:color w:val="auto"/>
                <w:kern w:val="0"/>
              </w:rPr>
              <w:t>图4-</w:t>
            </w:r>
            <w:r>
              <w:rPr>
                <w:rFonts w:hint="eastAsia"/>
                <w:b/>
                <w:color w:val="auto"/>
                <w:kern w:val="0"/>
                <w:lang w:val="en-US" w:eastAsia="zh-CN"/>
              </w:rPr>
              <w:t>2</w:t>
            </w:r>
            <w:r>
              <w:rPr>
                <w:rFonts w:hint="eastAsia"/>
                <w:b/>
                <w:color w:val="auto"/>
                <w:kern w:val="0"/>
              </w:rPr>
              <w:t xml:space="preserve">   </w:t>
            </w:r>
            <w:r>
              <w:rPr>
                <w:rFonts w:hint="eastAsia"/>
                <w:b/>
                <w:bCs/>
                <w:color w:val="auto"/>
                <w:kern w:val="0"/>
              </w:rPr>
              <w:t>常州金坛区第二污水处理有限公司</w:t>
            </w:r>
            <w:r>
              <w:rPr>
                <w:b/>
                <w:color w:val="auto"/>
                <w:kern w:val="0"/>
              </w:rPr>
              <w:t>处理工艺流程图</w:t>
            </w:r>
          </w:p>
          <w:p w14:paraId="5A279E29">
            <w:pPr>
              <w:pStyle w:val="27"/>
              <w:spacing w:line="360" w:lineRule="auto"/>
              <w:ind w:left="0" w:leftChars="0" w:right="0" w:rightChars="0" w:firstLine="420"/>
              <w:rPr>
                <w:color w:val="auto"/>
                <w:kern w:val="0"/>
                <w:sz w:val="21"/>
              </w:rPr>
            </w:pPr>
            <w:r>
              <w:rPr>
                <w:color w:val="auto"/>
                <w:kern w:val="0"/>
                <w:sz w:val="21"/>
              </w:rPr>
              <w:t>污水处理工艺简述</w:t>
            </w:r>
            <w:r>
              <w:rPr>
                <w:rFonts w:hint="eastAsia"/>
                <w:color w:val="auto"/>
                <w:kern w:val="0"/>
                <w:sz w:val="21"/>
              </w:rPr>
              <w:t>：</w:t>
            </w:r>
            <w:r>
              <w:rPr>
                <w:color w:val="auto"/>
                <w:kern w:val="0"/>
                <w:sz w:val="21"/>
              </w:rPr>
              <w:t>废水经过粗格栅隔去除尺寸较大的杂质由进水泵房的污水泵将污水经细格栅打入旋流沉砂池。污水经过沉砂后进入A</w:t>
            </w:r>
            <w:r>
              <w:rPr>
                <w:color w:val="auto"/>
                <w:kern w:val="0"/>
                <w:sz w:val="21"/>
                <w:vertAlign w:val="superscript"/>
              </w:rPr>
              <w:t>2</w:t>
            </w:r>
            <w:r>
              <w:rPr>
                <w:color w:val="auto"/>
                <w:kern w:val="0"/>
                <w:sz w:val="21"/>
              </w:rPr>
              <w:t>/O反应池进行生化处理，通过厌氧、缺氧和好氧交替变化的环境完成除磷脱氮，处理后废水经加氯接触消毒后排放。A</w:t>
            </w:r>
            <w:r>
              <w:rPr>
                <w:color w:val="auto"/>
                <w:kern w:val="0"/>
                <w:sz w:val="21"/>
                <w:vertAlign w:val="superscript"/>
              </w:rPr>
              <w:t>2</w:t>
            </w:r>
            <w:r>
              <w:rPr>
                <w:color w:val="auto"/>
                <w:kern w:val="0"/>
                <w:sz w:val="21"/>
              </w:rPr>
              <w:t>/O反应池剩余污泥从沉淀区排出，进入污泥均质池（回流污泥泵房），然后进入污泥浓缩脱水车间采用板框压滤机压成泥饼外运。污泥处理产生的废水返回到废水处理工艺流程，尾水处理达标后排入尧塘河。</w:t>
            </w:r>
          </w:p>
          <w:p w14:paraId="13B4DE90">
            <w:pPr>
              <w:pStyle w:val="27"/>
              <w:spacing w:line="360" w:lineRule="auto"/>
              <w:ind w:left="0" w:leftChars="0" w:right="0" w:rightChars="0" w:firstLine="420"/>
              <w:rPr>
                <w:color w:val="auto"/>
                <w:kern w:val="0"/>
                <w:sz w:val="21"/>
              </w:rPr>
            </w:pPr>
            <w:r>
              <w:rPr>
                <w:rFonts w:hint="eastAsia"/>
                <w:color w:val="auto"/>
                <w:kern w:val="0"/>
                <w:sz w:val="21"/>
              </w:rPr>
              <w:t>本项目</w:t>
            </w:r>
            <w:r>
              <w:rPr>
                <w:color w:val="auto"/>
                <w:kern w:val="0"/>
                <w:sz w:val="21"/>
              </w:rPr>
              <w:t>废水主要污染物为COD、SS、NH</w:t>
            </w:r>
            <w:r>
              <w:rPr>
                <w:color w:val="auto"/>
                <w:kern w:val="0"/>
                <w:sz w:val="21"/>
                <w:vertAlign w:val="subscript"/>
              </w:rPr>
              <w:t>3</w:t>
            </w:r>
            <w:r>
              <w:rPr>
                <w:color w:val="auto"/>
                <w:kern w:val="0"/>
                <w:sz w:val="21"/>
              </w:rPr>
              <w:t>-N、TP和TN，水质简单，可生化性好，从废水排放达标分析结果可知，废水水质满足</w:t>
            </w:r>
            <w:r>
              <w:rPr>
                <w:rFonts w:hint="eastAsia"/>
                <w:color w:val="auto"/>
                <w:kern w:val="0"/>
                <w:sz w:val="21"/>
              </w:rPr>
              <w:t>常州金坛区第二污水处理有限公司</w:t>
            </w:r>
            <w:r>
              <w:rPr>
                <w:color w:val="auto"/>
                <w:kern w:val="0"/>
                <w:sz w:val="21"/>
              </w:rPr>
              <w:t>接管水质要求。即从处理工艺上接管可行。此外，</w:t>
            </w:r>
            <w:r>
              <w:rPr>
                <w:rFonts w:hint="eastAsia"/>
                <w:color w:val="auto"/>
                <w:kern w:val="0"/>
                <w:sz w:val="21"/>
              </w:rPr>
              <w:t>本项目</w:t>
            </w:r>
            <w:r>
              <w:rPr>
                <w:color w:val="auto"/>
                <w:kern w:val="0"/>
                <w:sz w:val="21"/>
              </w:rPr>
              <w:t>外排废水中</w:t>
            </w:r>
            <w:r>
              <w:rPr>
                <w:rFonts w:hint="eastAsia"/>
                <w:color w:val="auto"/>
                <w:kern w:val="0"/>
                <w:sz w:val="21"/>
              </w:rPr>
              <w:t>仅为生活污水</w:t>
            </w:r>
            <w:r>
              <w:rPr>
                <w:color w:val="auto"/>
                <w:kern w:val="0"/>
                <w:sz w:val="21"/>
              </w:rPr>
              <w:t>，</w:t>
            </w:r>
            <w:r>
              <w:rPr>
                <w:rFonts w:hint="eastAsia"/>
                <w:color w:val="auto"/>
                <w:kern w:val="0"/>
                <w:sz w:val="21"/>
              </w:rPr>
              <w:t>无生产废水外排，</w:t>
            </w:r>
            <w:r>
              <w:rPr>
                <w:color w:val="auto"/>
                <w:kern w:val="0"/>
                <w:sz w:val="21"/>
              </w:rPr>
              <w:t>满足《江苏省太湖水污染防治条例》的有关规定。</w:t>
            </w:r>
          </w:p>
          <w:p w14:paraId="17F0468D">
            <w:pPr>
              <w:pStyle w:val="27"/>
              <w:spacing w:line="360" w:lineRule="auto"/>
              <w:ind w:left="0" w:leftChars="0" w:right="0" w:rightChars="0" w:firstLine="422"/>
              <w:rPr>
                <w:b/>
                <w:bCs/>
                <w:color w:val="auto"/>
                <w:kern w:val="0"/>
                <w:sz w:val="21"/>
              </w:rPr>
            </w:pPr>
            <w:r>
              <w:rPr>
                <w:rFonts w:hint="eastAsia"/>
                <w:b/>
                <w:bCs/>
                <w:color w:val="auto"/>
                <w:kern w:val="0"/>
                <w:sz w:val="21"/>
                <w:lang w:val="en-US" w:eastAsia="zh-CN"/>
              </w:rPr>
              <w:t>4</w:t>
            </w:r>
            <w:r>
              <w:rPr>
                <w:rFonts w:hint="eastAsia"/>
                <w:b/>
                <w:bCs/>
                <w:color w:val="auto"/>
                <w:kern w:val="0"/>
                <w:sz w:val="21"/>
              </w:rPr>
              <w:t>）</w:t>
            </w:r>
            <w:r>
              <w:rPr>
                <w:b/>
                <w:bCs/>
                <w:color w:val="auto"/>
                <w:kern w:val="0"/>
                <w:sz w:val="21"/>
              </w:rPr>
              <w:t>管网配套情况</w:t>
            </w:r>
          </w:p>
          <w:p w14:paraId="7CB96A73">
            <w:pPr>
              <w:pStyle w:val="27"/>
              <w:spacing w:line="360" w:lineRule="auto"/>
              <w:ind w:left="0" w:leftChars="0" w:right="0" w:rightChars="0" w:firstLine="420"/>
              <w:rPr>
                <w:color w:val="auto"/>
                <w:kern w:val="0"/>
                <w:sz w:val="21"/>
              </w:rPr>
            </w:pPr>
            <w:r>
              <w:rPr>
                <w:rFonts w:hint="eastAsia"/>
                <w:color w:val="auto"/>
                <w:kern w:val="0"/>
                <w:sz w:val="21"/>
              </w:rPr>
              <w:t>常州金坛区第二污水处理有限公司</w:t>
            </w:r>
            <w:r>
              <w:rPr>
                <w:color w:val="auto"/>
                <w:kern w:val="0"/>
                <w:sz w:val="21"/>
              </w:rPr>
              <w:t>位于常州市金坛区汇贤北路与新常金一级公路交汇，主要处理</w:t>
            </w:r>
            <w:r>
              <w:rPr>
                <w:rFonts w:hint="eastAsia"/>
                <w:color w:val="auto"/>
                <w:kern w:val="0"/>
                <w:sz w:val="21"/>
              </w:rPr>
              <w:t>开发区</w:t>
            </w:r>
            <w:r>
              <w:rPr>
                <w:color w:val="auto"/>
                <w:kern w:val="0"/>
                <w:sz w:val="21"/>
              </w:rPr>
              <w:t>内各企业生产废水、生活污水及镇区生活污水。</w:t>
            </w:r>
            <w:r>
              <w:rPr>
                <w:rFonts w:hint="eastAsia"/>
                <w:color w:val="auto"/>
                <w:kern w:val="0"/>
                <w:sz w:val="21"/>
              </w:rPr>
              <w:t>本项目</w:t>
            </w:r>
            <w:r>
              <w:rPr>
                <w:color w:val="auto"/>
                <w:kern w:val="0"/>
                <w:sz w:val="21"/>
              </w:rPr>
              <w:t>所在地属于该污水处理厂的服务范围内，目前项目所在地的污水管网已经铺设到位，</w:t>
            </w:r>
            <w:r>
              <w:rPr>
                <w:rFonts w:hint="eastAsia"/>
                <w:color w:val="auto"/>
                <w:kern w:val="0"/>
                <w:sz w:val="21"/>
              </w:rPr>
              <w:t>本项目</w:t>
            </w:r>
            <w:r>
              <w:rPr>
                <w:color w:val="auto"/>
                <w:kern w:val="0"/>
                <w:sz w:val="21"/>
              </w:rPr>
              <w:t>废水可由市政污水管网接入，最终纳入</w:t>
            </w:r>
            <w:r>
              <w:rPr>
                <w:rFonts w:hint="eastAsia"/>
                <w:color w:val="auto"/>
                <w:kern w:val="0"/>
                <w:sz w:val="21"/>
              </w:rPr>
              <w:t>常州金坛区第二污水处理有限公司</w:t>
            </w:r>
            <w:r>
              <w:rPr>
                <w:color w:val="auto"/>
                <w:kern w:val="0"/>
                <w:sz w:val="21"/>
              </w:rPr>
              <w:t>集中处理。</w:t>
            </w:r>
          </w:p>
          <w:p w14:paraId="199B837C">
            <w:pPr>
              <w:pStyle w:val="5"/>
              <w:adjustRightInd w:val="0"/>
              <w:snapToGrid w:val="0"/>
              <w:spacing w:line="360" w:lineRule="auto"/>
              <w:ind w:firstLineChars="200"/>
              <w:rPr>
                <w:color w:val="auto"/>
                <w:kern w:val="0"/>
                <w:szCs w:val="21"/>
              </w:rPr>
            </w:pPr>
            <w:r>
              <w:rPr>
                <w:color w:val="auto"/>
                <w:kern w:val="0"/>
                <w:szCs w:val="21"/>
              </w:rPr>
              <w:t>根据以上分析，综合考虑污水管网铺设情况、污水处理厂接纳能力及水质浓度达标情况等因素，</w:t>
            </w:r>
            <w:r>
              <w:rPr>
                <w:rFonts w:hint="eastAsia"/>
                <w:color w:val="auto"/>
                <w:kern w:val="0"/>
                <w:szCs w:val="21"/>
              </w:rPr>
              <w:t>本项目</w:t>
            </w:r>
            <w:r>
              <w:rPr>
                <w:color w:val="auto"/>
                <w:kern w:val="0"/>
                <w:szCs w:val="21"/>
              </w:rPr>
              <w:t>污水接入</w:t>
            </w:r>
            <w:r>
              <w:rPr>
                <w:rFonts w:hint="eastAsia"/>
                <w:color w:val="auto"/>
                <w:kern w:val="0"/>
                <w:szCs w:val="21"/>
              </w:rPr>
              <w:t>常州金坛区第二污水处理有限公司</w:t>
            </w:r>
            <w:r>
              <w:rPr>
                <w:color w:val="auto"/>
                <w:kern w:val="0"/>
                <w:szCs w:val="21"/>
              </w:rPr>
              <w:t>集中处理是可行的。</w:t>
            </w:r>
          </w:p>
          <w:p w14:paraId="4E59E642">
            <w:pPr>
              <w:pStyle w:val="5"/>
              <w:adjustRightInd w:val="0"/>
              <w:snapToGrid w:val="0"/>
              <w:spacing w:line="360" w:lineRule="auto"/>
              <w:ind w:firstLine="422" w:firstLineChars="200"/>
              <w:rPr>
                <w:b/>
                <w:bCs/>
                <w:color w:val="auto"/>
                <w:kern w:val="0"/>
                <w:szCs w:val="21"/>
              </w:rPr>
            </w:pPr>
            <w:r>
              <w:rPr>
                <w:rFonts w:hint="eastAsia"/>
                <w:b/>
                <w:bCs/>
                <w:color w:val="auto"/>
                <w:kern w:val="0"/>
                <w:szCs w:val="21"/>
              </w:rPr>
              <w:t>（4）</w:t>
            </w:r>
            <w:r>
              <w:rPr>
                <w:b/>
                <w:bCs/>
                <w:color w:val="auto"/>
                <w:kern w:val="0"/>
                <w:szCs w:val="21"/>
              </w:rPr>
              <w:t>环境监测</w:t>
            </w:r>
          </w:p>
          <w:p w14:paraId="1D75C70C">
            <w:pPr>
              <w:pStyle w:val="5"/>
              <w:adjustRightInd w:val="0"/>
              <w:snapToGrid w:val="0"/>
              <w:spacing w:line="360" w:lineRule="auto"/>
              <w:ind w:firstLineChars="200"/>
              <w:rPr>
                <w:color w:val="auto"/>
                <w:kern w:val="0"/>
                <w:szCs w:val="21"/>
              </w:rPr>
            </w:pPr>
            <w:r>
              <w:rPr>
                <w:color w:val="auto"/>
                <w:kern w:val="0"/>
                <w:szCs w:val="21"/>
              </w:rPr>
              <w:t>根据</w:t>
            </w:r>
            <w:r>
              <w:rPr>
                <w:rFonts w:hint="eastAsia"/>
                <w:bCs/>
                <w:color w:val="auto"/>
                <w:kern w:val="0"/>
                <w:szCs w:val="21"/>
              </w:rPr>
              <w:t>《排污单位自行监测技术指南 总则》</w:t>
            </w:r>
            <w:r>
              <w:rPr>
                <w:rFonts w:hint="eastAsia"/>
                <w:bCs/>
                <w:color w:val="auto"/>
                <w:kern w:val="0"/>
                <w:szCs w:val="21"/>
              </w:rPr>
              <w:fldChar w:fldCharType="begin"/>
            </w:r>
            <w:r>
              <w:rPr>
                <w:bCs/>
                <w:color w:val="auto"/>
                <w:kern w:val="0"/>
                <w:szCs w:val="21"/>
              </w:rPr>
              <w:instrText xml:space="preserve"> HYPERLINK "http://www.mee.gov.cn/ywgz/fgbz/bz/bzwb/jcffbz/202001/W020200113417476489912.pdf" </w:instrText>
            </w:r>
            <w:r>
              <w:rPr>
                <w:rFonts w:hint="eastAsia"/>
                <w:bCs/>
                <w:color w:val="auto"/>
                <w:kern w:val="0"/>
                <w:szCs w:val="21"/>
              </w:rPr>
              <w:fldChar w:fldCharType="separate"/>
            </w:r>
            <w:r>
              <w:rPr>
                <w:rFonts w:hint="eastAsia"/>
                <w:bCs/>
                <w:color w:val="auto"/>
                <w:kern w:val="0"/>
                <w:szCs w:val="21"/>
              </w:rPr>
              <w:t>（HJ819-2017）</w:t>
            </w:r>
            <w:r>
              <w:rPr>
                <w:rFonts w:hint="eastAsia"/>
                <w:bCs/>
                <w:color w:val="auto"/>
                <w:kern w:val="0"/>
                <w:szCs w:val="21"/>
              </w:rPr>
              <w:fldChar w:fldCharType="end"/>
            </w:r>
            <w:r>
              <w:rPr>
                <w:color w:val="auto"/>
                <w:kern w:val="0"/>
                <w:szCs w:val="21"/>
              </w:rPr>
              <w:t>中相关要求，建设单位废水例行监测计划详见下表。</w:t>
            </w:r>
          </w:p>
          <w:p w14:paraId="7A242C13">
            <w:pPr>
              <w:pStyle w:val="5"/>
              <w:snapToGrid w:val="0"/>
              <w:ind w:firstLine="0"/>
              <w:jc w:val="center"/>
              <w:rPr>
                <w:b/>
                <w:color w:val="auto"/>
                <w:kern w:val="0"/>
                <w:szCs w:val="21"/>
              </w:rPr>
            </w:pPr>
            <w:r>
              <w:rPr>
                <w:b/>
                <w:color w:val="auto"/>
                <w:kern w:val="0"/>
                <w:szCs w:val="21"/>
              </w:rPr>
              <w:t>表4-</w:t>
            </w:r>
            <w:r>
              <w:rPr>
                <w:rFonts w:hint="eastAsia"/>
                <w:b/>
                <w:color w:val="auto"/>
                <w:kern w:val="0"/>
                <w:szCs w:val="21"/>
                <w:lang w:val="en-US" w:eastAsia="zh-CN"/>
              </w:rPr>
              <w:t>17</w:t>
            </w:r>
            <w:r>
              <w:rPr>
                <w:rFonts w:hint="eastAsia"/>
                <w:b/>
                <w:color w:val="auto"/>
                <w:kern w:val="0"/>
                <w:szCs w:val="21"/>
              </w:rPr>
              <w:t xml:space="preserve">   </w:t>
            </w:r>
            <w:r>
              <w:rPr>
                <w:b/>
                <w:color w:val="auto"/>
                <w:kern w:val="0"/>
                <w:szCs w:val="21"/>
              </w:rPr>
              <w:t>污染源监测计划</w:t>
            </w:r>
          </w:p>
          <w:tbl>
            <w:tblPr>
              <w:tblStyle w:val="59"/>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023"/>
              <w:gridCol w:w="1023"/>
              <w:gridCol w:w="1130"/>
              <w:gridCol w:w="1642"/>
              <w:gridCol w:w="2940"/>
              <w:gridCol w:w="1101"/>
            </w:tblGrid>
            <w:tr w14:paraId="3CCE02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77" w:type="pct"/>
                  <w:vAlign w:val="center"/>
                </w:tcPr>
                <w:p w14:paraId="6819EE7A">
                  <w:pPr>
                    <w:snapToGrid w:val="0"/>
                    <w:jc w:val="center"/>
                    <w:rPr>
                      <w:b/>
                      <w:color w:val="auto"/>
                      <w:kern w:val="0"/>
                    </w:rPr>
                  </w:pPr>
                  <w:r>
                    <w:rPr>
                      <w:b/>
                      <w:color w:val="auto"/>
                      <w:kern w:val="0"/>
                    </w:rPr>
                    <w:t>类型</w:t>
                  </w:r>
                </w:p>
              </w:tc>
              <w:tc>
                <w:tcPr>
                  <w:tcW w:w="577" w:type="pct"/>
                  <w:vAlign w:val="center"/>
                </w:tcPr>
                <w:p w14:paraId="74BF4118">
                  <w:pPr>
                    <w:snapToGrid w:val="0"/>
                    <w:jc w:val="center"/>
                    <w:rPr>
                      <w:b/>
                      <w:color w:val="auto"/>
                      <w:kern w:val="0"/>
                    </w:rPr>
                  </w:pPr>
                  <w:r>
                    <w:rPr>
                      <w:b/>
                      <w:color w:val="auto"/>
                      <w:kern w:val="0"/>
                    </w:rPr>
                    <w:t>监测项目</w:t>
                  </w:r>
                </w:p>
              </w:tc>
              <w:tc>
                <w:tcPr>
                  <w:tcW w:w="637" w:type="pct"/>
                  <w:vAlign w:val="center"/>
                </w:tcPr>
                <w:p w14:paraId="0C9BD7DB">
                  <w:pPr>
                    <w:snapToGrid w:val="0"/>
                    <w:jc w:val="center"/>
                    <w:rPr>
                      <w:b/>
                      <w:color w:val="auto"/>
                      <w:kern w:val="0"/>
                    </w:rPr>
                  </w:pPr>
                  <w:r>
                    <w:rPr>
                      <w:b/>
                      <w:color w:val="auto"/>
                      <w:kern w:val="0"/>
                    </w:rPr>
                    <w:t>监测位置</w:t>
                  </w:r>
                </w:p>
              </w:tc>
              <w:tc>
                <w:tcPr>
                  <w:tcW w:w="926" w:type="pct"/>
                  <w:vAlign w:val="center"/>
                </w:tcPr>
                <w:p w14:paraId="1F2BE7E2">
                  <w:pPr>
                    <w:snapToGrid w:val="0"/>
                    <w:jc w:val="center"/>
                    <w:rPr>
                      <w:b/>
                      <w:color w:val="auto"/>
                      <w:kern w:val="0"/>
                    </w:rPr>
                  </w:pPr>
                  <w:r>
                    <w:rPr>
                      <w:b/>
                      <w:color w:val="auto"/>
                      <w:kern w:val="0"/>
                    </w:rPr>
                    <w:t>检测点位</w:t>
                  </w:r>
                </w:p>
              </w:tc>
              <w:tc>
                <w:tcPr>
                  <w:tcW w:w="1658" w:type="pct"/>
                  <w:vAlign w:val="center"/>
                </w:tcPr>
                <w:p w14:paraId="6A0007E6">
                  <w:pPr>
                    <w:snapToGrid w:val="0"/>
                    <w:jc w:val="center"/>
                    <w:rPr>
                      <w:b/>
                      <w:color w:val="auto"/>
                      <w:kern w:val="0"/>
                    </w:rPr>
                  </w:pPr>
                  <w:r>
                    <w:rPr>
                      <w:b/>
                      <w:color w:val="auto"/>
                      <w:kern w:val="0"/>
                    </w:rPr>
                    <w:t>监测因子</w:t>
                  </w:r>
                </w:p>
              </w:tc>
              <w:tc>
                <w:tcPr>
                  <w:tcW w:w="621" w:type="pct"/>
                  <w:vAlign w:val="center"/>
                </w:tcPr>
                <w:p w14:paraId="4CB70751">
                  <w:pPr>
                    <w:snapToGrid w:val="0"/>
                    <w:jc w:val="center"/>
                    <w:rPr>
                      <w:b/>
                      <w:color w:val="auto"/>
                      <w:kern w:val="0"/>
                    </w:rPr>
                  </w:pPr>
                  <w:r>
                    <w:rPr>
                      <w:b/>
                      <w:color w:val="auto"/>
                      <w:kern w:val="0"/>
                    </w:rPr>
                    <w:t>监测频率</w:t>
                  </w:r>
                </w:p>
              </w:tc>
            </w:tr>
            <w:tr w14:paraId="0AA062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77" w:type="pct"/>
                  <w:vAlign w:val="center"/>
                </w:tcPr>
                <w:p w14:paraId="4FF1C327">
                  <w:pPr>
                    <w:snapToGrid w:val="0"/>
                    <w:jc w:val="center"/>
                    <w:rPr>
                      <w:color w:val="auto"/>
                      <w:kern w:val="0"/>
                    </w:rPr>
                  </w:pPr>
                  <w:r>
                    <w:rPr>
                      <w:color w:val="auto"/>
                      <w:kern w:val="0"/>
                    </w:rPr>
                    <w:t>例行监测计划</w:t>
                  </w:r>
                </w:p>
              </w:tc>
              <w:tc>
                <w:tcPr>
                  <w:tcW w:w="577" w:type="pct"/>
                  <w:vAlign w:val="center"/>
                </w:tcPr>
                <w:p w14:paraId="15F876C8">
                  <w:pPr>
                    <w:snapToGrid w:val="0"/>
                    <w:jc w:val="center"/>
                    <w:rPr>
                      <w:color w:val="auto"/>
                      <w:kern w:val="0"/>
                    </w:rPr>
                  </w:pPr>
                  <w:r>
                    <w:rPr>
                      <w:color w:val="auto"/>
                      <w:kern w:val="0"/>
                    </w:rPr>
                    <w:t>废水监测</w:t>
                  </w:r>
                </w:p>
              </w:tc>
              <w:tc>
                <w:tcPr>
                  <w:tcW w:w="637" w:type="pct"/>
                  <w:vAlign w:val="center"/>
                </w:tcPr>
                <w:p w14:paraId="4827EC97">
                  <w:pPr>
                    <w:snapToGrid w:val="0"/>
                    <w:jc w:val="center"/>
                    <w:rPr>
                      <w:color w:val="auto"/>
                      <w:kern w:val="0"/>
                    </w:rPr>
                  </w:pPr>
                  <w:r>
                    <w:rPr>
                      <w:rFonts w:hint="eastAsia"/>
                      <w:color w:val="auto"/>
                      <w:kern w:val="0"/>
                    </w:rPr>
                    <w:t>污水</w:t>
                  </w:r>
                </w:p>
              </w:tc>
              <w:tc>
                <w:tcPr>
                  <w:tcW w:w="926" w:type="pct"/>
                  <w:vAlign w:val="center"/>
                </w:tcPr>
                <w:p w14:paraId="663A13DD">
                  <w:pPr>
                    <w:snapToGrid w:val="0"/>
                    <w:jc w:val="center"/>
                    <w:rPr>
                      <w:color w:val="auto"/>
                      <w:kern w:val="0"/>
                    </w:rPr>
                  </w:pPr>
                  <w:r>
                    <w:rPr>
                      <w:rFonts w:hint="eastAsia"/>
                      <w:color w:val="auto"/>
                      <w:kern w:val="0"/>
                    </w:rPr>
                    <w:t>生活污水</w:t>
                  </w:r>
                  <w:r>
                    <w:rPr>
                      <w:color w:val="auto"/>
                      <w:kern w:val="0"/>
                    </w:rPr>
                    <w:t>排放口</w:t>
                  </w:r>
                </w:p>
              </w:tc>
              <w:tc>
                <w:tcPr>
                  <w:tcW w:w="1658" w:type="pct"/>
                  <w:vAlign w:val="center"/>
                </w:tcPr>
                <w:p w14:paraId="6039AEF8">
                  <w:pPr>
                    <w:snapToGrid w:val="0"/>
                    <w:jc w:val="center"/>
                    <w:rPr>
                      <w:color w:val="auto"/>
                      <w:kern w:val="0"/>
                    </w:rPr>
                  </w:pPr>
                  <w:r>
                    <w:rPr>
                      <w:color w:val="auto"/>
                      <w:kern w:val="0"/>
                    </w:rPr>
                    <w:t>pH值、悬浮物、化学需氧量、氨氮、总磷、总氮</w:t>
                  </w:r>
                </w:p>
              </w:tc>
              <w:tc>
                <w:tcPr>
                  <w:tcW w:w="621" w:type="pct"/>
                  <w:vAlign w:val="center"/>
                </w:tcPr>
                <w:p w14:paraId="662302A9">
                  <w:pPr>
                    <w:snapToGrid w:val="0"/>
                    <w:jc w:val="center"/>
                    <w:rPr>
                      <w:color w:val="auto"/>
                      <w:kern w:val="0"/>
                    </w:rPr>
                  </w:pPr>
                  <w:r>
                    <w:rPr>
                      <w:color w:val="auto"/>
                      <w:kern w:val="0"/>
                    </w:rPr>
                    <w:t>1次/</w:t>
                  </w:r>
                  <w:r>
                    <w:rPr>
                      <w:rFonts w:hint="eastAsia"/>
                      <w:color w:val="auto"/>
                      <w:kern w:val="0"/>
                    </w:rPr>
                    <w:t>年</w:t>
                  </w:r>
                </w:p>
              </w:tc>
            </w:tr>
          </w:tbl>
          <w:p w14:paraId="7EE67397">
            <w:pPr>
              <w:pStyle w:val="5"/>
              <w:adjustRightInd w:val="0"/>
              <w:snapToGrid w:val="0"/>
              <w:spacing w:line="360" w:lineRule="auto"/>
              <w:ind w:firstLine="422" w:firstLineChars="200"/>
              <w:rPr>
                <w:b/>
                <w:bCs/>
                <w:color w:val="auto"/>
                <w:kern w:val="0"/>
                <w:szCs w:val="21"/>
              </w:rPr>
            </w:pPr>
            <w:r>
              <w:rPr>
                <w:rFonts w:hint="eastAsia"/>
                <w:b/>
                <w:bCs/>
                <w:color w:val="auto"/>
                <w:kern w:val="0"/>
                <w:szCs w:val="21"/>
              </w:rPr>
              <w:t>（5）</w:t>
            </w:r>
            <w:r>
              <w:rPr>
                <w:b/>
                <w:bCs/>
                <w:color w:val="auto"/>
                <w:kern w:val="0"/>
                <w:szCs w:val="21"/>
              </w:rPr>
              <w:t>结论</w:t>
            </w:r>
          </w:p>
          <w:p w14:paraId="59761D0E">
            <w:pPr>
              <w:pStyle w:val="697"/>
              <w:adjustRightInd w:val="0"/>
              <w:snapToGrid w:val="0"/>
              <w:spacing w:line="360" w:lineRule="auto"/>
              <w:ind w:firstLine="420"/>
              <w:jc w:val="both"/>
              <w:rPr>
                <w:rFonts w:eastAsia="宋体"/>
                <w:color w:val="auto"/>
                <w:kern w:val="0"/>
                <w:sz w:val="21"/>
                <w:szCs w:val="21"/>
              </w:rPr>
            </w:pPr>
            <w:r>
              <w:rPr>
                <w:rFonts w:eastAsia="宋体"/>
                <w:color w:val="auto"/>
                <w:kern w:val="0"/>
                <w:sz w:val="21"/>
                <w:szCs w:val="21"/>
              </w:rPr>
              <w:t>综上</w:t>
            </w:r>
            <w:r>
              <w:rPr>
                <w:rFonts w:hint="eastAsia" w:eastAsia="宋体"/>
                <w:color w:val="auto"/>
                <w:kern w:val="0"/>
                <w:sz w:val="21"/>
                <w:szCs w:val="21"/>
              </w:rPr>
              <w:t>所述</w:t>
            </w:r>
            <w:r>
              <w:rPr>
                <w:rFonts w:eastAsia="宋体"/>
                <w:color w:val="auto"/>
                <w:kern w:val="0"/>
                <w:sz w:val="21"/>
                <w:szCs w:val="21"/>
              </w:rPr>
              <w:t>，项目生活污水水质能够达常州金坛区第二污水处理有限公司接管限</w:t>
            </w:r>
            <w:r>
              <w:rPr>
                <w:rFonts w:hint="eastAsia" w:eastAsia="宋体"/>
                <w:color w:val="auto"/>
                <w:kern w:val="0"/>
                <w:sz w:val="21"/>
                <w:szCs w:val="21"/>
              </w:rPr>
              <w:t>值和《污水排入城镇下水道水质标准》（GB/T31962-2015）表1中B等</w:t>
            </w:r>
            <w:r>
              <w:rPr>
                <w:rFonts w:eastAsia="宋体"/>
                <w:color w:val="auto"/>
                <w:kern w:val="0"/>
                <w:sz w:val="21"/>
                <w:szCs w:val="21"/>
              </w:rPr>
              <w:t>级标准，常州金坛区第二污水处理有限公司尾水中SS排放执行《城镇污水处理厂污染物排放标准》（GB18918-2002）</w:t>
            </w:r>
            <w:r>
              <w:rPr>
                <w:rFonts w:hint="eastAsia" w:eastAsia="宋体"/>
                <w:color w:val="auto"/>
                <w:kern w:val="0"/>
                <w:sz w:val="21"/>
                <w:szCs w:val="21"/>
                <w:lang w:eastAsia="zh-CN"/>
              </w:rPr>
              <w:t>及其2024修改单</w:t>
            </w:r>
            <w:r>
              <w:rPr>
                <w:rFonts w:eastAsia="宋体"/>
                <w:color w:val="auto"/>
                <w:kern w:val="0"/>
                <w:sz w:val="21"/>
                <w:szCs w:val="21"/>
              </w:rPr>
              <w:t>中一级A标准，COD、</w:t>
            </w:r>
            <w:r>
              <w:rPr>
                <w:rFonts w:hint="eastAsia" w:eastAsia="宋体"/>
                <w:color w:val="auto"/>
                <w:kern w:val="0"/>
                <w:sz w:val="21"/>
                <w:szCs w:val="21"/>
              </w:rPr>
              <w:t>NH</w:t>
            </w:r>
            <w:r>
              <w:rPr>
                <w:rFonts w:hint="eastAsia" w:eastAsia="宋体"/>
                <w:color w:val="auto"/>
                <w:kern w:val="0"/>
                <w:sz w:val="21"/>
                <w:szCs w:val="21"/>
                <w:vertAlign w:val="subscript"/>
              </w:rPr>
              <w:t>3</w:t>
            </w:r>
            <w:r>
              <w:rPr>
                <w:rFonts w:hint="eastAsia" w:eastAsia="宋体"/>
                <w:color w:val="auto"/>
                <w:kern w:val="0"/>
                <w:sz w:val="21"/>
                <w:szCs w:val="21"/>
              </w:rPr>
              <w:t>-N</w:t>
            </w:r>
            <w:r>
              <w:rPr>
                <w:rFonts w:eastAsia="宋体"/>
                <w:color w:val="auto"/>
                <w:kern w:val="0"/>
                <w:sz w:val="21"/>
                <w:szCs w:val="21"/>
              </w:rPr>
              <w:t>、TP和TN排放执行《太湖地区镇污水处理厂及重点工业行业主要水污染物排放限值》（DB32/1072—2018）中表2中的标准</w:t>
            </w:r>
            <w:r>
              <w:rPr>
                <w:rFonts w:hint="eastAsia" w:eastAsia="宋体"/>
                <w:color w:val="auto"/>
                <w:kern w:val="0"/>
                <w:sz w:val="21"/>
                <w:szCs w:val="21"/>
              </w:rPr>
              <w:t>，纳污水体尧塘河</w:t>
            </w:r>
            <w:r>
              <w:rPr>
                <w:rFonts w:eastAsia="宋体"/>
                <w:color w:val="auto"/>
                <w:kern w:val="0"/>
                <w:sz w:val="21"/>
                <w:szCs w:val="21"/>
              </w:rPr>
              <w:t>《地表水环境质量标准》（GB3838-2002）中</w:t>
            </w:r>
            <w:r>
              <w:rPr>
                <w:rFonts w:hint="eastAsia" w:eastAsia="宋体"/>
                <w:color w:val="auto"/>
                <w:kern w:val="0"/>
                <w:sz w:val="21"/>
                <w:szCs w:val="21"/>
              </w:rPr>
              <w:t>III</w:t>
            </w:r>
            <w:r>
              <w:rPr>
                <w:rFonts w:eastAsia="宋体"/>
                <w:color w:val="auto"/>
                <w:kern w:val="0"/>
                <w:sz w:val="21"/>
                <w:szCs w:val="21"/>
              </w:rPr>
              <w:t>类标准。项目所在地已满足接管城市污水处理厂条件，引用常州金坛区第二污水处理有限公司环评结论可知，废水经污水处理厂处理达标排放后对地表水环境影响较小。因此本次评价认为</w:t>
            </w:r>
            <w:r>
              <w:rPr>
                <w:rFonts w:hint="eastAsia" w:eastAsia="宋体"/>
                <w:color w:val="auto"/>
                <w:kern w:val="0"/>
                <w:sz w:val="21"/>
                <w:szCs w:val="21"/>
              </w:rPr>
              <w:t>本项目</w:t>
            </w:r>
            <w:r>
              <w:rPr>
                <w:rFonts w:eastAsia="宋体"/>
                <w:color w:val="auto"/>
                <w:kern w:val="0"/>
                <w:sz w:val="21"/>
                <w:szCs w:val="21"/>
              </w:rPr>
              <w:t>对地表水环境影响是可以接受的。</w:t>
            </w:r>
          </w:p>
          <w:p w14:paraId="759D7D6A">
            <w:pPr>
              <w:spacing w:line="360" w:lineRule="auto"/>
              <w:rPr>
                <w:b/>
                <w:bCs/>
                <w:color w:val="auto"/>
                <w:kern w:val="0"/>
              </w:rPr>
            </w:pPr>
            <w:r>
              <w:rPr>
                <w:rFonts w:hint="eastAsia"/>
                <w:b/>
                <w:bCs/>
                <w:color w:val="auto"/>
                <w:kern w:val="0"/>
              </w:rPr>
              <w:t>3、</w:t>
            </w:r>
            <w:r>
              <w:rPr>
                <w:b/>
                <w:bCs/>
                <w:color w:val="auto"/>
                <w:kern w:val="0"/>
              </w:rPr>
              <w:t>噪声</w:t>
            </w:r>
            <w:r>
              <w:rPr>
                <w:rFonts w:hint="eastAsia"/>
                <w:b/>
                <w:bCs/>
                <w:color w:val="auto"/>
                <w:kern w:val="0"/>
              </w:rPr>
              <w:t>环境影响分析</w:t>
            </w:r>
          </w:p>
          <w:p w14:paraId="61824279">
            <w:pPr>
              <w:spacing w:line="360" w:lineRule="auto"/>
              <w:ind w:firstLine="422" w:firstLineChars="200"/>
              <w:rPr>
                <w:b/>
                <w:bCs/>
                <w:color w:val="auto"/>
                <w:kern w:val="0"/>
              </w:rPr>
            </w:pPr>
            <w:r>
              <w:rPr>
                <w:rFonts w:hint="eastAsia"/>
                <w:b/>
                <w:bCs/>
                <w:color w:val="auto"/>
                <w:kern w:val="0"/>
              </w:rPr>
              <w:t>（1）</w:t>
            </w:r>
            <w:r>
              <w:rPr>
                <w:b/>
                <w:bCs/>
                <w:color w:val="auto"/>
                <w:kern w:val="0"/>
              </w:rPr>
              <w:t>噪声源</w:t>
            </w:r>
          </w:p>
          <w:p w14:paraId="511D5866">
            <w:pPr>
              <w:adjustRightInd w:val="0"/>
              <w:snapToGrid w:val="0"/>
              <w:spacing w:line="360" w:lineRule="auto"/>
              <w:ind w:firstLine="420" w:firstLineChars="200"/>
              <w:jc w:val="left"/>
              <w:rPr>
                <w:color w:val="auto"/>
                <w:kern w:val="0"/>
              </w:rPr>
            </w:pPr>
            <w:r>
              <w:rPr>
                <w:rFonts w:hint="eastAsia"/>
                <w:color w:val="auto"/>
                <w:kern w:val="0"/>
              </w:rPr>
              <w:t>项目噪声源主要为各机械设备的运转噪声，主要噪声源强如下表所示。</w:t>
            </w:r>
          </w:p>
          <w:p w14:paraId="7A2E9346">
            <w:pPr>
              <w:jc w:val="center"/>
              <w:rPr>
                <w:b/>
                <w:color w:val="auto"/>
                <w:kern w:val="0"/>
              </w:rPr>
            </w:pPr>
            <w:r>
              <w:rPr>
                <w:b/>
                <w:color w:val="auto"/>
                <w:kern w:val="0"/>
              </w:rPr>
              <w:t>表4-</w:t>
            </w:r>
            <w:r>
              <w:rPr>
                <w:rFonts w:hint="eastAsia"/>
                <w:b/>
                <w:color w:val="auto"/>
                <w:kern w:val="0"/>
                <w:lang w:val="en-US" w:eastAsia="zh-CN"/>
              </w:rPr>
              <w:t>18</w:t>
            </w:r>
            <w:r>
              <w:rPr>
                <w:b/>
                <w:color w:val="auto"/>
                <w:kern w:val="0"/>
              </w:rPr>
              <w:t xml:space="preserve">   本项目主要噪声设备和源强数值表</w:t>
            </w:r>
            <w:r>
              <w:rPr>
                <w:rFonts w:hint="eastAsia"/>
                <w:b/>
                <w:color w:val="auto"/>
                <w:kern w:val="0"/>
              </w:rPr>
              <w:t>（室内声源）</w:t>
            </w:r>
          </w:p>
          <w:tbl>
            <w:tblPr>
              <w:tblStyle w:val="59"/>
              <w:tblW w:w="4997" w:type="pct"/>
              <w:tblInd w:w="0" w:type="dxa"/>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607"/>
              <w:gridCol w:w="637"/>
              <w:gridCol w:w="590"/>
              <w:gridCol w:w="810"/>
              <w:gridCol w:w="675"/>
              <w:gridCol w:w="355"/>
              <w:gridCol w:w="355"/>
              <w:gridCol w:w="355"/>
              <w:gridCol w:w="900"/>
              <w:gridCol w:w="855"/>
              <w:gridCol w:w="870"/>
              <w:gridCol w:w="968"/>
              <w:gridCol w:w="879"/>
            </w:tblGrid>
            <w:tr w14:paraId="295C935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55" w:hRule="atLeast"/>
              </w:trPr>
              <w:tc>
                <w:tcPr>
                  <w:tcW w:w="342" w:type="pct"/>
                  <w:vMerge w:val="restart"/>
                  <w:vAlign w:val="center"/>
                </w:tcPr>
                <w:p w14:paraId="7FCC23FE">
                  <w:pPr>
                    <w:adjustRightInd w:val="0"/>
                    <w:snapToGrid w:val="0"/>
                    <w:jc w:val="center"/>
                    <w:rPr>
                      <w:b/>
                      <w:bCs/>
                      <w:color w:val="auto"/>
                      <w:kern w:val="0"/>
                      <w:sz w:val="18"/>
                      <w:szCs w:val="18"/>
                    </w:rPr>
                  </w:pPr>
                  <w:r>
                    <w:rPr>
                      <w:rFonts w:hint="eastAsia"/>
                      <w:b/>
                      <w:bCs/>
                      <w:color w:val="auto"/>
                      <w:kern w:val="0"/>
                      <w:sz w:val="18"/>
                      <w:szCs w:val="18"/>
                    </w:rPr>
                    <w:t>建筑物名称</w:t>
                  </w:r>
                </w:p>
              </w:tc>
              <w:tc>
                <w:tcPr>
                  <w:tcW w:w="359" w:type="pct"/>
                  <w:vMerge w:val="restart"/>
                  <w:vAlign w:val="center"/>
                </w:tcPr>
                <w:p w14:paraId="3A98F987">
                  <w:pPr>
                    <w:adjustRightInd w:val="0"/>
                    <w:snapToGrid w:val="0"/>
                    <w:jc w:val="center"/>
                    <w:rPr>
                      <w:b/>
                      <w:bCs/>
                      <w:color w:val="auto"/>
                      <w:kern w:val="0"/>
                      <w:sz w:val="18"/>
                      <w:szCs w:val="18"/>
                    </w:rPr>
                  </w:pPr>
                  <w:r>
                    <w:rPr>
                      <w:rFonts w:hint="eastAsia"/>
                      <w:b/>
                      <w:bCs/>
                      <w:color w:val="auto"/>
                      <w:kern w:val="0"/>
                      <w:sz w:val="18"/>
                      <w:szCs w:val="18"/>
                    </w:rPr>
                    <w:t>声源名称</w:t>
                  </w:r>
                </w:p>
              </w:tc>
              <w:tc>
                <w:tcPr>
                  <w:tcW w:w="333" w:type="pct"/>
                  <w:vMerge w:val="restart"/>
                  <w:vAlign w:val="center"/>
                </w:tcPr>
                <w:p w14:paraId="06C497B5">
                  <w:pPr>
                    <w:adjustRightInd w:val="0"/>
                    <w:snapToGrid w:val="0"/>
                    <w:jc w:val="center"/>
                    <w:rPr>
                      <w:b/>
                      <w:bCs/>
                      <w:color w:val="auto"/>
                      <w:kern w:val="0"/>
                      <w:sz w:val="18"/>
                      <w:szCs w:val="18"/>
                    </w:rPr>
                  </w:pPr>
                  <w:r>
                    <w:rPr>
                      <w:rFonts w:hint="eastAsia"/>
                      <w:b/>
                      <w:bCs/>
                      <w:color w:val="auto"/>
                      <w:kern w:val="0"/>
                      <w:sz w:val="18"/>
                      <w:szCs w:val="18"/>
                    </w:rPr>
                    <w:t>数量台/套</w:t>
                  </w:r>
                </w:p>
              </w:tc>
              <w:tc>
                <w:tcPr>
                  <w:tcW w:w="457" w:type="pct"/>
                  <w:vMerge w:val="restart"/>
                  <w:vAlign w:val="center"/>
                </w:tcPr>
                <w:p w14:paraId="7E976C84">
                  <w:pPr>
                    <w:adjustRightInd w:val="0"/>
                    <w:snapToGrid w:val="0"/>
                    <w:jc w:val="center"/>
                    <w:rPr>
                      <w:b/>
                      <w:bCs/>
                      <w:color w:val="auto"/>
                      <w:kern w:val="0"/>
                      <w:sz w:val="18"/>
                      <w:szCs w:val="18"/>
                    </w:rPr>
                  </w:pPr>
                  <w:r>
                    <w:rPr>
                      <w:rFonts w:hint="eastAsia"/>
                      <w:b/>
                      <w:bCs/>
                      <w:color w:val="auto"/>
                      <w:kern w:val="0"/>
                      <w:sz w:val="18"/>
                      <w:szCs w:val="18"/>
                    </w:rPr>
                    <w:t>单台声功率级dB（A）</w:t>
                  </w:r>
                </w:p>
              </w:tc>
              <w:tc>
                <w:tcPr>
                  <w:tcW w:w="381" w:type="pct"/>
                  <w:vMerge w:val="restart"/>
                  <w:vAlign w:val="center"/>
                </w:tcPr>
                <w:p w14:paraId="2686D375">
                  <w:pPr>
                    <w:adjustRightInd w:val="0"/>
                    <w:snapToGrid w:val="0"/>
                    <w:jc w:val="center"/>
                    <w:rPr>
                      <w:b/>
                      <w:bCs/>
                      <w:color w:val="auto"/>
                      <w:kern w:val="0"/>
                      <w:sz w:val="18"/>
                      <w:szCs w:val="18"/>
                    </w:rPr>
                  </w:pPr>
                  <w:r>
                    <w:rPr>
                      <w:rFonts w:hint="eastAsia"/>
                      <w:b/>
                      <w:bCs/>
                      <w:color w:val="auto"/>
                      <w:kern w:val="0"/>
                      <w:sz w:val="18"/>
                      <w:szCs w:val="18"/>
                    </w:rPr>
                    <w:t>声源控制措施</w:t>
                  </w:r>
                </w:p>
              </w:tc>
              <w:tc>
                <w:tcPr>
                  <w:tcW w:w="601" w:type="pct"/>
                  <w:gridSpan w:val="3"/>
                  <w:vAlign w:val="center"/>
                </w:tcPr>
                <w:p w14:paraId="57741951">
                  <w:pPr>
                    <w:adjustRightInd w:val="0"/>
                    <w:snapToGrid w:val="0"/>
                    <w:jc w:val="center"/>
                    <w:rPr>
                      <w:b/>
                      <w:bCs/>
                      <w:color w:val="auto"/>
                      <w:kern w:val="0"/>
                      <w:sz w:val="18"/>
                      <w:szCs w:val="18"/>
                    </w:rPr>
                  </w:pPr>
                  <w:r>
                    <w:rPr>
                      <w:b/>
                      <w:bCs/>
                      <w:color w:val="auto"/>
                      <w:kern w:val="0"/>
                      <w:sz w:val="18"/>
                      <w:szCs w:val="18"/>
                    </w:rPr>
                    <w:t>空间相对位置</w:t>
                  </w:r>
                  <w:r>
                    <w:rPr>
                      <w:rFonts w:hint="eastAsia"/>
                      <w:b/>
                      <w:bCs/>
                      <w:color w:val="auto"/>
                      <w:kern w:val="0"/>
                      <w:sz w:val="18"/>
                      <w:szCs w:val="18"/>
                    </w:rPr>
                    <w:t>（</w:t>
                  </w:r>
                  <w:r>
                    <w:rPr>
                      <w:b/>
                      <w:bCs/>
                      <w:color w:val="auto"/>
                      <w:kern w:val="0"/>
                      <w:sz w:val="18"/>
                      <w:szCs w:val="18"/>
                    </w:rPr>
                    <w:t>m</w:t>
                  </w:r>
                  <w:r>
                    <w:rPr>
                      <w:rFonts w:hint="eastAsia"/>
                      <w:b/>
                      <w:bCs/>
                      <w:color w:val="auto"/>
                      <w:kern w:val="0"/>
                      <w:sz w:val="18"/>
                      <w:szCs w:val="18"/>
                    </w:rPr>
                    <w:t>）</w:t>
                  </w:r>
                  <w:r>
                    <w:rPr>
                      <w:rFonts w:hint="eastAsia"/>
                      <w:b/>
                      <w:bCs/>
                      <w:color w:val="auto"/>
                      <w:kern w:val="0"/>
                      <w:sz w:val="18"/>
                      <w:szCs w:val="18"/>
                      <w:vertAlign w:val="superscript"/>
                    </w:rPr>
                    <w:t>①</w:t>
                  </w:r>
                </w:p>
              </w:tc>
              <w:tc>
                <w:tcPr>
                  <w:tcW w:w="508" w:type="pct"/>
                  <w:vMerge w:val="restart"/>
                  <w:vAlign w:val="center"/>
                </w:tcPr>
                <w:p w14:paraId="0E9BFE90">
                  <w:pPr>
                    <w:adjustRightInd w:val="0"/>
                    <w:snapToGrid w:val="0"/>
                    <w:jc w:val="center"/>
                    <w:rPr>
                      <w:b/>
                      <w:bCs/>
                      <w:color w:val="auto"/>
                      <w:kern w:val="0"/>
                      <w:sz w:val="18"/>
                      <w:szCs w:val="18"/>
                    </w:rPr>
                  </w:pPr>
                  <w:r>
                    <w:rPr>
                      <w:rFonts w:hint="eastAsia"/>
                      <w:b/>
                      <w:bCs/>
                      <w:color w:val="auto"/>
                      <w:kern w:val="0"/>
                      <w:sz w:val="18"/>
                      <w:szCs w:val="18"/>
                    </w:rPr>
                    <w:t>距室内边界距离m</w:t>
                  </w:r>
                  <w:r>
                    <w:rPr>
                      <w:rFonts w:hint="eastAsia"/>
                      <w:b/>
                      <w:bCs/>
                      <w:color w:val="auto"/>
                      <w:kern w:val="0"/>
                      <w:sz w:val="18"/>
                      <w:szCs w:val="18"/>
                      <w:vertAlign w:val="superscript"/>
                    </w:rPr>
                    <w:t>②</w:t>
                  </w:r>
                </w:p>
              </w:tc>
              <w:tc>
                <w:tcPr>
                  <w:tcW w:w="482" w:type="pct"/>
                  <w:vMerge w:val="restart"/>
                  <w:vAlign w:val="center"/>
                </w:tcPr>
                <w:p w14:paraId="36F3CDFD">
                  <w:pPr>
                    <w:adjustRightInd w:val="0"/>
                    <w:snapToGrid w:val="0"/>
                    <w:jc w:val="center"/>
                    <w:rPr>
                      <w:b/>
                      <w:bCs/>
                      <w:color w:val="auto"/>
                      <w:kern w:val="0"/>
                      <w:sz w:val="18"/>
                      <w:szCs w:val="18"/>
                    </w:rPr>
                  </w:pPr>
                  <w:r>
                    <w:rPr>
                      <w:rFonts w:hint="eastAsia"/>
                      <w:b/>
                      <w:bCs/>
                      <w:color w:val="auto"/>
                      <w:kern w:val="0"/>
                      <w:sz w:val="18"/>
                      <w:szCs w:val="18"/>
                    </w:rPr>
                    <w:t>室内边界声级dB（A）</w:t>
                  </w:r>
                </w:p>
              </w:tc>
              <w:tc>
                <w:tcPr>
                  <w:tcW w:w="491" w:type="pct"/>
                  <w:vMerge w:val="restart"/>
                  <w:vAlign w:val="center"/>
                </w:tcPr>
                <w:p w14:paraId="5E430CA4">
                  <w:pPr>
                    <w:adjustRightInd w:val="0"/>
                    <w:snapToGrid w:val="0"/>
                    <w:jc w:val="center"/>
                    <w:rPr>
                      <w:b/>
                      <w:bCs/>
                      <w:color w:val="auto"/>
                      <w:kern w:val="0"/>
                      <w:sz w:val="18"/>
                      <w:szCs w:val="18"/>
                    </w:rPr>
                  </w:pPr>
                  <w:r>
                    <w:rPr>
                      <w:rFonts w:hint="eastAsia"/>
                      <w:b/>
                      <w:bCs/>
                      <w:color w:val="auto"/>
                      <w:kern w:val="0"/>
                      <w:sz w:val="18"/>
                      <w:szCs w:val="18"/>
                    </w:rPr>
                    <w:t>建筑物插入损失dB（A）</w:t>
                  </w:r>
                </w:p>
              </w:tc>
              <w:tc>
                <w:tcPr>
                  <w:tcW w:w="1042" w:type="pct"/>
                  <w:gridSpan w:val="2"/>
                  <w:vAlign w:val="center"/>
                </w:tcPr>
                <w:p w14:paraId="53D7A4EF">
                  <w:pPr>
                    <w:adjustRightInd w:val="0"/>
                    <w:snapToGrid w:val="0"/>
                    <w:jc w:val="center"/>
                    <w:rPr>
                      <w:b/>
                      <w:bCs/>
                      <w:color w:val="auto"/>
                      <w:kern w:val="0"/>
                      <w:sz w:val="18"/>
                      <w:szCs w:val="18"/>
                    </w:rPr>
                  </w:pPr>
                  <w:r>
                    <w:rPr>
                      <w:rFonts w:hint="eastAsia"/>
                      <w:b/>
                      <w:bCs/>
                      <w:color w:val="auto"/>
                      <w:kern w:val="0"/>
                      <w:sz w:val="18"/>
                      <w:szCs w:val="18"/>
                    </w:rPr>
                    <w:t>建筑物外噪声</w:t>
                  </w:r>
                </w:p>
              </w:tc>
            </w:tr>
            <w:tr w14:paraId="5594954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501" w:hRule="atLeast"/>
              </w:trPr>
              <w:tc>
                <w:tcPr>
                  <w:tcW w:w="342" w:type="pct"/>
                  <w:vMerge w:val="continue"/>
                  <w:vAlign w:val="center"/>
                </w:tcPr>
                <w:p w14:paraId="0BE3B2EF">
                  <w:pPr>
                    <w:adjustRightInd w:val="0"/>
                    <w:snapToGrid w:val="0"/>
                    <w:jc w:val="center"/>
                    <w:rPr>
                      <w:b/>
                      <w:bCs/>
                      <w:color w:val="auto"/>
                      <w:kern w:val="0"/>
                      <w:sz w:val="18"/>
                      <w:szCs w:val="18"/>
                    </w:rPr>
                  </w:pPr>
                </w:p>
              </w:tc>
              <w:tc>
                <w:tcPr>
                  <w:tcW w:w="359" w:type="pct"/>
                  <w:vMerge w:val="continue"/>
                  <w:vAlign w:val="center"/>
                </w:tcPr>
                <w:p w14:paraId="7045C98E">
                  <w:pPr>
                    <w:adjustRightInd w:val="0"/>
                    <w:snapToGrid w:val="0"/>
                    <w:jc w:val="center"/>
                    <w:rPr>
                      <w:b/>
                      <w:bCs/>
                      <w:color w:val="auto"/>
                      <w:kern w:val="0"/>
                      <w:sz w:val="18"/>
                      <w:szCs w:val="18"/>
                    </w:rPr>
                  </w:pPr>
                </w:p>
              </w:tc>
              <w:tc>
                <w:tcPr>
                  <w:tcW w:w="333" w:type="pct"/>
                  <w:vMerge w:val="continue"/>
                  <w:vAlign w:val="center"/>
                </w:tcPr>
                <w:p w14:paraId="7FA3B006">
                  <w:pPr>
                    <w:adjustRightInd w:val="0"/>
                    <w:snapToGrid w:val="0"/>
                    <w:jc w:val="center"/>
                    <w:rPr>
                      <w:b/>
                      <w:bCs/>
                      <w:color w:val="auto"/>
                      <w:kern w:val="0"/>
                      <w:sz w:val="18"/>
                      <w:szCs w:val="18"/>
                    </w:rPr>
                  </w:pPr>
                </w:p>
              </w:tc>
              <w:tc>
                <w:tcPr>
                  <w:tcW w:w="457" w:type="pct"/>
                  <w:vMerge w:val="continue"/>
                  <w:vAlign w:val="center"/>
                </w:tcPr>
                <w:p w14:paraId="48D1F4A5">
                  <w:pPr>
                    <w:adjustRightInd w:val="0"/>
                    <w:snapToGrid w:val="0"/>
                    <w:jc w:val="center"/>
                    <w:rPr>
                      <w:b/>
                      <w:bCs/>
                      <w:color w:val="auto"/>
                      <w:kern w:val="0"/>
                      <w:sz w:val="18"/>
                      <w:szCs w:val="18"/>
                    </w:rPr>
                  </w:pPr>
                </w:p>
              </w:tc>
              <w:tc>
                <w:tcPr>
                  <w:tcW w:w="381" w:type="pct"/>
                  <w:vMerge w:val="continue"/>
                  <w:vAlign w:val="center"/>
                </w:tcPr>
                <w:p w14:paraId="0FE80C89">
                  <w:pPr>
                    <w:adjustRightInd w:val="0"/>
                    <w:snapToGrid w:val="0"/>
                    <w:jc w:val="center"/>
                    <w:rPr>
                      <w:b/>
                      <w:bCs/>
                      <w:color w:val="auto"/>
                      <w:kern w:val="0"/>
                      <w:sz w:val="18"/>
                      <w:szCs w:val="18"/>
                    </w:rPr>
                  </w:pPr>
                </w:p>
              </w:tc>
              <w:tc>
                <w:tcPr>
                  <w:tcW w:w="200" w:type="pct"/>
                  <w:vAlign w:val="center"/>
                </w:tcPr>
                <w:p w14:paraId="77224574">
                  <w:pPr>
                    <w:adjustRightInd w:val="0"/>
                    <w:snapToGrid w:val="0"/>
                    <w:jc w:val="center"/>
                    <w:rPr>
                      <w:b/>
                      <w:bCs/>
                      <w:color w:val="auto"/>
                      <w:kern w:val="0"/>
                      <w:sz w:val="18"/>
                      <w:szCs w:val="18"/>
                    </w:rPr>
                  </w:pPr>
                  <w:r>
                    <w:rPr>
                      <w:b/>
                      <w:bCs/>
                      <w:color w:val="auto"/>
                      <w:kern w:val="0"/>
                      <w:sz w:val="18"/>
                      <w:szCs w:val="18"/>
                    </w:rPr>
                    <w:t>X</w:t>
                  </w:r>
                </w:p>
              </w:tc>
              <w:tc>
                <w:tcPr>
                  <w:tcW w:w="200" w:type="pct"/>
                  <w:vAlign w:val="center"/>
                </w:tcPr>
                <w:p w14:paraId="4BCA91D3">
                  <w:pPr>
                    <w:adjustRightInd w:val="0"/>
                    <w:snapToGrid w:val="0"/>
                    <w:jc w:val="center"/>
                    <w:rPr>
                      <w:b/>
                      <w:bCs/>
                      <w:color w:val="auto"/>
                      <w:kern w:val="0"/>
                      <w:sz w:val="18"/>
                      <w:szCs w:val="18"/>
                    </w:rPr>
                  </w:pPr>
                  <w:r>
                    <w:rPr>
                      <w:b/>
                      <w:bCs/>
                      <w:color w:val="auto"/>
                      <w:kern w:val="0"/>
                      <w:sz w:val="18"/>
                      <w:szCs w:val="18"/>
                    </w:rPr>
                    <w:t>Y</w:t>
                  </w:r>
                </w:p>
              </w:tc>
              <w:tc>
                <w:tcPr>
                  <w:tcW w:w="200" w:type="pct"/>
                  <w:vAlign w:val="center"/>
                </w:tcPr>
                <w:p w14:paraId="62D0098F">
                  <w:pPr>
                    <w:adjustRightInd w:val="0"/>
                    <w:snapToGrid w:val="0"/>
                    <w:jc w:val="center"/>
                    <w:rPr>
                      <w:b/>
                      <w:bCs/>
                      <w:color w:val="auto"/>
                      <w:kern w:val="0"/>
                      <w:sz w:val="18"/>
                      <w:szCs w:val="18"/>
                    </w:rPr>
                  </w:pPr>
                  <w:r>
                    <w:rPr>
                      <w:b/>
                      <w:bCs/>
                      <w:color w:val="auto"/>
                      <w:kern w:val="0"/>
                      <w:sz w:val="18"/>
                      <w:szCs w:val="18"/>
                    </w:rPr>
                    <w:t>Z</w:t>
                  </w:r>
                </w:p>
              </w:tc>
              <w:tc>
                <w:tcPr>
                  <w:tcW w:w="508" w:type="pct"/>
                  <w:vMerge w:val="continue"/>
                  <w:vAlign w:val="center"/>
                </w:tcPr>
                <w:p w14:paraId="0B1134FB">
                  <w:pPr>
                    <w:adjustRightInd w:val="0"/>
                    <w:snapToGrid w:val="0"/>
                    <w:jc w:val="center"/>
                    <w:rPr>
                      <w:b/>
                      <w:bCs/>
                      <w:color w:val="auto"/>
                      <w:kern w:val="0"/>
                      <w:sz w:val="18"/>
                      <w:szCs w:val="18"/>
                    </w:rPr>
                  </w:pPr>
                </w:p>
              </w:tc>
              <w:tc>
                <w:tcPr>
                  <w:tcW w:w="482" w:type="pct"/>
                  <w:vMerge w:val="continue"/>
                  <w:vAlign w:val="center"/>
                </w:tcPr>
                <w:p w14:paraId="6EE9A345">
                  <w:pPr>
                    <w:adjustRightInd w:val="0"/>
                    <w:snapToGrid w:val="0"/>
                    <w:jc w:val="center"/>
                    <w:rPr>
                      <w:b/>
                      <w:bCs/>
                      <w:color w:val="auto"/>
                      <w:kern w:val="0"/>
                      <w:sz w:val="18"/>
                      <w:szCs w:val="18"/>
                    </w:rPr>
                  </w:pPr>
                </w:p>
              </w:tc>
              <w:tc>
                <w:tcPr>
                  <w:tcW w:w="491" w:type="pct"/>
                  <w:vMerge w:val="continue"/>
                  <w:vAlign w:val="center"/>
                </w:tcPr>
                <w:p w14:paraId="3801E77F">
                  <w:pPr>
                    <w:adjustRightInd w:val="0"/>
                    <w:snapToGrid w:val="0"/>
                    <w:jc w:val="center"/>
                    <w:rPr>
                      <w:b/>
                      <w:bCs/>
                      <w:color w:val="auto"/>
                      <w:kern w:val="0"/>
                      <w:sz w:val="18"/>
                      <w:szCs w:val="18"/>
                    </w:rPr>
                  </w:pPr>
                </w:p>
              </w:tc>
              <w:tc>
                <w:tcPr>
                  <w:tcW w:w="546" w:type="pct"/>
                  <w:vAlign w:val="center"/>
                </w:tcPr>
                <w:p w14:paraId="3EC9B14B">
                  <w:pPr>
                    <w:adjustRightInd w:val="0"/>
                    <w:snapToGrid w:val="0"/>
                    <w:jc w:val="center"/>
                    <w:rPr>
                      <w:b/>
                      <w:bCs/>
                      <w:color w:val="auto"/>
                      <w:kern w:val="0"/>
                      <w:sz w:val="18"/>
                      <w:szCs w:val="18"/>
                    </w:rPr>
                  </w:pPr>
                  <w:r>
                    <w:rPr>
                      <w:rFonts w:hint="eastAsia"/>
                      <w:b/>
                      <w:bCs/>
                      <w:color w:val="auto"/>
                      <w:kern w:val="0"/>
                      <w:sz w:val="18"/>
                      <w:szCs w:val="18"/>
                    </w:rPr>
                    <w:t>声压级dB（A）</w:t>
                  </w:r>
                  <w:r>
                    <w:rPr>
                      <w:rFonts w:hint="eastAsia"/>
                      <w:b/>
                      <w:bCs/>
                      <w:color w:val="auto"/>
                      <w:kern w:val="0"/>
                      <w:sz w:val="18"/>
                      <w:szCs w:val="18"/>
                      <w:vertAlign w:val="superscript"/>
                    </w:rPr>
                    <w:t>③</w:t>
                  </w:r>
                </w:p>
              </w:tc>
              <w:tc>
                <w:tcPr>
                  <w:tcW w:w="496" w:type="pct"/>
                  <w:vAlign w:val="center"/>
                </w:tcPr>
                <w:p w14:paraId="665A6533">
                  <w:pPr>
                    <w:adjustRightInd w:val="0"/>
                    <w:snapToGrid w:val="0"/>
                    <w:jc w:val="center"/>
                    <w:rPr>
                      <w:b/>
                      <w:bCs/>
                      <w:color w:val="auto"/>
                      <w:kern w:val="0"/>
                      <w:sz w:val="18"/>
                      <w:szCs w:val="18"/>
                    </w:rPr>
                  </w:pPr>
                  <w:r>
                    <w:rPr>
                      <w:rFonts w:hint="eastAsia"/>
                      <w:b/>
                      <w:bCs/>
                      <w:color w:val="auto"/>
                      <w:kern w:val="0"/>
                      <w:sz w:val="18"/>
                      <w:szCs w:val="18"/>
                    </w:rPr>
                    <w:t>建筑物外距离</w:t>
                  </w:r>
                  <w:r>
                    <w:rPr>
                      <w:rFonts w:hint="eastAsia"/>
                      <w:b/>
                      <w:bCs/>
                      <w:color w:val="auto"/>
                      <w:kern w:val="0"/>
                      <w:sz w:val="18"/>
                      <w:szCs w:val="18"/>
                      <w:vertAlign w:val="superscript"/>
                    </w:rPr>
                    <w:t>④</w:t>
                  </w:r>
                </w:p>
              </w:tc>
            </w:tr>
            <w:tr w14:paraId="260B8BC7">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94" w:hRule="atLeast"/>
              </w:trPr>
              <w:tc>
                <w:tcPr>
                  <w:tcW w:w="342" w:type="pct"/>
                  <w:vMerge w:val="restart"/>
                  <w:tcMar>
                    <w:left w:w="28" w:type="dxa"/>
                    <w:right w:w="28" w:type="dxa"/>
                  </w:tcMar>
                  <w:vAlign w:val="center"/>
                </w:tcPr>
                <w:p w14:paraId="7D11B627">
                  <w:pPr>
                    <w:adjustRightInd w:val="0"/>
                    <w:snapToGrid w:val="0"/>
                    <w:jc w:val="center"/>
                    <w:rPr>
                      <w:color w:val="auto"/>
                      <w:kern w:val="0"/>
                      <w:sz w:val="18"/>
                      <w:szCs w:val="18"/>
                    </w:rPr>
                  </w:pPr>
                  <w:r>
                    <w:rPr>
                      <w:rFonts w:hint="eastAsia"/>
                      <w:color w:val="auto"/>
                      <w:kern w:val="0"/>
                      <w:sz w:val="18"/>
                      <w:szCs w:val="18"/>
                    </w:rPr>
                    <w:t>车间</w:t>
                  </w:r>
                </w:p>
              </w:tc>
              <w:tc>
                <w:tcPr>
                  <w:tcW w:w="359" w:type="pct"/>
                  <w:vMerge w:val="restart"/>
                  <w:tcMar>
                    <w:left w:w="28" w:type="dxa"/>
                    <w:right w:w="28" w:type="dxa"/>
                  </w:tcMar>
                  <w:vAlign w:val="center"/>
                </w:tcPr>
                <w:p w14:paraId="7D4716FB">
                  <w:pPr>
                    <w:adjustRightInd w:val="0"/>
                    <w:snapToGrid w:val="0"/>
                    <w:jc w:val="center"/>
                    <w:rPr>
                      <w:rFonts w:hint="eastAsia" w:eastAsia="宋体"/>
                      <w:color w:val="auto"/>
                      <w:kern w:val="0"/>
                      <w:sz w:val="18"/>
                      <w:szCs w:val="18"/>
                      <w:lang w:eastAsia="zh-CN"/>
                    </w:rPr>
                  </w:pPr>
                  <w:r>
                    <w:rPr>
                      <w:rFonts w:hint="eastAsia"/>
                      <w:color w:val="auto"/>
                      <w:kern w:val="0"/>
                      <w:sz w:val="18"/>
                      <w:szCs w:val="18"/>
                      <w:lang w:val="en-US" w:eastAsia="zh-CN"/>
                    </w:rPr>
                    <w:t>龙门铣床</w:t>
                  </w:r>
                </w:p>
              </w:tc>
              <w:tc>
                <w:tcPr>
                  <w:tcW w:w="333" w:type="pct"/>
                  <w:vMerge w:val="restart"/>
                  <w:tcMar>
                    <w:left w:w="28" w:type="dxa"/>
                    <w:right w:w="28" w:type="dxa"/>
                  </w:tcMar>
                  <w:vAlign w:val="center"/>
                </w:tcPr>
                <w:p w14:paraId="644261EE">
                  <w:pPr>
                    <w:adjustRightInd w:val="0"/>
                    <w:snapToGrid w:val="0"/>
                    <w:jc w:val="center"/>
                    <w:rPr>
                      <w:rFonts w:hint="eastAsia" w:eastAsia="宋体"/>
                      <w:color w:val="auto"/>
                      <w:kern w:val="0"/>
                      <w:sz w:val="18"/>
                      <w:szCs w:val="18"/>
                      <w:lang w:eastAsia="zh-CN"/>
                    </w:rPr>
                  </w:pPr>
                  <w:r>
                    <w:rPr>
                      <w:rFonts w:hint="eastAsia"/>
                      <w:color w:val="auto"/>
                      <w:kern w:val="0"/>
                      <w:sz w:val="18"/>
                      <w:szCs w:val="18"/>
                      <w:lang w:val="en-US" w:eastAsia="zh-CN"/>
                    </w:rPr>
                    <w:t>1</w:t>
                  </w:r>
                </w:p>
              </w:tc>
              <w:tc>
                <w:tcPr>
                  <w:tcW w:w="457" w:type="pct"/>
                  <w:vMerge w:val="restart"/>
                  <w:tcMar>
                    <w:left w:w="28" w:type="dxa"/>
                    <w:right w:w="28" w:type="dxa"/>
                  </w:tcMar>
                  <w:vAlign w:val="center"/>
                </w:tcPr>
                <w:p w14:paraId="255575F1">
                  <w:pPr>
                    <w:adjustRightInd w:val="0"/>
                    <w:snapToGrid w:val="0"/>
                    <w:jc w:val="center"/>
                    <w:rPr>
                      <w:color w:val="auto"/>
                      <w:kern w:val="0"/>
                      <w:sz w:val="18"/>
                      <w:szCs w:val="18"/>
                    </w:rPr>
                  </w:pPr>
                  <w:r>
                    <w:rPr>
                      <w:rFonts w:hint="eastAsia"/>
                      <w:color w:val="auto"/>
                      <w:kern w:val="0"/>
                      <w:sz w:val="18"/>
                      <w:szCs w:val="18"/>
                    </w:rPr>
                    <w:t>80</w:t>
                  </w:r>
                </w:p>
              </w:tc>
              <w:tc>
                <w:tcPr>
                  <w:tcW w:w="381" w:type="pct"/>
                  <w:vMerge w:val="restart"/>
                  <w:tcMar>
                    <w:left w:w="28" w:type="dxa"/>
                    <w:right w:w="28" w:type="dxa"/>
                  </w:tcMar>
                  <w:vAlign w:val="center"/>
                </w:tcPr>
                <w:p w14:paraId="4C75B77F">
                  <w:pPr>
                    <w:adjustRightInd w:val="0"/>
                    <w:snapToGrid w:val="0"/>
                    <w:jc w:val="center"/>
                    <w:rPr>
                      <w:color w:val="auto"/>
                      <w:kern w:val="0"/>
                      <w:sz w:val="18"/>
                      <w:szCs w:val="18"/>
                    </w:rPr>
                  </w:pPr>
                  <w:r>
                    <w:rPr>
                      <w:rFonts w:hint="eastAsia"/>
                      <w:color w:val="auto"/>
                      <w:kern w:val="0"/>
                      <w:sz w:val="18"/>
                      <w:szCs w:val="18"/>
                    </w:rPr>
                    <w:t>隔声、减振</w:t>
                  </w:r>
                </w:p>
              </w:tc>
              <w:tc>
                <w:tcPr>
                  <w:tcW w:w="200" w:type="pct"/>
                  <w:vMerge w:val="restart"/>
                  <w:tcMar>
                    <w:left w:w="28" w:type="dxa"/>
                    <w:right w:w="28" w:type="dxa"/>
                  </w:tcMar>
                  <w:vAlign w:val="center"/>
                </w:tcPr>
                <w:p w14:paraId="66F0EB29">
                  <w:pPr>
                    <w:adjustRightInd w:val="0"/>
                    <w:snapToGrid w:val="0"/>
                    <w:jc w:val="center"/>
                    <w:rPr>
                      <w:rFonts w:hint="default" w:eastAsia="宋体"/>
                      <w:color w:val="auto"/>
                      <w:kern w:val="0"/>
                      <w:sz w:val="18"/>
                      <w:szCs w:val="18"/>
                      <w:lang w:val="en-US" w:eastAsia="zh-CN"/>
                    </w:rPr>
                  </w:pPr>
                  <w:r>
                    <w:rPr>
                      <w:rFonts w:hint="eastAsia"/>
                      <w:color w:val="auto"/>
                      <w:kern w:val="0"/>
                      <w:sz w:val="18"/>
                      <w:szCs w:val="18"/>
                      <w:lang w:val="en-US" w:eastAsia="zh-CN"/>
                    </w:rPr>
                    <w:t>25</w:t>
                  </w:r>
                </w:p>
              </w:tc>
              <w:tc>
                <w:tcPr>
                  <w:tcW w:w="200" w:type="pct"/>
                  <w:vMerge w:val="restart"/>
                  <w:tcMar>
                    <w:left w:w="28" w:type="dxa"/>
                    <w:right w:w="28" w:type="dxa"/>
                  </w:tcMar>
                  <w:vAlign w:val="center"/>
                </w:tcPr>
                <w:p w14:paraId="47E3327C">
                  <w:pPr>
                    <w:adjustRightInd w:val="0"/>
                    <w:snapToGrid w:val="0"/>
                    <w:jc w:val="center"/>
                    <w:rPr>
                      <w:rFonts w:hint="default" w:eastAsia="宋体"/>
                      <w:color w:val="auto"/>
                      <w:kern w:val="0"/>
                      <w:sz w:val="18"/>
                      <w:szCs w:val="18"/>
                      <w:lang w:val="en-US" w:eastAsia="zh-CN"/>
                    </w:rPr>
                  </w:pPr>
                  <w:r>
                    <w:rPr>
                      <w:rFonts w:hint="eastAsia"/>
                      <w:color w:val="auto"/>
                      <w:kern w:val="0"/>
                      <w:sz w:val="18"/>
                      <w:szCs w:val="18"/>
                      <w:lang w:val="en-US" w:eastAsia="zh-CN"/>
                    </w:rPr>
                    <w:t>-14</w:t>
                  </w:r>
                </w:p>
              </w:tc>
              <w:tc>
                <w:tcPr>
                  <w:tcW w:w="200" w:type="pct"/>
                  <w:vMerge w:val="restart"/>
                  <w:tcMar>
                    <w:left w:w="28" w:type="dxa"/>
                    <w:right w:w="28" w:type="dxa"/>
                  </w:tcMar>
                  <w:vAlign w:val="center"/>
                </w:tcPr>
                <w:p w14:paraId="00A3C7B3">
                  <w:pPr>
                    <w:adjustRightInd w:val="0"/>
                    <w:snapToGrid w:val="0"/>
                    <w:jc w:val="center"/>
                    <w:rPr>
                      <w:color w:val="auto"/>
                      <w:kern w:val="0"/>
                      <w:sz w:val="18"/>
                      <w:szCs w:val="18"/>
                    </w:rPr>
                  </w:pPr>
                  <w:r>
                    <w:rPr>
                      <w:rFonts w:hint="eastAsia"/>
                      <w:color w:val="auto"/>
                      <w:kern w:val="0"/>
                      <w:sz w:val="18"/>
                      <w:szCs w:val="18"/>
                    </w:rPr>
                    <w:t>1</w:t>
                  </w:r>
                </w:p>
              </w:tc>
              <w:tc>
                <w:tcPr>
                  <w:tcW w:w="508" w:type="pct"/>
                  <w:tcMar>
                    <w:left w:w="28" w:type="dxa"/>
                    <w:right w:w="28" w:type="dxa"/>
                  </w:tcMar>
                  <w:vAlign w:val="center"/>
                </w:tcPr>
                <w:p w14:paraId="167BA601">
                  <w:pPr>
                    <w:adjustRightInd w:val="0"/>
                    <w:snapToGrid w:val="0"/>
                    <w:jc w:val="center"/>
                    <w:rPr>
                      <w:rFonts w:hint="eastAsia" w:eastAsia="宋体"/>
                      <w:color w:val="auto"/>
                      <w:kern w:val="0"/>
                      <w:sz w:val="18"/>
                      <w:szCs w:val="18"/>
                      <w:lang w:eastAsia="zh-CN"/>
                    </w:rPr>
                  </w:pPr>
                  <w:r>
                    <w:rPr>
                      <w:rFonts w:hint="eastAsia"/>
                      <w:color w:val="auto"/>
                      <w:kern w:val="0"/>
                      <w:sz w:val="18"/>
                      <w:szCs w:val="18"/>
                      <w:lang w:val="en-US" w:eastAsia="zh-CN"/>
                    </w:rPr>
                    <w:t>136</w:t>
                  </w:r>
                  <w:r>
                    <w:rPr>
                      <w:rFonts w:hint="eastAsia"/>
                      <w:color w:val="auto"/>
                      <w:kern w:val="0"/>
                      <w:sz w:val="18"/>
                      <w:szCs w:val="18"/>
                      <w:lang w:eastAsia="zh-CN"/>
                    </w:rPr>
                    <w:t>（</w:t>
                  </w:r>
                  <w:r>
                    <w:rPr>
                      <w:rFonts w:hint="eastAsia"/>
                      <w:color w:val="auto"/>
                      <w:kern w:val="0"/>
                      <w:sz w:val="18"/>
                      <w:szCs w:val="18"/>
                      <w:lang w:val="en-US" w:eastAsia="zh-CN"/>
                    </w:rPr>
                    <w:t>E</w:t>
                  </w:r>
                  <w:r>
                    <w:rPr>
                      <w:rFonts w:hint="eastAsia"/>
                      <w:color w:val="auto"/>
                      <w:kern w:val="0"/>
                      <w:sz w:val="18"/>
                      <w:szCs w:val="18"/>
                      <w:lang w:eastAsia="zh-CN"/>
                    </w:rPr>
                    <w:t>）</w:t>
                  </w:r>
                </w:p>
              </w:tc>
              <w:tc>
                <w:tcPr>
                  <w:tcW w:w="855" w:type="dxa"/>
                  <w:tcMar>
                    <w:left w:w="28" w:type="dxa"/>
                    <w:right w:w="28" w:type="dxa"/>
                  </w:tcMar>
                  <w:vAlign w:val="center"/>
                </w:tcPr>
                <w:p w14:paraId="06FA7C76">
                  <w:pPr>
                    <w:adjustRightInd w:val="0"/>
                    <w:snapToGrid w:val="0"/>
                    <w:jc w:val="center"/>
                    <w:rPr>
                      <w:rFonts w:hint="default" w:eastAsia="宋体"/>
                      <w:color w:val="auto"/>
                      <w:kern w:val="0"/>
                      <w:sz w:val="18"/>
                      <w:szCs w:val="18"/>
                      <w:lang w:val="en-US" w:eastAsia="zh-CN"/>
                    </w:rPr>
                  </w:pPr>
                  <w:r>
                    <w:rPr>
                      <w:rFonts w:hint="eastAsia" w:eastAsia="宋体"/>
                      <w:color w:val="auto"/>
                      <w:kern w:val="0"/>
                      <w:sz w:val="18"/>
                      <w:szCs w:val="18"/>
                      <w:lang w:val="en-US" w:eastAsia="zh-CN"/>
                    </w:rPr>
                    <w:t>37.4</w:t>
                  </w:r>
                </w:p>
              </w:tc>
              <w:tc>
                <w:tcPr>
                  <w:tcW w:w="491" w:type="pct"/>
                  <w:tcMar>
                    <w:left w:w="28" w:type="dxa"/>
                    <w:right w:w="28" w:type="dxa"/>
                  </w:tcMar>
                  <w:vAlign w:val="center"/>
                </w:tcPr>
                <w:p w14:paraId="0B8F81DE">
                  <w:pPr>
                    <w:adjustRightInd w:val="0"/>
                    <w:snapToGrid w:val="0"/>
                    <w:jc w:val="center"/>
                    <w:rPr>
                      <w:color w:val="auto"/>
                      <w:kern w:val="0"/>
                      <w:sz w:val="18"/>
                      <w:szCs w:val="18"/>
                    </w:rPr>
                  </w:pPr>
                  <w:r>
                    <w:rPr>
                      <w:rFonts w:hint="eastAsia"/>
                      <w:color w:val="auto"/>
                      <w:kern w:val="0"/>
                      <w:sz w:val="18"/>
                      <w:szCs w:val="18"/>
                    </w:rPr>
                    <w:t>25</w:t>
                  </w:r>
                </w:p>
              </w:tc>
              <w:tc>
                <w:tcPr>
                  <w:tcW w:w="968" w:type="dxa"/>
                  <w:tcMar>
                    <w:left w:w="28" w:type="dxa"/>
                    <w:right w:w="28" w:type="dxa"/>
                  </w:tcMar>
                  <w:vAlign w:val="center"/>
                </w:tcPr>
                <w:p w14:paraId="5C4A82C0">
                  <w:pPr>
                    <w:adjustRightInd w:val="0"/>
                    <w:snapToGrid w:val="0"/>
                    <w:jc w:val="center"/>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12.4</w:t>
                  </w:r>
                </w:p>
              </w:tc>
              <w:tc>
                <w:tcPr>
                  <w:tcW w:w="496" w:type="pct"/>
                  <w:tcMar>
                    <w:left w:w="28" w:type="dxa"/>
                    <w:right w:w="28" w:type="dxa"/>
                  </w:tcMar>
                  <w:vAlign w:val="center"/>
                </w:tcPr>
                <w:p w14:paraId="713C2ED0">
                  <w:pPr>
                    <w:adjustRightInd w:val="0"/>
                    <w:snapToGrid w:val="0"/>
                    <w:jc w:val="center"/>
                    <w:rPr>
                      <w:color w:val="auto"/>
                      <w:kern w:val="0"/>
                      <w:sz w:val="18"/>
                      <w:szCs w:val="18"/>
                    </w:rPr>
                  </w:pPr>
                  <w:r>
                    <w:rPr>
                      <w:rFonts w:hint="eastAsia"/>
                      <w:color w:val="auto"/>
                      <w:kern w:val="0"/>
                      <w:sz w:val="18"/>
                      <w:szCs w:val="18"/>
                    </w:rPr>
                    <w:t>1</w:t>
                  </w:r>
                </w:p>
              </w:tc>
            </w:tr>
            <w:tr w14:paraId="1CD1BD8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94" w:hRule="atLeast"/>
              </w:trPr>
              <w:tc>
                <w:tcPr>
                  <w:tcW w:w="342" w:type="pct"/>
                  <w:vMerge w:val="continue"/>
                  <w:tcMar>
                    <w:left w:w="28" w:type="dxa"/>
                    <w:right w:w="28" w:type="dxa"/>
                  </w:tcMar>
                  <w:vAlign w:val="center"/>
                </w:tcPr>
                <w:p w14:paraId="0DBF6A1F">
                  <w:pPr>
                    <w:adjustRightInd w:val="0"/>
                    <w:snapToGrid w:val="0"/>
                    <w:jc w:val="center"/>
                    <w:rPr>
                      <w:rFonts w:hint="eastAsia"/>
                      <w:color w:val="auto"/>
                      <w:kern w:val="0"/>
                      <w:sz w:val="18"/>
                      <w:szCs w:val="18"/>
                    </w:rPr>
                  </w:pPr>
                </w:p>
              </w:tc>
              <w:tc>
                <w:tcPr>
                  <w:tcW w:w="359" w:type="pct"/>
                  <w:vMerge w:val="continue"/>
                  <w:tcMar>
                    <w:left w:w="28" w:type="dxa"/>
                    <w:right w:w="28" w:type="dxa"/>
                  </w:tcMar>
                  <w:vAlign w:val="center"/>
                </w:tcPr>
                <w:p w14:paraId="4BB3242E">
                  <w:pPr>
                    <w:adjustRightInd w:val="0"/>
                    <w:snapToGrid w:val="0"/>
                    <w:jc w:val="center"/>
                    <w:rPr>
                      <w:rFonts w:hint="eastAsia"/>
                      <w:color w:val="auto"/>
                      <w:kern w:val="0"/>
                      <w:sz w:val="18"/>
                      <w:szCs w:val="18"/>
                      <w:lang w:val="en-US" w:eastAsia="zh-CN"/>
                    </w:rPr>
                  </w:pPr>
                </w:p>
              </w:tc>
              <w:tc>
                <w:tcPr>
                  <w:tcW w:w="333" w:type="pct"/>
                  <w:vMerge w:val="continue"/>
                  <w:tcMar>
                    <w:left w:w="28" w:type="dxa"/>
                    <w:right w:w="28" w:type="dxa"/>
                  </w:tcMar>
                  <w:vAlign w:val="center"/>
                </w:tcPr>
                <w:p w14:paraId="512AC952">
                  <w:pPr>
                    <w:adjustRightInd w:val="0"/>
                    <w:snapToGrid w:val="0"/>
                    <w:jc w:val="center"/>
                    <w:rPr>
                      <w:rFonts w:hint="eastAsia"/>
                      <w:color w:val="auto"/>
                      <w:kern w:val="0"/>
                      <w:sz w:val="18"/>
                      <w:szCs w:val="18"/>
                    </w:rPr>
                  </w:pPr>
                </w:p>
              </w:tc>
              <w:tc>
                <w:tcPr>
                  <w:tcW w:w="457" w:type="pct"/>
                  <w:vMerge w:val="continue"/>
                  <w:tcMar>
                    <w:left w:w="28" w:type="dxa"/>
                    <w:right w:w="28" w:type="dxa"/>
                  </w:tcMar>
                  <w:vAlign w:val="center"/>
                </w:tcPr>
                <w:p w14:paraId="620A4B74">
                  <w:pPr>
                    <w:adjustRightInd w:val="0"/>
                    <w:snapToGrid w:val="0"/>
                    <w:jc w:val="center"/>
                    <w:rPr>
                      <w:rFonts w:hint="eastAsia"/>
                      <w:color w:val="auto"/>
                      <w:kern w:val="0"/>
                      <w:sz w:val="18"/>
                      <w:szCs w:val="18"/>
                    </w:rPr>
                  </w:pPr>
                </w:p>
              </w:tc>
              <w:tc>
                <w:tcPr>
                  <w:tcW w:w="381" w:type="pct"/>
                  <w:vMerge w:val="continue"/>
                  <w:tcMar>
                    <w:left w:w="28" w:type="dxa"/>
                    <w:right w:w="28" w:type="dxa"/>
                  </w:tcMar>
                  <w:vAlign w:val="center"/>
                </w:tcPr>
                <w:p w14:paraId="6925AFF7">
                  <w:pPr>
                    <w:adjustRightInd w:val="0"/>
                    <w:snapToGrid w:val="0"/>
                    <w:jc w:val="center"/>
                    <w:rPr>
                      <w:rFonts w:hint="eastAsia"/>
                      <w:color w:val="auto"/>
                      <w:kern w:val="0"/>
                      <w:sz w:val="18"/>
                      <w:szCs w:val="18"/>
                    </w:rPr>
                  </w:pPr>
                </w:p>
              </w:tc>
              <w:tc>
                <w:tcPr>
                  <w:tcW w:w="200" w:type="pct"/>
                  <w:vMerge w:val="continue"/>
                  <w:tcMar>
                    <w:left w:w="28" w:type="dxa"/>
                    <w:right w:w="28" w:type="dxa"/>
                  </w:tcMar>
                  <w:vAlign w:val="center"/>
                </w:tcPr>
                <w:p w14:paraId="639FFD98">
                  <w:pPr>
                    <w:adjustRightInd w:val="0"/>
                    <w:snapToGrid w:val="0"/>
                    <w:jc w:val="center"/>
                    <w:rPr>
                      <w:rFonts w:hint="eastAsia"/>
                      <w:color w:val="auto"/>
                      <w:kern w:val="0"/>
                      <w:sz w:val="18"/>
                      <w:szCs w:val="18"/>
                    </w:rPr>
                  </w:pPr>
                </w:p>
              </w:tc>
              <w:tc>
                <w:tcPr>
                  <w:tcW w:w="200" w:type="pct"/>
                  <w:vMerge w:val="continue"/>
                  <w:tcMar>
                    <w:left w:w="28" w:type="dxa"/>
                    <w:right w:w="28" w:type="dxa"/>
                  </w:tcMar>
                  <w:vAlign w:val="center"/>
                </w:tcPr>
                <w:p w14:paraId="071F67C1">
                  <w:pPr>
                    <w:adjustRightInd w:val="0"/>
                    <w:snapToGrid w:val="0"/>
                    <w:jc w:val="center"/>
                    <w:rPr>
                      <w:rFonts w:hint="eastAsia"/>
                      <w:color w:val="auto"/>
                      <w:kern w:val="0"/>
                      <w:sz w:val="18"/>
                      <w:szCs w:val="18"/>
                    </w:rPr>
                  </w:pPr>
                </w:p>
              </w:tc>
              <w:tc>
                <w:tcPr>
                  <w:tcW w:w="200" w:type="pct"/>
                  <w:vMerge w:val="continue"/>
                  <w:tcMar>
                    <w:left w:w="28" w:type="dxa"/>
                    <w:right w:w="28" w:type="dxa"/>
                  </w:tcMar>
                  <w:vAlign w:val="center"/>
                </w:tcPr>
                <w:p w14:paraId="18F93BD4">
                  <w:pPr>
                    <w:adjustRightInd w:val="0"/>
                    <w:snapToGrid w:val="0"/>
                    <w:jc w:val="center"/>
                    <w:rPr>
                      <w:rFonts w:hint="eastAsia"/>
                      <w:color w:val="auto"/>
                      <w:kern w:val="0"/>
                      <w:sz w:val="18"/>
                      <w:szCs w:val="18"/>
                    </w:rPr>
                  </w:pPr>
                </w:p>
              </w:tc>
              <w:tc>
                <w:tcPr>
                  <w:tcW w:w="508" w:type="pct"/>
                  <w:tcMar>
                    <w:left w:w="28" w:type="dxa"/>
                    <w:right w:w="28" w:type="dxa"/>
                  </w:tcMar>
                  <w:vAlign w:val="center"/>
                </w:tcPr>
                <w:p w14:paraId="43291D63">
                  <w:pPr>
                    <w:adjustRightInd w:val="0"/>
                    <w:snapToGrid w:val="0"/>
                    <w:jc w:val="center"/>
                    <w:rPr>
                      <w:rFonts w:hint="eastAsia" w:eastAsia="宋体"/>
                      <w:color w:val="auto"/>
                      <w:kern w:val="0"/>
                      <w:sz w:val="18"/>
                      <w:szCs w:val="18"/>
                      <w:lang w:eastAsia="zh-CN"/>
                    </w:rPr>
                  </w:pPr>
                  <w:r>
                    <w:rPr>
                      <w:rFonts w:hint="eastAsia"/>
                      <w:color w:val="auto"/>
                      <w:kern w:val="0"/>
                      <w:sz w:val="18"/>
                      <w:szCs w:val="18"/>
                      <w:lang w:val="en-US" w:eastAsia="zh-CN"/>
                    </w:rPr>
                    <w:t>27</w:t>
                  </w:r>
                  <w:r>
                    <w:rPr>
                      <w:rFonts w:hint="eastAsia"/>
                      <w:color w:val="auto"/>
                      <w:kern w:val="0"/>
                      <w:sz w:val="18"/>
                      <w:szCs w:val="18"/>
                      <w:lang w:eastAsia="zh-CN"/>
                    </w:rPr>
                    <w:t>（</w:t>
                  </w:r>
                  <w:r>
                    <w:rPr>
                      <w:rFonts w:hint="eastAsia"/>
                      <w:color w:val="auto"/>
                      <w:kern w:val="0"/>
                      <w:sz w:val="18"/>
                      <w:szCs w:val="18"/>
                      <w:lang w:val="en-US" w:eastAsia="zh-CN"/>
                    </w:rPr>
                    <w:t>S</w:t>
                  </w:r>
                  <w:r>
                    <w:rPr>
                      <w:rFonts w:hint="eastAsia"/>
                      <w:color w:val="auto"/>
                      <w:kern w:val="0"/>
                      <w:sz w:val="18"/>
                      <w:szCs w:val="18"/>
                      <w:lang w:eastAsia="zh-CN"/>
                    </w:rPr>
                    <w:t>）</w:t>
                  </w:r>
                </w:p>
              </w:tc>
              <w:tc>
                <w:tcPr>
                  <w:tcW w:w="855" w:type="dxa"/>
                  <w:tcMar>
                    <w:left w:w="28" w:type="dxa"/>
                    <w:right w:w="28" w:type="dxa"/>
                  </w:tcMar>
                  <w:vAlign w:val="center"/>
                </w:tcPr>
                <w:p w14:paraId="2BCAC224">
                  <w:pPr>
                    <w:adjustRightInd w:val="0"/>
                    <w:snapToGrid w:val="0"/>
                    <w:jc w:val="center"/>
                    <w:rPr>
                      <w:rFonts w:hint="default" w:eastAsia="宋体"/>
                      <w:color w:val="auto"/>
                      <w:kern w:val="0"/>
                      <w:sz w:val="18"/>
                      <w:szCs w:val="18"/>
                      <w:lang w:val="en-US" w:eastAsia="zh-CN"/>
                    </w:rPr>
                  </w:pPr>
                  <w:r>
                    <w:rPr>
                      <w:rFonts w:hint="eastAsia" w:eastAsia="宋体"/>
                      <w:color w:val="auto"/>
                      <w:kern w:val="0"/>
                      <w:sz w:val="18"/>
                      <w:szCs w:val="18"/>
                      <w:lang w:val="en-US" w:eastAsia="zh-CN"/>
                    </w:rPr>
                    <w:t>51.5</w:t>
                  </w:r>
                </w:p>
              </w:tc>
              <w:tc>
                <w:tcPr>
                  <w:tcW w:w="491" w:type="pct"/>
                  <w:tcMar>
                    <w:left w:w="28" w:type="dxa"/>
                    <w:right w:w="28" w:type="dxa"/>
                  </w:tcMar>
                  <w:vAlign w:val="center"/>
                </w:tcPr>
                <w:p w14:paraId="59603FDE">
                  <w:pPr>
                    <w:adjustRightInd w:val="0"/>
                    <w:snapToGrid w:val="0"/>
                    <w:jc w:val="center"/>
                    <w:rPr>
                      <w:rFonts w:hint="eastAsia"/>
                      <w:color w:val="auto"/>
                      <w:kern w:val="0"/>
                      <w:sz w:val="18"/>
                      <w:szCs w:val="18"/>
                    </w:rPr>
                  </w:pPr>
                  <w:r>
                    <w:rPr>
                      <w:rFonts w:hint="eastAsia"/>
                      <w:color w:val="auto"/>
                      <w:kern w:val="0"/>
                      <w:sz w:val="18"/>
                      <w:szCs w:val="18"/>
                    </w:rPr>
                    <w:t>25</w:t>
                  </w:r>
                </w:p>
              </w:tc>
              <w:tc>
                <w:tcPr>
                  <w:tcW w:w="968" w:type="dxa"/>
                  <w:tcMar>
                    <w:left w:w="28" w:type="dxa"/>
                    <w:right w:w="28" w:type="dxa"/>
                  </w:tcMar>
                  <w:vAlign w:val="center"/>
                </w:tcPr>
                <w:p w14:paraId="6E3DE20F">
                  <w:pPr>
                    <w:adjustRightInd w:val="0"/>
                    <w:snapToGrid w:val="0"/>
                    <w:jc w:val="center"/>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26.5</w:t>
                  </w:r>
                </w:p>
              </w:tc>
              <w:tc>
                <w:tcPr>
                  <w:tcW w:w="496" w:type="pct"/>
                  <w:tcMar>
                    <w:left w:w="28" w:type="dxa"/>
                    <w:right w:w="28" w:type="dxa"/>
                  </w:tcMar>
                  <w:vAlign w:val="center"/>
                </w:tcPr>
                <w:p w14:paraId="53B15F01">
                  <w:pPr>
                    <w:adjustRightInd w:val="0"/>
                    <w:snapToGrid w:val="0"/>
                    <w:jc w:val="center"/>
                    <w:rPr>
                      <w:rFonts w:hint="eastAsia"/>
                      <w:color w:val="auto"/>
                      <w:kern w:val="0"/>
                      <w:sz w:val="18"/>
                      <w:szCs w:val="18"/>
                    </w:rPr>
                  </w:pPr>
                  <w:r>
                    <w:rPr>
                      <w:rFonts w:hint="eastAsia"/>
                      <w:color w:val="auto"/>
                      <w:kern w:val="0"/>
                      <w:sz w:val="18"/>
                      <w:szCs w:val="18"/>
                    </w:rPr>
                    <w:t>1</w:t>
                  </w:r>
                </w:p>
              </w:tc>
            </w:tr>
            <w:tr w14:paraId="09D7327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94" w:hRule="atLeast"/>
              </w:trPr>
              <w:tc>
                <w:tcPr>
                  <w:tcW w:w="342" w:type="pct"/>
                  <w:vMerge w:val="continue"/>
                  <w:tcMar>
                    <w:left w:w="28" w:type="dxa"/>
                    <w:right w:w="28" w:type="dxa"/>
                  </w:tcMar>
                  <w:vAlign w:val="center"/>
                </w:tcPr>
                <w:p w14:paraId="3C33F87C">
                  <w:pPr>
                    <w:adjustRightInd w:val="0"/>
                    <w:snapToGrid w:val="0"/>
                    <w:jc w:val="center"/>
                    <w:rPr>
                      <w:rFonts w:hint="eastAsia"/>
                      <w:color w:val="auto"/>
                      <w:kern w:val="0"/>
                      <w:sz w:val="18"/>
                      <w:szCs w:val="18"/>
                    </w:rPr>
                  </w:pPr>
                </w:p>
              </w:tc>
              <w:tc>
                <w:tcPr>
                  <w:tcW w:w="359" w:type="pct"/>
                  <w:vMerge w:val="continue"/>
                  <w:tcMar>
                    <w:left w:w="28" w:type="dxa"/>
                    <w:right w:w="28" w:type="dxa"/>
                  </w:tcMar>
                  <w:vAlign w:val="center"/>
                </w:tcPr>
                <w:p w14:paraId="5EF12EA2">
                  <w:pPr>
                    <w:adjustRightInd w:val="0"/>
                    <w:snapToGrid w:val="0"/>
                    <w:jc w:val="center"/>
                    <w:rPr>
                      <w:rFonts w:hint="eastAsia"/>
                      <w:color w:val="auto"/>
                      <w:kern w:val="0"/>
                      <w:sz w:val="18"/>
                      <w:szCs w:val="18"/>
                      <w:lang w:val="en-US" w:eastAsia="zh-CN"/>
                    </w:rPr>
                  </w:pPr>
                </w:p>
              </w:tc>
              <w:tc>
                <w:tcPr>
                  <w:tcW w:w="333" w:type="pct"/>
                  <w:vMerge w:val="continue"/>
                  <w:tcMar>
                    <w:left w:w="28" w:type="dxa"/>
                    <w:right w:w="28" w:type="dxa"/>
                  </w:tcMar>
                  <w:vAlign w:val="center"/>
                </w:tcPr>
                <w:p w14:paraId="73EE135D">
                  <w:pPr>
                    <w:adjustRightInd w:val="0"/>
                    <w:snapToGrid w:val="0"/>
                    <w:jc w:val="center"/>
                    <w:rPr>
                      <w:rFonts w:hint="eastAsia"/>
                      <w:color w:val="auto"/>
                      <w:kern w:val="0"/>
                      <w:sz w:val="18"/>
                      <w:szCs w:val="18"/>
                    </w:rPr>
                  </w:pPr>
                </w:p>
              </w:tc>
              <w:tc>
                <w:tcPr>
                  <w:tcW w:w="457" w:type="pct"/>
                  <w:vMerge w:val="continue"/>
                  <w:tcMar>
                    <w:left w:w="28" w:type="dxa"/>
                    <w:right w:w="28" w:type="dxa"/>
                  </w:tcMar>
                  <w:vAlign w:val="center"/>
                </w:tcPr>
                <w:p w14:paraId="5E82C1A0">
                  <w:pPr>
                    <w:adjustRightInd w:val="0"/>
                    <w:snapToGrid w:val="0"/>
                    <w:jc w:val="center"/>
                    <w:rPr>
                      <w:rFonts w:hint="eastAsia"/>
                      <w:color w:val="auto"/>
                      <w:kern w:val="0"/>
                      <w:sz w:val="18"/>
                      <w:szCs w:val="18"/>
                    </w:rPr>
                  </w:pPr>
                </w:p>
              </w:tc>
              <w:tc>
                <w:tcPr>
                  <w:tcW w:w="381" w:type="pct"/>
                  <w:vMerge w:val="continue"/>
                  <w:tcMar>
                    <w:left w:w="28" w:type="dxa"/>
                    <w:right w:w="28" w:type="dxa"/>
                  </w:tcMar>
                  <w:vAlign w:val="center"/>
                </w:tcPr>
                <w:p w14:paraId="06322250">
                  <w:pPr>
                    <w:adjustRightInd w:val="0"/>
                    <w:snapToGrid w:val="0"/>
                    <w:jc w:val="center"/>
                    <w:rPr>
                      <w:rFonts w:hint="eastAsia"/>
                      <w:color w:val="auto"/>
                      <w:kern w:val="0"/>
                      <w:sz w:val="18"/>
                      <w:szCs w:val="18"/>
                    </w:rPr>
                  </w:pPr>
                </w:p>
              </w:tc>
              <w:tc>
                <w:tcPr>
                  <w:tcW w:w="200" w:type="pct"/>
                  <w:vMerge w:val="continue"/>
                  <w:tcMar>
                    <w:left w:w="28" w:type="dxa"/>
                    <w:right w:w="28" w:type="dxa"/>
                  </w:tcMar>
                  <w:vAlign w:val="center"/>
                </w:tcPr>
                <w:p w14:paraId="12192316">
                  <w:pPr>
                    <w:adjustRightInd w:val="0"/>
                    <w:snapToGrid w:val="0"/>
                    <w:jc w:val="center"/>
                    <w:rPr>
                      <w:rFonts w:hint="eastAsia"/>
                      <w:color w:val="auto"/>
                      <w:kern w:val="0"/>
                      <w:sz w:val="18"/>
                      <w:szCs w:val="18"/>
                    </w:rPr>
                  </w:pPr>
                </w:p>
              </w:tc>
              <w:tc>
                <w:tcPr>
                  <w:tcW w:w="200" w:type="pct"/>
                  <w:vMerge w:val="continue"/>
                  <w:tcMar>
                    <w:left w:w="28" w:type="dxa"/>
                    <w:right w:w="28" w:type="dxa"/>
                  </w:tcMar>
                  <w:vAlign w:val="center"/>
                </w:tcPr>
                <w:p w14:paraId="5722BB4F">
                  <w:pPr>
                    <w:adjustRightInd w:val="0"/>
                    <w:snapToGrid w:val="0"/>
                    <w:jc w:val="center"/>
                    <w:rPr>
                      <w:rFonts w:hint="eastAsia"/>
                      <w:color w:val="auto"/>
                      <w:kern w:val="0"/>
                      <w:sz w:val="18"/>
                      <w:szCs w:val="18"/>
                    </w:rPr>
                  </w:pPr>
                </w:p>
              </w:tc>
              <w:tc>
                <w:tcPr>
                  <w:tcW w:w="200" w:type="pct"/>
                  <w:vMerge w:val="continue"/>
                  <w:tcMar>
                    <w:left w:w="28" w:type="dxa"/>
                    <w:right w:w="28" w:type="dxa"/>
                  </w:tcMar>
                  <w:vAlign w:val="center"/>
                </w:tcPr>
                <w:p w14:paraId="0399E952">
                  <w:pPr>
                    <w:adjustRightInd w:val="0"/>
                    <w:snapToGrid w:val="0"/>
                    <w:jc w:val="center"/>
                    <w:rPr>
                      <w:rFonts w:hint="eastAsia"/>
                      <w:color w:val="auto"/>
                      <w:kern w:val="0"/>
                      <w:sz w:val="18"/>
                      <w:szCs w:val="18"/>
                    </w:rPr>
                  </w:pPr>
                </w:p>
              </w:tc>
              <w:tc>
                <w:tcPr>
                  <w:tcW w:w="508" w:type="pct"/>
                  <w:tcMar>
                    <w:left w:w="28" w:type="dxa"/>
                    <w:right w:w="28" w:type="dxa"/>
                  </w:tcMar>
                  <w:vAlign w:val="center"/>
                </w:tcPr>
                <w:p w14:paraId="0BEE16D2">
                  <w:pPr>
                    <w:adjustRightInd w:val="0"/>
                    <w:snapToGrid w:val="0"/>
                    <w:jc w:val="center"/>
                    <w:rPr>
                      <w:rFonts w:hint="eastAsia" w:eastAsia="宋体"/>
                      <w:color w:val="auto"/>
                      <w:kern w:val="0"/>
                      <w:sz w:val="18"/>
                      <w:szCs w:val="18"/>
                      <w:lang w:eastAsia="zh-CN"/>
                    </w:rPr>
                  </w:pPr>
                  <w:r>
                    <w:rPr>
                      <w:rFonts w:hint="eastAsia"/>
                      <w:color w:val="auto"/>
                      <w:kern w:val="0"/>
                      <w:sz w:val="18"/>
                      <w:szCs w:val="18"/>
                      <w:lang w:val="en-US" w:eastAsia="zh-CN"/>
                    </w:rPr>
                    <w:t>52</w:t>
                  </w:r>
                  <w:r>
                    <w:rPr>
                      <w:rFonts w:hint="eastAsia"/>
                      <w:color w:val="auto"/>
                      <w:kern w:val="0"/>
                      <w:sz w:val="18"/>
                      <w:szCs w:val="18"/>
                      <w:lang w:eastAsia="zh-CN"/>
                    </w:rPr>
                    <w:t>（</w:t>
                  </w:r>
                  <w:r>
                    <w:rPr>
                      <w:rFonts w:hint="eastAsia"/>
                      <w:color w:val="auto"/>
                      <w:kern w:val="0"/>
                      <w:sz w:val="18"/>
                      <w:szCs w:val="18"/>
                      <w:lang w:val="en-US" w:eastAsia="zh-CN"/>
                    </w:rPr>
                    <w:t>W</w:t>
                  </w:r>
                  <w:r>
                    <w:rPr>
                      <w:rFonts w:hint="eastAsia"/>
                      <w:color w:val="auto"/>
                      <w:kern w:val="0"/>
                      <w:sz w:val="18"/>
                      <w:szCs w:val="18"/>
                      <w:lang w:eastAsia="zh-CN"/>
                    </w:rPr>
                    <w:t>）</w:t>
                  </w:r>
                </w:p>
              </w:tc>
              <w:tc>
                <w:tcPr>
                  <w:tcW w:w="855" w:type="dxa"/>
                  <w:tcMar>
                    <w:left w:w="28" w:type="dxa"/>
                    <w:right w:w="28" w:type="dxa"/>
                  </w:tcMar>
                  <w:vAlign w:val="center"/>
                </w:tcPr>
                <w:p w14:paraId="294C410B">
                  <w:pPr>
                    <w:adjustRightInd w:val="0"/>
                    <w:snapToGrid w:val="0"/>
                    <w:jc w:val="center"/>
                    <w:rPr>
                      <w:rFonts w:hint="default" w:eastAsia="宋体"/>
                      <w:color w:val="auto"/>
                      <w:kern w:val="0"/>
                      <w:sz w:val="18"/>
                      <w:szCs w:val="18"/>
                      <w:lang w:val="en-US" w:eastAsia="zh-CN"/>
                    </w:rPr>
                  </w:pPr>
                  <w:r>
                    <w:rPr>
                      <w:rFonts w:hint="eastAsia" w:eastAsia="宋体"/>
                      <w:color w:val="auto"/>
                      <w:kern w:val="0"/>
                      <w:sz w:val="18"/>
                      <w:szCs w:val="18"/>
                      <w:lang w:val="en-US" w:eastAsia="zh-CN"/>
                    </w:rPr>
                    <w:t>45.7</w:t>
                  </w:r>
                </w:p>
              </w:tc>
              <w:tc>
                <w:tcPr>
                  <w:tcW w:w="491" w:type="pct"/>
                  <w:tcMar>
                    <w:left w:w="28" w:type="dxa"/>
                    <w:right w:w="28" w:type="dxa"/>
                  </w:tcMar>
                  <w:vAlign w:val="center"/>
                </w:tcPr>
                <w:p w14:paraId="3CA524C9">
                  <w:pPr>
                    <w:adjustRightInd w:val="0"/>
                    <w:snapToGrid w:val="0"/>
                    <w:jc w:val="center"/>
                    <w:rPr>
                      <w:rFonts w:hint="eastAsia"/>
                      <w:color w:val="auto"/>
                      <w:kern w:val="0"/>
                      <w:sz w:val="18"/>
                      <w:szCs w:val="18"/>
                    </w:rPr>
                  </w:pPr>
                  <w:r>
                    <w:rPr>
                      <w:rFonts w:hint="eastAsia"/>
                      <w:color w:val="auto"/>
                      <w:kern w:val="0"/>
                      <w:sz w:val="18"/>
                      <w:szCs w:val="18"/>
                    </w:rPr>
                    <w:t>25</w:t>
                  </w:r>
                </w:p>
              </w:tc>
              <w:tc>
                <w:tcPr>
                  <w:tcW w:w="968" w:type="dxa"/>
                  <w:tcMar>
                    <w:left w:w="28" w:type="dxa"/>
                    <w:right w:w="28" w:type="dxa"/>
                  </w:tcMar>
                  <w:vAlign w:val="center"/>
                </w:tcPr>
                <w:p w14:paraId="7C58A24F">
                  <w:pPr>
                    <w:adjustRightInd w:val="0"/>
                    <w:snapToGrid w:val="0"/>
                    <w:jc w:val="center"/>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20.7</w:t>
                  </w:r>
                </w:p>
              </w:tc>
              <w:tc>
                <w:tcPr>
                  <w:tcW w:w="496" w:type="pct"/>
                  <w:tcMar>
                    <w:left w:w="28" w:type="dxa"/>
                    <w:right w:w="28" w:type="dxa"/>
                  </w:tcMar>
                  <w:vAlign w:val="center"/>
                </w:tcPr>
                <w:p w14:paraId="30506CB6">
                  <w:pPr>
                    <w:adjustRightInd w:val="0"/>
                    <w:snapToGrid w:val="0"/>
                    <w:jc w:val="center"/>
                    <w:rPr>
                      <w:rFonts w:hint="eastAsia"/>
                      <w:color w:val="auto"/>
                      <w:kern w:val="0"/>
                      <w:sz w:val="18"/>
                      <w:szCs w:val="18"/>
                    </w:rPr>
                  </w:pPr>
                  <w:r>
                    <w:rPr>
                      <w:rFonts w:hint="eastAsia"/>
                      <w:color w:val="auto"/>
                      <w:kern w:val="0"/>
                      <w:sz w:val="18"/>
                      <w:szCs w:val="18"/>
                    </w:rPr>
                    <w:t>1</w:t>
                  </w:r>
                </w:p>
              </w:tc>
            </w:tr>
            <w:tr w14:paraId="7FE7A19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94" w:hRule="atLeast"/>
              </w:trPr>
              <w:tc>
                <w:tcPr>
                  <w:tcW w:w="342" w:type="pct"/>
                  <w:vMerge w:val="continue"/>
                  <w:tcMar>
                    <w:left w:w="28" w:type="dxa"/>
                    <w:right w:w="28" w:type="dxa"/>
                  </w:tcMar>
                  <w:vAlign w:val="center"/>
                </w:tcPr>
                <w:p w14:paraId="23C157D4">
                  <w:pPr>
                    <w:adjustRightInd w:val="0"/>
                    <w:snapToGrid w:val="0"/>
                    <w:jc w:val="center"/>
                    <w:rPr>
                      <w:rFonts w:hint="eastAsia"/>
                      <w:color w:val="auto"/>
                      <w:kern w:val="0"/>
                      <w:sz w:val="18"/>
                      <w:szCs w:val="18"/>
                    </w:rPr>
                  </w:pPr>
                </w:p>
              </w:tc>
              <w:tc>
                <w:tcPr>
                  <w:tcW w:w="359" w:type="pct"/>
                  <w:vMerge w:val="continue"/>
                  <w:tcMar>
                    <w:left w:w="28" w:type="dxa"/>
                    <w:right w:w="28" w:type="dxa"/>
                  </w:tcMar>
                  <w:vAlign w:val="center"/>
                </w:tcPr>
                <w:p w14:paraId="7272DE58">
                  <w:pPr>
                    <w:adjustRightInd w:val="0"/>
                    <w:snapToGrid w:val="0"/>
                    <w:jc w:val="center"/>
                    <w:rPr>
                      <w:rFonts w:hint="eastAsia"/>
                      <w:color w:val="auto"/>
                      <w:kern w:val="0"/>
                      <w:sz w:val="18"/>
                      <w:szCs w:val="18"/>
                      <w:lang w:val="en-US" w:eastAsia="zh-CN"/>
                    </w:rPr>
                  </w:pPr>
                </w:p>
              </w:tc>
              <w:tc>
                <w:tcPr>
                  <w:tcW w:w="333" w:type="pct"/>
                  <w:vMerge w:val="continue"/>
                  <w:tcMar>
                    <w:left w:w="28" w:type="dxa"/>
                    <w:right w:w="28" w:type="dxa"/>
                  </w:tcMar>
                  <w:vAlign w:val="center"/>
                </w:tcPr>
                <w:p w14:paraId="3643D7DC">
                  <w:pPr>
                    <w:adjustRightInd w:val="0"/>
                    <w:snapToGrid w:val="0"/>
                    <w:jc w:val="center"/>
                    <w:rPr>
                      <w:rFonts w:hint="eastAsia"/>
                      <w:color w:val="auto"/>
                      <w:kern w:val="0"/>
                      <w:sz w:val="18"/>
                      <w:szCs w:val="18"/>
                    </w:rPr>
                  </w:pPr>
                </w:p>
              </w:tc>
              <w:tc>
                <w:tcPr>
                  <w:tcW w:w="457" w:type="pct"/>
                  <w:vMerge w:val="continue"/>
                  <w:tcMar>
                    <w:left w:w="28" w:type="dxa"/>
                    <w:right w:w="28" w:type="dxa"/>
                  </w:tcMar>
                  <w:vAlign w:val="center"/>
                </w:tcPr>
                <w:p w14:paraId="63159621">
                  <w:pPr>
                    <w:adjustRightInd w:val="0"/>
                    <w:snapToGrid w:val="0"/>
                    <w:jc w:val="center"/>
                    <w:rPr>
                      <w:rFonts w:hint="eastAsia"/>
                      <w:color w:val="auto"/>
                      <w:kern w:val="0"/>
                      <w:sz w:val="18"/>
                      <w:szCs w:val="18"/>
                    </w:rPr>
                  </w:pPr>
                </w:p>
              </w:tc>
              <w:tc>
                <w:tcPr>
                  <w:tcW w:w="381" w:type="pct"/>
                  <w:vMerge w:val="continue"/>
                  <w:tcMar>
                    <w:left w:w="28" w:type="dxa"/>
                    <w:right w:w="28" w:type="dxa"/>
                  </w:tcMar>
                  <w:vAlign w:val="center"/>
                </w:tcPr>
                <w:p w14:paraId="59528310">
                  <w:pPr>
                    <w:adjustRightInd w:val="0"/>
                    <w:snapToGrid w:val="0"/>
                    <w:jc w:val="center"/>
                    <w:rPr>
                      <w:rFonts w:hint="eastAsia"/>
                      <w:color w:val="auto"/>
                      <w:kern w:val="0"/>
                      <w:sz w:val="18"/>
                      <w:szCs w:val="18"/>
                    </w:rPr>
                  </w:pPr>
                </w:p>
              </w:tc>
              <w:tc>
                <w:tcPr>
                  <w:tcW w:w="200" w:type="pct"/>
                  <w:vMerge w:val="continue"/>
                  <w:tcMar>
                    <w:left w:w="28" w:type="dxa"/>
                    <w:right w:w="28" w:type="dxa"/>
                  </w:tcMar>
                  <w:vAlign w:val="center"/>
                </w:tcPr>
                <w:p w14:paraId="3BA95D6F">
                  <w:pPr>
                    <w:adjustRightInd w:val="0"/>
                    <w:snapToGrid w:val="0"/>
                    <w:jc w:val="center"/>
                    <w:rPr>
                      <w:rFonts w:hint="eastAsia"/>
                      <w:color w:val="auto"/>
                      <w:kern w:val="0"/>
                      <w:sz w:val="18"/>
                      <w:szCs w:val="18"/>
                    </w:rPr>
                  </w:pPr>
                </w:p>
              </w:tc>
              <w:tc>
                <w:tcPr>
                  <w:tcW w:w="200" w:type="pct"/>
                  <w:vMerge w:val="continue"/>
                  <w:tcMar>
                    <w:left w:w="28" w:type="dxa"/>
                    <w:right w:w="28" w:type="dxa"/>
                  </w:tcMar>
                  <w:vAlign w:val="center"/>
                </w:tcPr>
                <w:p w14:paraId="5155F04B">
                  <w:pPr>
                    <w:adjustRightInd w:val="0"/>
                    <w:snapToGrid w:val="0"/>
                    <w:jc w:val="center"/>
                    <w:rPr>
                      <w:rFonts w:hint="eastAsia"/>
                      <w:color w:val="auto"/>
                      <w:kern w:val="0"/>
                      <w:sz w:val="18"/>
                      <w:szCs w:val="18"/>
                    </w:rPr>
                  </w:pPr>
                </w:p>
              </w:tc>
              <w:tc>
                <w:tcPr>
                  <w:tcW w:w="200" w:type="pct"/>
                  <w:vMerge w:val="continue"/>
                  <w:tcMar>
                    <w:left w:w="28" w:type="dxa"/>
                    <w:right w:w="28" w:type="dxa"/>
                  </w:tcMar>
                  <w:vAlign w:val="center"/>
                </w:tcPr>
                <w:p w14:paraId="34B2A8A9">
                  <w:pPr>
                    <w:adjustRightInd w:val="0"/>
                    <w:snapToGrid w:val="0"/>
                    <w:jc w:val="center"/>
                    <w:rPr>
                      <w:rFonts w:hint="eastAsia"/>
                      <w:color w:val="auto"/>
                      <w:kern w:val="0"/>
                      <w:sz w:val="18"/>
                      <w:szCs w:val="18"/>
                    </w:rPr>
                  </w:pPr>
                </w:p>
              </w:tc>
              <w:tc>
                <w:tcPr>
                  <w:tcW w:w="508" w:type="pct"/>
                  <w:tcMar>
                    <w:left w:w="28" w:type="dxa"/>
                    <w:right w:w="28" w:type="dxa"/>
                  </w:tcMar>
                  <w:vAlign w:val="center"/>
                </w:tcPr>
                <w:p w14:paraId="5A227289">
                  <w:pPr>
                    <w:adjustRightInd w:val="0"/>
                    <w:snapToGrid w:val="0"/>
                    <w:jc w:val="center"/>
                    <w:rPr>
                      <w:rFonts w:hint="eastAsia" w:eastAsia="宋体"/>
                      <w:color w:val="auto"/>
                      <w:kern w:val="0"/>
                      <w:sz w:val="18"/>
                      <w:szCs w:val="18"/>
                      <w:lang w:eastAsia="zh-CN"/>
                    </w:rPr>
                  </w:pPr>
                  <w:r>
                    <w:rPr>
                      <w:rFonts w:hint="eastAsia"/>
                      <w:color w:val="auto"/>
                      <w:kern w:val="0"/>
                      <w:sz w:val="18"/>
                      <w:szCs w:val="18"/>
                      <w:lang w:val="en-US" w:eastAsia="zh-CN"/>
                    </w:rPr>
                    <w:t>54</w:t>
                  </w:r>
                  <w:r>
                    <w:rPr>
                      <w:rFonts w:hint="eastAsia"/>
                      <w:color w:val="auto"/>
                      <w:kern w:val="0"/>
                      <w:sz w:val="18"/>
                      <w:szCs w:val="18"/>
                      <w:lang w:eastAsia="zh-CN"/>
                    </w:rPr>
                    <w:t>（</w:t>
                  </w:r>
                  <w:r>
                    <w:rPr>
                      <w:rFonts w:hint="eastAsia"/>
                      <w:color w:val="auto"/>
                      <w:kern w:val="0"/>
                      <w:sz w:val="18"/>
                      <w:szCs w:val="18"/>
                      <w:lang w:val="en-US" w:eastAsia="zh-CN"/>
                    </w:rPr>
                    <w:t>N</w:t>
                  </w:r>
                  <w:r>
                    <w:rPr>
                      <w:rFonts w:hint="eastAsia"/>
                      <w:color w:val="auto"/>
                      <w:kern w:val="0"/>
                      <w:sz w:val="18"/>
                      <w:szCs w:val="18"/>
                      <w:lang w:eastAsia="zh-CN"/>
                    </w:rPr>
                    <w:t>）</w:t>
                  </w:r>
                </w:p>
              </w:tc>
              <w:tc>
                <w:tcPr>
                  <w:tcW w:w="855" w:type="dxa"/>
                  <w:tcMar>
                    <w:left w:w="28" w:type="dxa"/>
                    <w:right w:w="28" w:type="dxa"/>
                  </w:tcMar>
                  <w:vAlign w:val="center"/>
                </w:tcPr>
                <w:p w14:paraId="2C030DC0">
                  <w:pPr>
                    <w:adjustRightInd w:val="0"/>
                    <w:snapToGrid w:val="0"/>
                    <w:jc w:val="center"/>
                    <w:rPr>
                      <w:rFonts w:hint="default" w:eastAsia="宋体"/>
                      <w:color w:val="auto"/>
                      <w:kern w:val="0"/>
                      <w:sz w:val="18"/>
                      <w:szCs w:val="18"/>
                      <w:lang w:val="en-US" w:eastAsia="zh-CN"/>
                    </w:rPr>
                  </w:pPr>
                  <w:r>
                    <w:rPr>
                      <w:rFonts w:hint="eastAsia" w:eastAsia="宋体"/>
                      <w:color w:val="auto"/>
                      <w:kern w:val="0"/>
                      <w:sz w:val="18"/>
                      <w:szCs w:val="18"/>
                      <w:lang w:val="en-US" w:eastAsia="zh-CN"/>
                    </w:rPr>
                    <w:t>46.0</w:t>
                  </w:r>
                </w:p>
              </w:tc>
              <w:tc>
                <w:tcPr>
                  <w:tcW w:w="491" w:type="pct"/>
                  <w:tcMar>
                    <w:left w:w="28" w:type="dxa"/>
                    <w:right w:w="28" w:type="dxa"/>
                  </w:tcMar>
                  <w:vAlign w:val="center"/>
                </w:tcPr>
                <w:p w14:paraId="14BE5C15">
                  <w:pPr>
                    <w:adjustRightInd w:val="0"/>
                    <w:snapToGrid w:val="0"/>
                    <w:jc w:val="center"/>
                    <w:rPr>
                      <w:rFonts w:hint="eastAsia"/>
                      <w:color w:val="auto"/>
                      <w:kern w:val="0"/>
                      <w:sz w:val="18"/>
                      <w:szCs w:val="18"/>
                    </w:rPr>
                  </w:pPr>
                  <w:r>
                    <w:rPr>
                      <w:rFonts w:hint="eastAsia"/>
                      <w:color w:val="auto"/>
                      <w:kern w:val="0"/>
                      <w:sz w:val="18"/>
                      <w:szCs w:val="18"/>
                    </w:rPr>
                    <w:t>25</w:t>
                  </w:r>
                </w:p>
              </w:tc>
              <w:tc>
                <w:tcPr>
                  <w:tcW w:w="968" w:type="dxa"/>
                  <w:tcMar>
                    <w:left w:w="28" w:type="dxa"/>
                    <w:right w:w="28" w:type="dxa"/>
                  </w:tcMar>
                  <w:vAlign w:val="center"/>
                </w:tcPr>
                <w:p w14:paraId="521A1ECC">
                  <w:pPr>
                    <w:adjustRightInd w:val="0"/>
                    <w:snapToGrid w:val="0"/>
                    <w:jc w:val="center"/>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21</w:t>
                  </w:r>
                </w:p>
              </w:tc>
              <w:tc>
                <w:tcPr>
                  <w:tcW w:w="496" w:type="pct"/>
                  <w:tcMar>
                    <w:left w:w="28" w:type="dxa"/>
                    <w:right w:w="28" w:type="dxa"/>
                  </w:tcMar>
                  <w:vAlign w:val="center"/>
                </w:tcPr>
                <w:p w14:paraId="7AADC9D0">
                  <w:pPr>
                    <w:adjustRightInd w:val="0"/>
                    <w:snapToGrid w:val="0"/>
                    <w:jc w:val="center"/>
                    <w:rPr>
                      <w:rFonts w:hint="eastAsia"/>
                      <w:color w:val="auto"/>
                      <w:kern w:val="0"/>
                      <w:sz w:val="18"/>
                      <w:szCs w:val="18"/>
                    </w:rPr>
                  </w:pPr>
                  <w:r>
                    <w:rPr>
                      <w:rFonts w:hint="eastAsia"/>
                      <w:color w:val="auto"/>
                      <w:kern w:val="0"/>
                      <w:sz w:val="18"/>
                      <w:szCs w:val="18"/>
                    </w:rPr>
                    <w:t>1</w:t>
                  </w:r>
                </w:p>
              </w:tc>
            </w:tr>
            <w:tr w14:paraId="207610CF">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94" w:hRule="atLeast"/>
              </w:trPr>
              <w:tc>
                <w:tcPr>
                  <w:tcW w:w="342" w:type="pct"/>
                  <w:vMerge w:val="continue"/>
                  <w:tcMar>
                    <w:left w:w="28" w:type="dxa"/>
                    <w:right w:w="28" w:type="dxa"/>
                  </w:tcMar>
                  <w:vAlign w:val="center"/>
                </w:tcPr>
                <w:p w14:paraId="23DB7E03">
                  <w:pPr>
                    <w:adjustRightInd w:val="0"/>
                    <w:snapToGrid w:val="0"/>
                    <w:jc w:val="center"/>
                    <w:rPr>
                      <w:rFonts w:hint="eastAsia"/>
                      <w:color w:val="auto"/>
                      <w:kern w:val="0"/>
                      <w:sz w:val="18"/>
                      <w:szCs w:val="18"/>
                    </w:rPr>
                  </w:pPr>
                </w:p>
              </w:tc>
              <w:tc>
                <w:tcPr>
                  <w:tcW w:w="359" w:type="pct"/>
                  <w:vMerge w:val="restart"/>
                  <w:tcMar>
                    <w:left w:w="28" w:type="dxa"/>
                    <w:right w:w="28" w:type="dxa"/>
                  </w:tcMar>
                  <w:vAlign w:val="center"/>
                </w:tcPr>
                <w:p w14:paraId="1F4AD1A8">
                  <w:pPr>
                    <w:adjustRightInd w:val="0"/>
                    <w:snapToGrid w:val="0"/>
                    <w:jc w:val="center"/>
                    <w:rPr>
                      <w:rFonts w:hint="default"/>
                      <w:color w:val="auto"/>
                      <w:kern w:val="0"/>
                      <w:sz w:val="18"/>
                      <w:szCs w:val="18"/>
                      <w:lang w:val="en-US" w:eastAsia="zh-CN"/>
                    </w:rPr>
                  </w:pPr>
                  <w:r>
                    <w:rPr>
                      <w:rFonts w:hint="eastAsia"/>
                      <w:color w:val="auto"/>
                      <w:kern w:val="0"/>
                      <w:sz w:val="18"/>
                      <w:szCs w:val="18"/>
                      <w:lang w:val="en-US" w:eastAsia="zh-CN"/>
                    </w:rPr>
                    <w:t>高温蒸汽清洗机</w:t>
                  </w:r>
                </w:p>
              </w:tc>
              <w:tc>
                <w:tcPr>
                  <w:tcW w:w="333" w:type="pct"/>
                  <w:vMerge w:val="restart"/>
                  <w:tcMar>
                    <w:left w:w="28" w:type="dxa"/>
                    <w:right w:w="28" w:type="dxa"/>
                  </w:tcMar>
                  <w:vAlign w:val="center"/>
                </w:tcPr>
                <w:p w14:paraId="3018E056">
                  <w:pPr>
                    <w:adjustRightInd w:val="0"/>
                    <w:snapToGrid w:val="0"/>
                    <w:jc w:val="center"/>
                    <w:rPr>
                      <w:rFonts w:hint="eastAsia" w:eastAsia="宋体"/>
                      <w:color w:val="auto"/>
                      <w:kern w:val="0"/>
                      <w:sz w:val="18"/>
                      <w:szCs w:val="18"/>
                      <w:lang w:val="en-US" w:eastAsia="zh-CN"/>
                    </w:rPr>
                  </w:pPr>
                  <w:r>
                    <w:rPr>
                      <w:rFonts w:hint="eastAsia"/>
                      <w:color w:val="auto"/>
                      <w:kern w:val="0"/>
                      <w:sz w:val="18"/>
                      <w:szCs w:val="18"/>
                      <w:lang w:val="en-US" w:eastAsia="zh-CN"/>
                    </w:rPr>
                    <w:t>1</w:t>
                  </w:r>
                </w:p>
              </w:tc>
              <w:tc>
                <w:tcPr>
                  <w:tcW w:w="457" w:type="pct"/>
                  <w:vMerge w:val="restart"/>
                  <w:tcMar>
                    <w:left w:w="28" w:type="dxa"/>
                    <w:right w:w="28" w:type="dxa"/>
                  </w:tcMar>
                  <w:vAlign w:val="center"/>
                </w:tcPr>
                <w:p w14:paraId="428A22DD">
                  <w:pPr>
                    <w:adjustRightInd w:val="0"/>
                    <w:snapToGrid w:val="0"/>
                    <w:jc w:val="center"/>
                    <w:rPr>
                      <w:rFonts w:hint="default" w:eastAsia="宋体"/>
                      <w:color w:val="auto"/>
                      <w:kern w:val="0"/>
                      <w:sz w:val="18"/>
                      <w:szCs w:val="18"/>
                      <w:lang w:val="en-US" w:eastAsia="zh-CN"/>
                    </w:rPr>
                  </w:pPr>
                  <w:r>
                    <w:rPr>
                      <w:rFonts w:hint="eastAsia"/>
                      <w:color w:val="auto"/>
                      <w:kern w:val="0"/>
                      <w:sz w:val="18"/>
                      <w:szCs w:val="18"/>
                      <w:lang w:val="en-US" w:eastAsia="zh-CN"/>
                    </w:rPr>
                    <w:t>75</w:t>
                  </w:r>
                </w:p>
              </w:tc>
              <w:tc>
                <w:tcPr>
                  <w:tcW w:w="381" w:type="pct"/>
                  <w:vMerge w:val="continue"/>
                  <w:tcMar>
                    <w:left w:w="28" w:type="dxa"/>
                    <w:right w:w="28" w:type="dxa"/>
                  </w:tcMar>
                  <w:vAlign w:val="center"/>
                </w:tcPr>
                <w:p w14:paraId="25812231">
                  <w:pPr>
                    <w:adjustRightInd w:val="0"/>
                    <w:snapToGrid w:val="0"/>
                    <w:jc w:val="center"/>
                    <w:rPr>
                      <w:rFonts w:hint="eastAsia"/>
                      <w:color w:val="auto"/>
                      <w:kern w:val="0"/>
                      <w:sz w:val="18"/>
                      <w:szCs w:val="18"/>
                    </w:rPr>
                  </w:pPr>
                </w:p>
              </w:tc>
              <w:tc>
                <w:tcPr>
                  <w:tcW w:w="200" w:type="pct"/>
                  <w:vMerge w:val="restart"/>
                  <w:tcMar>
                    <w:left w:w="28" w:type="dxa"/>
                    <w:right w:w="28" w:type="dxa"/>
                  </w:tcMar>
                  <w:vAlign w:val="center"/>
                </w:tcPr>
                <w:p w14:paraId="6CD320F4">
                  <w:pPr>
                    <w:adjustRightInd w:val="0"/>
                    <w:snapToGrid w:val="0"/>
                    <w:jc w:val="center"/>
                    <w:rPr>
                      <w:rFonts w:hint="default" w:eastAsia="宋体"/>
                      <w:color w:val="auto"/>
                      <w:kern w:val="0"/>
                      <w:sz w:val="18"/>
                      <w:szCs w:val="18"/>
                      <w:lang w:val="en-US" w:eastAsia="zh-CN"/>
                    </w:rPr>
                  </w:pPr>
                  <w:r>
                    <w:rPr>
                      <w:rFonts w:hint="eastAsia"/>
                      <w:color w:val="auto"/>
                      <w:kern w:val="0"/>
                      <w:sz w:val="18"/>
                      <w:szCs w:val="18"/>
                      <w:lang w:val="en-US" w:eastAsia="zh-CN"/>
                    </w:rPr>
                    <w:t>-60</w:t>
                  </w:r>
                </w:p>
              </w:tc>
              <w:tc>
                <w:tcPr>
                  <w:tcW w:w="200" w:type="pct"/>
                  <w:vMerge w:val="restart"/>
                  <w:tcMar>
                    <w:left w:w="28" w:type="dxa"/>
                    <w:right w:w="28" w:type="dxa"/>
                  </w:tcMar>
                  <w:vAlign w:val="center"/>
                </w:tcPr>
                <w:p w14:paraId="5EFBA5D0">
                  <w:pPr>
                    <w:adjustRightInd w:val="0"/>
                    <w:snapToGrid w:val="0"/>
                    <w:jc w:val="center"/>
                    <w:rPr>
                      <w:rFonts w:hint="default" w:eastAsia="宋体"/>
                      <w:color w:val="auto"/>
                      <w:kern w:val="0"/>
                      <w:sz w:val="18"/>
                      <w:szCs w:val="18"/>
                      <w:lang w:val="en-US" w:eastAsia="zh-CN"/>
                    </w:rPr>
                  </w:pPr>
                  <w:r>
                    <w:rPr>
                      <w:rFonts w:hint="eastAsia"/>
                      <w:color w:val="auto"/>
                      <w:kern w:val="0"/>
                      <w:sz w:val="18"/>
                      <w:szCs w:val="18"/>
                      <w:lang w:val="en-US" w:eastAsia="zh-CN"/>
                    </w:rPr>
                    <w:t>-8</w:t>
                  </w:r>
                </w:p>
              </w:tc>
              <w:tc>
                <w:tcPr>
                  <w:tcW w:w="200" w:type="pct"/>
                  <w:vMerge w:val="restart"/>
                  <w:tcMar>
                    <w:left w:w="28" w:type="dxa"/>
                    <w:right w:w="28" w:type="dxa"/>
                  </w:tcMar>
                  <w:vAlign w:val="center"/>
                </w:tcPr>
                <w:p w14:paraId="3EDC1F27">
                  <w:pPr>
                    <w:adjustRightInd w:val="0"/>
                    <w:snapToGrid w:val="0"/>
                    <w:jc w:val="center"/>
                    <w:rPr>
                      <w:rFonts w:hint="eastAsia" w:eastAsia="宋体"/>
                      <w:color w:val="auto"/>
                      <w:kern w:val="0"/>
                      <w:sz w:val="18"/>
                      <w:szCs w:val="18"/>
                      <w:lang w:val="en-US" w:eastAsia="zh-CN"/>
                    </w:rPr>
                  </w:pPr>
                  <w:r>
                    <w:rPr>
                      <w:rFonts w:hint="eastAsia"/>
                      <w:color w:val="auto"/>
                      <w:kern w:val="0"/>
                      <w:sz w:val="18"/>
                      <w:szCs w:val="18"/>
                      <w:lang w:val="en-US" w:eastAsia="zh-CN"/>
                    </w:rPr>
                    <w:t>1</w:t>
                  </w:r>
                </w:p>
              </w:tc>
              <w:tc>
                <w:tcPr>
                  <w:tcW w:w="900" w:type="dxa"/>
                  <w:tcMar>
                    <w:left w:w="28" w:type="dxa"/>
                    <w:right w:w="28" w:type="dxa"/>
                  </w:tcMar>
                  <w:vAlign w:val="center"/>
                </w:tcPr>
                <w:p w14:paraId="77634BB8">
                  <w:pPr>
                    <w:adjustRightInd w:val="0"/>
                    <w:snapToGrid w:val="0"/>
                    <w:jc w:val="center"/>
                    <w:rPr>
                      <w:rFonts w:hint="eastAsia"/>
                      <w:color w:val="auto"/>
                      <w:kern w:val="0"/>
                      <w:sz w:val="18"/>
                      <w:szCs w:val="18"/>
                      <w:lang w:val="en-US" w:eastAsia="zh-CN"/>
                    </w:rPr>
                  </w:pPr>
                  <w:r>
                    <w:rPr>
                      <w:rFonts w:hint="eastAsia"/>
                      <w:color w:val="auto"/>
                      <w:kern w:val="0"/>
                      <w:sz w:val="18"/>
                      <w:szCs w:val="18"/>
                      <w:lang w:val="en-US" w:eastAsia="zh-CN"/>
                    </w:rPr>
                    <w:t>143</w:t>
                  </w:r>
                  <w:r>
                    <w:rPr>
                      <w:rFonts w:hint="eastAsia"/>
                      <w:color w:val="auto"/>
                      <w:kern w:val="0"/>
                      <w:sz w:val="18"/>
                      <w:szCs w:val="18"/>
                      <w:lang w:eastAsia="zh-CN"/>
                    </w:rPr>
                    <w:t>（</w:t>
                  </w:r>
                  <w:r>
                    <w:rPr>
                      <w:rFonts w:hint="eastAsia"/>
                      <w:color w:val="auto"/>
                      <w:kern w:val="0"/>
                      <w:sz w:val="18"/>
                      <w:szCs w:val="18"/>
                      <w:lang w:val="en-US" w:eastAsia="zh-CN"/>
                    </w:rPr>
                    <w:t>E</w:t>
                  </w:r>
                  <w:r>
                    <w:rPr>
                      <w:rFonts w:hint="eastAsia"/>
                      <w:color w:val="auto"/>
                      <w:kern w:val="0"/>
                      <w:sz w:val="18"/>
                      <w:szCs w:val="18"/>
                      <w:lang w:eastAsia="zh-CN"/>
                    </w:rPr>
                    <w:t>）</w:t>
                  </w:r>
                </w:p>
              </w:tc>
              <w:tc>
                <w:tcPr>
                  <w:tcW w:w="482" w:type="pct"/>
                  <w:tcMar>
                    <w:left w:w="28" w:type="dxa"/>
                    <w:right w:w="28" w:type="dxa"/>
                  </w:tcMar>
                  <w:vAlign w:val="center"/>
                </w:tcPr>
                <w:p w14:paraId="1CB34AE0">
                  <w:pPr>
                    <w:adjustRightInd w:val="0"/>
                    <w:snapToGrid w:val="0"/>
                    <w:jc w:val="center"/>
                    <w:rPr>
                      <w:rFonts w:hint="default"/>
                      <w:color w:val="auto"/>
                      <w:kern w:val="0"/>
                      <w:sz w:val="18"/>
                      <w:szCs w:val="18"/>
                      <w:lang w:val="en-US" w:eastAsia="zh-CN"/>
                    </w:rPr>
                  </w:pPr>
                  <w:r>
                    <w:rPr>
                      <w:rFonts w:hint="eastAsia"/>
                      <w:color w:val="auto"/>
                      <w:kern w:val="0"/>
                      <w:sz w:val="18"/>
                      <w:szCs w:val="18"/>
                      <w:lang w:val="en-US" w:eastAsia="zh-CN"/>
                    </w:rPr>
                    <w:t>38.5</w:t>
                  </w:r>
                </w:p>
              </w:tc>
              <w:tc>
                <w:tcPr>
                  <w:tcW w:w="491" w:type="pct"/>
                  <w:tcMar>
                    <w:left w:w="28" w:type="dxa"/>
                    <w:right w:w="28" w:type="dxa"/>
                  </w:tcMar>
                  <w:vAlign w:val="center"/>
                </w:tcPr>
                <w:p w14:paraId="20EAFBDF">
                  <w:pPr>
                    <w:adjustRightInd w:val="0"/>
                    <w:snapToGrid w:val="0"/>
                    <w:jc w:val="center"/>
                    <w:rPr>
                      <w:rFonts w:hint="eastAsia"/>
                      <w:color w:val="auto"/>
                      <w:kern w:val="0"/>
                      <w:sz w:val="18"/>
                      <w:szCs w:val="18"/>
                    </w:rPr>
                  </w:pPr>
                  <w:r>
                    <w:rPr>
                      <w:rFonts w:hint="eastAsia"/>
                      <w:color w:val="auto"/>
                      <w:kern w:val="0"/>
                      <w:sz w:val="18"/>
                      <w:szCs w:val="18"/>
                    </w:rPr>
                    <w:t>25</w:t>
                  </w:r>
                </w:p>
              </w:tc>
              <w:tc>
                <w:tcPr>
                  <w:tcW w:w="968" w:type="dxa"/>
                  <w:tcMar>
                    <w:left w:w="28" w:type="dxa"/>
                    <w:right w:w="28" w:type="dxa"/>
                  </w:tcMar>
                  <w:vAlign w:val="center"/>
                </w:tcPr>
                <w:p w14:paraId="1043ADFD">
                  <w:pPr>
                    <w:adjustRightInd w:val="0"/>
                    <w:snapToGrid w:val="0"/>
                    <w:jc w:val="center"/>
                    <w:rPr>
                      <w:rFonts w:hint="eastAsia"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13.5</w:t>
                  </w:r>
                </w:p>
              </w:tc>
              <w:tc>
                <w:tcPr>
                  <w:tcW w:w="496" w:type="pct"/>
                  <w:tcMar>
                    <w:left w:w="28" w:type="dxa"/>
                    <w:right w:w="28" w:type="dxa"/>
                  </w:tcMar>
                  <w:vAlign w:val="center"/>
                </w:tcPr>
                <w:p w14:paraId="62532515">
                  <w:pPr>
                    <w:adjustRightInd w:val="0"/>
                    <w:snapToGrid w:val="0"/>
                    <w:jc w:val="center"/>
                    <w:rPr>
                      <w:rFonts w:hint="eastAsia"/>
                      <w:color w:val="auto"/>
                      <w:kern w:val="0"/>
                      <w:sz w:val="18"/>
                      <w:szCs w:val="18"/>
                    </w:rPr>
                  </w:pPr>
                  <w:r>
                    <w:rPr>
                      <w:rFonts w:hint="eastAsia"/>
                      <w:color w:val="auto"/>
                      <w:kern w:val="0"/>
                      <w:sz w:val="18"/>
                      <w:szCs w:val="18"/>
                    </w:rPr>
                    <w:t>1</w:t>
                  </w:r>
                </w:p>
              </w:tc>
            </w:tr>
            <w:tr w14:paraId="0CDB3947">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94" w:hRule="atLeast"/>
              </w:trPr>
              <w:tc>
                <w:tcPr>
                  <w:tcW w:w="342" w:type="pct"/>
                  <w:vMerge w:val="continue"/>
                  <w:tcMar>
                    <w:left w:w="28" w:type="dxa"/>
                    <w:right w:w="28" w:type="dxa"/>
                  </w:tcMar>
                  <w:vAlign w:val="center"/>
                </w:tcPr>
                <w:p w14:paraId="27A8BBBD">
                  <w:pPr>
                    <w:adjustRightInd w:val="0"/>
                    <w:snapToGrid w:val="0"/>
                    <w:jc w:val="center"/>
                    <w:rPr>
                      <w:rFonts w:hint="eastAsia"/>
                      <w:color w:val="auto"/>
                      <w:kern w:val="0"/>
                      <w:sz w:val="18"/>
                      <w:szCs w:val="18"/>
                    </w:rPr>
                  </w:pPr>
                </w:p>
              </w:tc>
              <w:tc>
                <w:tcPr>
                  <w:tcW w:w="359" w:type="pct"/>
                  <w:vMerge w:val="continue"/>
                  <w:tcMar>
                    <w:left w:w="28" w:type="dxa"/>
                    <w:right w:w="28" w:type="dxa"/>
                  </w:tcMar>
                  <w:vAlign w:val="center"/>
                </w:tcPr>
                <w:p w14:paraId="53A6716F">
                  <w:pPr>
                    <w:adjustRightInd w:val="0"/>
                    <w:snapToGrid w:val="0"/>
                    <w:jc w:val="center"/>
                    <w:rPr>
                      <w:rFonts w:hint="eastAsia"/>
                      <w:color w:val="auto"/>
                      <w:kern w:val="0"/>
                      <w:sz w:val="18"/>
                      <w:szCs w:val="18"/>
                      <w:lang w:val="en-US" w:eastAsia="zh-CN"/>
                    </w:rPr>
                  </w:pPr>
                </w:p>
              </w:tc>
              <w:tc>
                <w:tcPr>
                  <w:tcW w:w="333" w:type="pct"/>
                  <w:vMerge w:val="continue"/>
                  <w:tcMar>
                    <w:left w:w="28" w:type="dxa"/>
                    <w:right w:w="28" w:type="dxa"/>
                  </w:tcMar>
                  <w:vAlign w:val="center"/>
                </w:tcPr>
                <w:p w14:paraId="4F0E6804">
                  <w:pPr>
                    <w:adjustRightInd w:val="0"/>
                    <w:snapToGrid w:val="0"/>
                    <w:jc w:val="center"/>
                    <w:rPr>
                      <w:rFonts w:hint="eastAsia"/>
                      <w:color w:val="auto"/>
                      <w:kern w:val="0"/>
                      <w:sz w:val="18"/>
                      <w:szCs w:val="18"/>
                    </w:rPr>
                  </w:pPr>
                </w:p>
              </w:tc>
              <w:tc>
                <w:tcPr>
                  <w:tcW w:w="457" w:type="pct"/>
                  <w:vMerge w:val="continue"/>
                  <w:tcMar>
                    <w:left w:w="28" w:type="dxa"/>
                    <w:right w:w="28" w:type="dxa"/>
                  </w:tcMar>
                  <w:vAlign w:val="center"/>
                </w:tcPr>
                <w:p w14:paraId="6B94B7D5">
                  <w:pPr>
                    <w:adjustRightInd w:val="0"/>
                    <w:snapToGrid w:val="0"/>
                    <w:jc w:val="center"/>
                    <w:rPr>
                      <w:rFonts w:hint="eastAsia"/>
                      <w:color w:val="auto"/>
                      <w:kern w:val="0"/>
                      <w:sz w:val="18"/>
                      <w:szCs w:val="18"/>
                    </w:rPr>
                  </w:pPr>
                </w:p>
              </w:tc>
              <w:tc>
                <w:tcPr>
                  <w:tcW w:w="381" w:type="pct"/>
                  <w:vMerge w:val="continue"/>
                  <w:tcMar>
                    <w:left w:w="28" w:type="dxa"/>
                    <w:right w:w="28" w:type="dxa"/>
                  </w:tcMar>
                  <w:vAlign w:val="center"/>
                </w:tcPr>
                <w:p w14:paraId="18A00406">
                  <w:pPr>
                    <w:adjustRightInd w:val="0"/>
                    <w:snapToGrid w:val="0"/>
                    <w:jc w:val="center"/>
                    <w:rPr>
                      <w:rFonts w:hint="eastAsia"/>
                      <w:color w:val="auto"/>
                      <w:kern w:val="0"/>
                      <w:sz w:val="18"/>
                      <w:szCs w:val="18"/>
                    </w:rPr>
                  </w:pPr>
                </w:p>
              </w:tc>
              <w:tc>
                <w:tcPr>
                  <w:tcW w:w="200" w:type="pct"/>
                  <w:vMerge w:val="continue"/>
                  <w:tcMar>
                    <w:left w:w="28" w:type="dxa"/>
                    <w:right w:w="28" w:type="dxa"/>
                  </w:tcMar>
                  <w:vAlign w:val="center"/>
                </w:tcPr>
                <w:p w14:paraId="1AF7205A">
                  <w:pPr>
                    <w:adjustRightInd w:val="0"/>
                    <w:snapToGrid w:val="0"/>
                    <w:jc w:val="center"/>
                    <w:rPr>
                      <w:rFonts w:hint="eastAsia"/>
                      <w:color w:val="auto"/>
                      <w:kern w:val="0"/>
                      <w:sz w:val="18"/>
                      <w:szCs w:val="18"/>
                    </w:rPr>
                  </w:pPr>
                </w:p>
              </w:tc>
              <w:tc>
                <w:tcPr>
                  <w:tcW w:w="200" w:type="pct"/>
                  <w:vMerge w:val="continue"/>
                  <w:tcMar>
                    <w:left w:w="28" w:type="dxa"/>
                    <w:right w:w="28" w:type="dxa"/>
                  </w:tcMar>
                  <w:vAlign w:val="center"/>
                </w:tcPr>
                <w:p w14:paraId="0C3EF526">
                  <w:pPr>
                    <w:adjustRightInd w:val="0"/>
                    <w:snapToGrid w:val="0"/>
                    <w:jc w:val="center"/>
                    <w:rPr>
                      <w:rFonts w:hint="eastAsia"/>
                      <w:color w:val="auto"/>
                      <w:kern w:val="0"/>
                      <w:sz w:val="18"/>
                      <w:szCs w:val="18"/>
                    </w:rPr>
                  </w:pPr>
                </w:p>
              </w:tc>
              <w:tc>
                <w:tcPr>
                  <w:tcW w:w="200" w:type="pct"/>
                  <w:vMerge w:val="continue"/>
                  <w:tcMar>
                    <w:left w:w="28" w:type="dxa"/>
                    <w:right w:w="28" w:type="dxa"/>
                  </w:tcMar>
                  <w:vAlign w:val="center"/>
                </w:tcPr>
                <w:p w14:paraId="12989062">
                  <w:pPr>
                    <w:adjustRightInd w:val="0"/>
                    <w:snapToGrid w:val="0"/>
                    <w:jc w:val="center"/>
                    <w:rPr>
                      <w:rFonts w:hint="eastAsia"/>
                      <w:color w:val="auto"/>
                      <w:kern w:val="0"/>
                      <w:sz w:val="18"/>
                      <w:szCs w:val="18"/>
                    </w:rPr>
                  </w:pPr>
                </w:p>
              </w:tc>
              <w:tc>
                <w:tcPr>
                  <w:tcW w:w="900" w:type="dxa"/>
                  <w:tcMar>
                    <w:left w:w="28" w:type="dxa"/>
                    <w:right w:w="28" w:type="dxa"/>
                  </w:tcMar>
                  <w:vAlign w:val="center"/>
                </w:tcPr>
                <w:p w14:paraId="21B41FDB">
                  <w:pPr>
                    <w:adjustRightInd w:val="0"/>
                    <w:snapToGrid w:val="0"/>
                    <w:jc w:val="center"/>
                    <w:rPr>
                      <w:rFonts w:hint="eastAsia"/>
                      <w:color w:val="auto"/>
                      <w:kern w:val="0"/>
                      <w:sz w:val="18"/>
                      <w:szCs w:val="18"/>
                      <w:lang w:val="en-US" w:eastAsia="zh-CN"/>
                    </w:rPr>
                  </w:pPr>
                  <w:r>
                    <w:rPr>
                      <w:rFonts w:hint="eastAsia"/>
                      <w:color w:val="auto"/>
                      <w:kern w:val="0"/>
                      <w:sz w:val="18"/>
                      <w:szCs w:val="18"/>
                      <w:lang w:val="en-US" w:eastAsia="zh-CN"/>
                    </w:rPr>
                    <w:t>12</w:t>
                  </w:r>
                  <w:r>
                    <w:rPr>
                      <w:rFonts w:hint="eastAsia"/>
                      <w:color w:val="auto"/>
                      <w:kern w:val="0"/>
                      <w:sz w:val="18"/>
                      <w:szCs w:val="18"/>
                      <w:lang w:eastAsia="zh-CN"/>
                    </w:rPr>
                    <w:t>（</w:t>
                  </w:r>
                  <w:r>
                    <w:rPr>
                      <w:rFonts w:hint="eastAsia"/>
                      <w:color w:val="auto"/>
                      <w:kern w:val="0"/>
                      <w:sz w:val="18"/>
                      <w:szCs w:val="18"/>
                      <w:lang w:val="en-US" w:eastAsia="zh-CN"/>
                    </w:rPr>
                    <w:t>S</w:t>
                  </w:r>
                  <w:r>
                    <w:rPr>
                      <w:rFonts w:hint="eastAsia"/>
                      <w:color w:val="auto"/>
                      <w:kern w:val="0"/>
                      <w:sz w:val="18"/>
                      <w:szCs w:val="18"/>
                      <w:lang w:eastAsia="zh-CN"/>
                    </w:rPr>
                    <w:t>）</w:t>
                  </w:r>
                </w:p>
              </w:tc>
              <w:tc>
                <w:tcPr>
                  <w:tcW w:w="482" w:type="pct"/>
                  <w:tcMar>
                    <w:left w:w="28" w:type="dxa"/>
                    <w:right w:w="28" w:type="dxa"/>
                  </w:tcMar>
                  <w:vAlign w:val="center"/>
                </w:tcPr>
                <w:p w14:paraId="5D28E01E">
                  <w:pPr>
                    <w:adjustRightInd w:val="0"/>
                    <w:snapToGrid w:val="0"/>
                    <w:jc w:val="center"/>
                    <w:rPr>
                      <w:rFonts w:hint="default"/>
                      <w:color w:val="auto"/>
                      <w:kern w:val="0"/>
                      <w:sz w:val="18"/>
                      <w:szCs w:val="18"/>
                      <w:lang w:val="en-US" w:eastAsia="zh-CN"/>
                    </w:rPr>
                  </w:pPr>
                  <w:r>
                    <w:rPr>
                      <w:rFonts w:hint="eastAsia"/>
                      <w:color w:val="auto"/>
                      <w:kern w:val="0"/>
                      <w:sz w:val="18"/>
                      <w:szCs w:val="18"/>
                      <w:lang w:val="en-US" w:eastAsia="zh-CN"/>
                    </w:rPr>
                    <w:t>55.6</w:t>
                  </w:r>
                </w:p>
              </w:tc>
              <w:tc>
                <w:tcPr>
                  <w:tcW w:w="491" w:type="pct"/>
                  <w:tcMar>
                    <w:left w:w="28" w:type="dxa"/>
                    <w:right w:w="28" w:type="dxa"/>
                  </w:tcMar>
                  <w:vAlign w:val="center"/>
                </w:tcPr>
                <w:p w14:paraId="160ED0A3">
                  <w:pPr>
                    <w:adjustRightInd w:val="0"/>
                    <w:snapToGrid w:val="0"/>
                    <w:jc w:val="center"/>
                    <w:rPr>
                      <w:rFonts w:hint="eastAsia"/>
                      <w:color w:val="auto"/>
                      <w:kern w:val="0"/>
                      <w:sz w:val="18"/>
                      <w:szCs w:val="18"/>
                    </w:rPr>
                  </w:pPr>
                  <w:r>
                    <w:rPr>
                      <w:rFonts w:hint="eastAsia"/>
                      <w:color w:val="auto"/>
                      <w:kern w:val="0"/>
                      <w:sz w:val="18"/>
                      <w:szCs w:val="18"/>
                    </w:rPr>
                    <w:t>25</w:t>
                  </w:r>
                </w:p>
              </w:tc>
              <w:tc>
                <w:tcPr>
                  <w:tcW w:w="968" w:type="dxa"/>
                  <w:tcMar>
                    <w:left w:w="28" w:type="dxa"/>
                    <w:right w:w="28" w:type="dxa"/>
                  </w:tcMar>
                  <w:vAlign w:val="center"/>
                </w:tcPr>
                <w:p w14:paraId="11C1BE81">
                  <w:pPr>
                    <w:adjustRightInd w:val="0"/>
                    <w:snapToGrid w:val="0"/>
                    <w:jc w:val="center"/>
                    <w:rPr>
                      <w:rFonts w:hint="eastAsia"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30.6</w:t>
                  </w:r>
                </w:p>
              </w:tc>
              <w:tc>
                <w:tcPr>
                  <w:tcW w:w="496" w:type="pct"/>
                  <w:tcMar>
                    <w:left w:w="28" w:type="dxa"/>
                    <w:right w:w="28" w:type="dxa"/>
                  </w:tcMar>
                  <w:vAlign w:val="center"/>
                </w:tcPr>
                <w:p w14:paraId="734A3628">
                  <w:pPr>
                    <w:adjustRightInd w:val="0"/>
                    <w:snapToGrid w:val="0"/>
                    <w:jc w:val="center"/>
                    <w:rPr>
                      <w:rFonts w:hint="eastAsia"/>
                      <w:color w:val="auto"/>
                      <w:kern w:val="0"/>
                      <w:sz w:val="18"/>
                      <w:szCs w:val="18"/>
                    </w:rPr>
                  </w:pPr>
                  <w:r>
                    <w:rPr>
                      <w:rFonts w:hint="eastAsia"/>
                      <w:color w:val="auto"/>
                      <w:kern w:val="0"/>
                      <w:sz w:val="18"/>
                      <w:szCs w:val="18"/>
                    </w:rPr>
                    <w:t>1</w:t>
                  </w:r>
                </w:p>
              </w:tc>
            </w:tr>
            <w:tr w14:paraId="39960183">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94" w:hRule="atLeast"/>
              </w:trPr>
              <w:tc>
                <w:tcPr>
                  <w:tcW w:w="342" w:type="pct"/>
                  <w:vMerge w:val="continue"/>
                  <w:tcMar>
                    <w:left w:w="28" w:type="dxa"/>
                    <w:right w:w="28" w:type="dxa"/>
                  </w:tcMar>
                  <w:vAlign w:val="center"/>
                </w:tcPr>
                <w:p w14:paraId="66E3362A">
                  <w:pPr>
                    <w:adjustRightInd w:val="0"/>
                    <w:snapToGrid w:val="0"/>
                    <w:jc w:val="center"/>
                    <w:rPr>
                      <w:rFonts w:hint="eastAsia"/>
                      <w:color w:val="auto"/>
                      <w:kern w:val="0"/>
                      <w:sz w:val="18"/>
                      <w:szCs w:val="18"/>
                    </w:rPr>
                  </w:pPr>
                </w:p>
              </w:tc>
              <w:tc>
                <w:tcPr>
                  <w:tcW w:w="359" w:type="pct"/>
                  <w:vMerge w:val="continue"/>
                  <w:tcMar>
                    <w:left w:w="28" w:type="dxa"/>
                    <w:right w:w="28" w:type="dxa"/>
                  </w:tcMar>
                  <w:vAlign w:val="center"/>
                </w:tcPr>
                <w:p w14:paraId="04609B2F">
                  <w:pPr>
                    <w:adjustRightInd w:val="0"/>
                    <w:snapToGrid w:val="0"/>
                    <w:jc w:val="center"/>
                    <w:rPr>
                      <w:rFonts w:hint="eastAsia"/>
                      <w:color w:val="auto"/>
                      <w:kern w:val="0"/>
                      <w:sz w:val="18"/>
                      <w:szCs w:val="18"/>
                      <w:lang w:val="en-US" w:eastAsia="zh-CN"/>
                    </w:rPr>
                  </w:pPr>
                </w:p>
              </w:tc>
              <w:tc>
                <w:tcPr>
                  <w:tcW w:w="333" w:type="pct"/>
                  <w:vMerge w:val="continue"/>
                  <w:tcMar>
                    <w:left w:w="28" w:type="dxa"/>
                    <w:right w:w="28" w:type="dxa"/>
                  </w:tcMar>
                  <w:vAlign w:val="center"/>
                </w:tcPr>
                <w:p w14:paraId="23A958C6">
                  <w:pPr>
                    <w:adjustRightInd w:val="0"/>
                    <w:snapToGrid w:val="0"/>
                    <w:jc w:val="center"/>
                    <w:rPr>
                      <w:rFonts w:hint="eastAsia"/>
                      <w:color w:val="auto"/>
                      <w:kern w:val="0"/>
                      <w:sz w:val="18"/>
                      <w:szCs w:val="18"/>
                    </w:rPr>
                  </w:pPr>
                </w:p>
              </w:tc>
              <w:tc>
                <w:tcPr>
                  <w:tcW w:w="457" w:type="pct"/>
                  <w:vMerge w:val="continue"/>
                  <w:tcMar>
                    <w:left w:w="28" w:type="dxa"/>
                    <w:right w:w="28" w:type="dxa"/>
                  </w:tcMar>
                  <w:vAlign w:val="center"/>
                </w:tcPr>
                <w:p w14:paraId="6B1D15B8">
                  <w:pPr>
                    <w:adjustRightInd w:val="0"/>
                    <w:snapToGrid w:val="0"/>
                    <w:jc w:val="center"/>
                    <w:rPr>
                      <w:rFonts w:hint="eastAsia"/>
                      <w:color w:val="auto"/>
                      <w:kern w:val="0"/>
                      <w:sz w:val="18"/>
                      <w:szCs w:val="18"/>
                    </w:rPr>
                  </w:pPr>
                </w:p>
              </w:tc>
              <w:tc>
                <w:tcPr>
                  <w:tcW w:w="381" w:type="pct"/>
                  <w:vMerge w:val="continue"/>
                  <w:tcMar>
                    <w:left w:w="28" w:type="dxa"/>
                    <w:right w:w="28" w:type="dxa"/>
                  </w:tcMar>
                  <w:vAlign w:val="center"/>
                </w:tcPr>
                <w:p w14:paraId="4E839CE8">
                  <w:pPr>
                    <w:adjustRightInd w:val="0"/>
                    <w:snapToGrid w:val="0"/>
                    <w:jc w:val="center"/>
                    <w:rPr>
                      <w:rFonts w:hint="eastAsia"/>
                      <w:color w:val="auto"/>
                      <w:kern w:val="0"/>
                      <w:sz w:val="18"/>
                      <w:szCs w:val="18"/>
                    </w:rPr>
                  </w:pPr>
                </w:p>
              </w:tc>
              <w:tc>
                <w:tcPr>
                  <w:tcW w:w="200" w:type="pct"/>
                  <w:vMerge w:val="continue"/>
                  <w:tcMar>
                    <w:left w:w="28" w:type="dxa"/>
                    <w:right w:w="28" w:type="dxa"/>
                  </w:tcMar>
                  <w:vAlign w:val="center"/>
                </w:tcPr>
                <w:p w14:paraId="74D9E72B">
                  <w:pPr>
                    <w:adjustRightInd w:val="0"/>
                    <w:snapToGrid w:val="0"/>
                    <w:jc w:val="center"/>
                    <w:rPr>
                      <w:rFonts w:hint="eastAsia"/>
                      <w:color w:val="auto"/>
                      <w:kern w:val="0"/>
                      <w:sz w:val="18"/>
                      <w:szCs w:val="18"/>
                    </w:rPr>
                  </w:pPr>
                </w:p>
              </w:tc>
              <w:tc>
                <w:tcPr>
                  <w:tcW w:w="200" w:type="pct"/>
                  <w:vMerge w:val="continue"/>
                  <w:tcMar>
                    <w:left w:w="28" w:type="dxa"/>
                    <w:right w:w="28" w:type="dxa"/>
                  </w:tcMar>
                  <w:vAlign w:val="center"/>
                </w:tcPr>
                <w:p w14:paraId="532EA8D2">
                  <w:pPr>
                    <w:adjustRightInd w:val="0"/>
                    <w:snapToGrid w:val="0"/>
                    <w:jc w:val="center"/>
                    <w:rPr>
                      <w:rFonts w:hint="eastAsia"/>
                      <w:color w:val="auto"/>
                      <w:kern w:val="0"/>
                      <w:sz w:val="18"/>
                      <w:szCs w:val="18"/>
                    </w:rPr>
                  </w:pPr>
                </w:p>
              </w:tc>
              <w:tc>
                <w:tcPr>
                  <w:tcW w:w="200" w:type="pct"/>
                  <w:vMerge w:val="continue"/>
                  <w:tcMar>
                    <w:left w:w="28" w:type="dxa"/>
                    <w:right w:w="28" w:type="dxa"/>
                  </w:tcMar>
                  <w:vAlign w:val="center"/>
                </w:tcPr>
                <w:p w14:paraId="7A41260D">
                  <w:pPr>
                    <w:adjustRightInd w:val="0"/>
                    <w:snapToGrid w:val="0"/>
                    <w:jc w:val="center"/>
                    <w:rPr>
                      <w:rFonts w:hint="eastAsia"/>
                      <w:color w:val="auto"/>
                      <w:kern w:val="0"/>
                      <w:sz w:val="18"/>
                      <w:szCs w:val="18"/>
                    </w:rPr>
                  </w:pPr>
                </w:p>
              </w:tc>
              <w:tc>
                <w:tcPr>
                  <w:tcW w:w="900" w:type="dxa"/>
                  <w:tcMar>
                    <w:left w:w="28" w:type="dxa"/>
                    <w:right w:w="28" w:type="dxa"/>
                  </w:tcMar>
                  <w:vAlign w:val="center"/>
                </w:tcPr>
                <w:p w14:paraId="2D8F8D36">
                  <w:pPr>
                    <w:adjustRightInd w:val="0"/>
                    <w:snapToGrid w:val="0"/>
                    <w:jc w:val="center"/>
                    <w:rPr>
                      <w:rFonts w:hint="eastAsia"/>
                      <w:color w:val="auto"/>
                      <w:kern w:val="0"/>
                      <w:sz w:val="18"/>
                      <w:szCs w:val="18"/>
                      <w:lang w:val="en-US" w:eastAsia="zh-CN"/>
                    </w:rPr>
                  </w:pPr>
                  <w:r>
                    <w:rPr>
                      <w:rFonts w:hint="eastAsia"/>
                      <w:color w:val="auto"/>
                      <w:kern w:val="0"/>
                      <w:sz w:val="18"/>
                      <w:szCs w:val="18"/>
                      <w:lang w:val="en-US" w:eastAsia="zh-CN"/>
                    </w:rPr>
                    <w:t>45</w:t>
                  </w:r>
                  <w:r>
                    <w:rPr>
                      <w:rFonts w:hint="eastAsia"/>
                      <w:color w:val="auto"/>
                      <w:kern w:val="0"/>
                      <w:sz w:val="18"/>
                      <w:szCs w:val="18"/>
                      <w:lang w:eastAsia="zh-CN"/>
                    </w:rPr>
                    <w:t>（</w:t>
                  </w:r>
                  <w:r>
                    <w:rPr>
                      <w:rFonts w:hint="eastAsia"/>
                      <w:color w:val="auto"/>
                      <w:kern w:val="0"/>
                      <w:sz w:val="18"/>
                      <w:szCs w:val="18"/>
                      <w:lang w:val="en-US" w:eastAsia="zh-CN"/>
                    </w:rPr>
                    <w:t>W</w:t>
                  </w:r>
                  <w:r>
                    <w:rPr>
                      <w:rFonts w:hint="eastAsia"/>
                      <w:color w:val="auto"/>
                      <w:kern w:val="0"/>
                      <w:sz w:val="18"/>
                      <w:szCs w:val="18"/>
                      <w:lang w:eastAsia="zh-CN"/>
                    </w:rPr>
                    <w:t>）</w:t>
                  </w:r>
                </w:p>
              </w:tc>
              <w:tc>
                <w:tcPr>
                  <w:tcW w:w="482" w:type="pct"/>
                  <w:tcMar>
                    <w:left w:w="28" w:type="dxa"/>
                    <w:right w:w="28" w:type="dxa"/>
                  </w:tcMar>
                  <w:vAlign w:val="center"/>
                </w:tcPr>
                <w:p w14:paraId="36B4793C">
                  <w:pPr>
                    <w:adjustRightInd w:val="0"/>
                    <w:snapToGrid w:val="0"/>
                    <w:jc w:val="center"/>
                    <w:rPr>
                      <w:rFonts w:hint="default"/>
                      <w:color w:val="auto"/>
                      <w:kern w:val="0"/>
                      <w:sz w:val="18"/>
                      <w:szCs w:val="18"/>
                      <w:lang w:val="en-US" w:eastAsia="zh-CN"/>
                    </w:rPr>
                  </w:pPr>
                  <w:r>
                    <w:rPr>
                      <w:rFonts w:hint="eastAsia"/>
                      <w:color w:val="auto"/>
                      <w:kern w:val="0"/>
                      <w:sz w:val="18"/>
                      <w:szCs w:val="18"/>
                      <w:lang w:val="en-US" w:eastAsia="zh-CN"/>
                    </w:rPr>
                    <w:t>47.2</w:t>
                  </w:r>
                </w:p>
              </w:tc>
              <w:tc>
                <w:tcPr>
                  <w:tcW w:w="491" w:type="pct"/>
                  <w:tcMar>
                    <w:left w:w="28" w:type="dxa"/>
                    <w:right w:w="28" w:type="dxa"/>
                  </w:tcMar>
                  <w:vAlign w:val="center"/>
                </w:tcPr>
                <w:p w14:paraId="3BCF8F73">
                  <w:pPr>
                    <w:adjustRightInd w:val="0"/>
                    <w:snapToGrid w:val="0"/>
                    <w:jc w:val="center"/>
                    <w:rPr>
                      <w:rFonts w:hint="eastAsia"/>
                      <w:color w:val="auto"/>
                      <w:kern w:val="0"/>
                      <w:sz w:val="18"/>
                      <w:szCs w:val="18"/>
                    </w:rPr>
                  </w:pPr>
                  <w:r>
                    <w:rPr>
                      <w:rFonts w:hint="eastAsia"/>
                      <w:color w:val="auto"/>
                      <w:kern w:val="0"/>
                      <w:sz w:val="18"/>
                      <w:szCs w:val="18"/>
                    </w:rPr>
                    <w:t>25</w:t>
                  </w:r>
                </w:p>
              </w:tc>
              <w:tc>
                <w:tcPr>
                  <w:tcW w:w="968" w:type="dxa"/>
                  <w:tcMar>
                    <w:left w:w="28" w:type="dxa"/>
                    <w:right w:w="28" w:type="dxa"/>
                  </w:tcMar>
                  <w:vAlign w:val="center"/>
                </w:tcPr>
                <w:p w14:paraId="2C7C00DD">
                  <w:pPr>
                    <w:adjustRightInd w:val="0"/>
                    <w:snapToGrid w:val="0"/>
                    <w:jc w:val="center"/>
                    <w:rPr>
                      <w:rFonts w:hint="eastAsia"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22.2</w:t>
                  </w:r>
                </w:p>
              </w:tc>
              <w:tc>
                <w:tcPr>
                  <w:tcW w:w="496" w:type="pct"/>
                  <w:tcMar>
                    <w:left w:w="28" w:type="dxa"/>
                    <w:right w:w="28" w:type="dxa"/>
                  </w:tcMar>
                  <w:vAlign w:val="center"/>
                </w:tcPr>
                <w:p w14:paraId="656D044D">
                  <w:pPr>
                    <w:adjustRightInd w:val="0"/>
                    <w:snapToGrid w:val="0"/>
                    <w:jc w:val="center"/>
                    <w:rPr>
                      <w:rFonts w:hint="eastAsia"/>
                      <w:color w:val="auto"/>
                      <w:kern w:val="0"/>
                      <w:sz w:val="18"/>
                      <w:szCs w:val="18"/>
                    </w:rPr>
                  </w:pPr>
                  <w:r>
                    <w:rPr>
                      <w:rFonts w:hint="eastAsia"/>
                      <w:color w:val="auto"/>
                      <w:kern w:val="0"/>
                      <w:sz w:val="18"/>
                      <w:szCs w:val="18"/>
                    </w:rPr>
                    <w:t>1</w:t>
                  </w:r>
                </w:p>
              </w:tc>
            </w:tr>
            <w:tr w14:paraId="4727287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94" w:hRule="atLeast"/>
              </w:trPr>
              <w:tc>
                <w:tcPr>
                  <w:tcW w:w="342" w:type="pct"/>
                  <w:vMerge w:val="continue"/>
                  <w:tcMar>
                    <w:left w:w="28" w:type="dxa"/>
                    <w:right w:w="28" w:type="dxa"/>
                  </w:tcMar>
                  <w:vAlign w:val="center"/>
                </w:tcPr>
                <w:p w14:paraId="5B464C52">
                  <w:pPr>
                    <w:adjustRightInd w:val="0"/>
                    <w:snapToGrid w:val="0"/>
                    <w:jc w:val="center"/>
                    <w:rPr>
                      <w:rFonts w:hint="eastAsia"/>
                      <w:color w:val="auto"/>
                      <w:kern w:val="0"/>
                      <w:sz w:val="18"/>
                      <w:szCs w:val="18"/>
                    </w:rPr>
                  </w:pPr>
                </w:p>
              </w:tc>
              <w:tc>
                <w:tcPr>
                  <w:tcW w:w="359" w:type="pct"/>
                  <w:vMerge w:val="continue"/>
                  <w:tcMar>
                    <w:left w:w="28" w:type="dxa"/>
                    <w:right w:w="28" w:type="dxa"/>
                  </w:tcMar>
                  <w:vAlign w:val="center"/>
                </w:tcPr>
                <w:p w14:paraId="1C9F9F28">
                  <w:pPr>
                    <w:adjustRightInd w:val="0"/>
                    <w:snapToGrid w:val="0"/>
                    <w:jc w:val="center"/>
                    <w:rPr>
                      <w:rFonts w:hint="eastAsia"/>
                      <w:color w:val="auto"/>
                      <w:kern w:val="0"/>
                      <w:sz w:val="18"/>
                      <w:szCs w:val="18"/>
                      <w:lang w:val="en-US" w:eastAsia="zh-CN"/>
                    </w:rPr>
                  </w:pPr>
                </w:p>
              </w:tc>
              <w:tc>
                <w:tcPr>
                  <w:tcW w:w="333" w:type="pct"/>
                  <w:vMerge w:val="continue"/>
                  <w:tcMar>
                    <w:left w:w="28" w:type="dxa"/>
                    <w:right w:w="28" w:type="dxa"/>
                  </w:tcMar>
                  <w:vAlign w:val="center"/>
                </w:tcPr>
                <w:p w14:paraId="0CDDD75A">
                  <w:pPr>
                    <w:adjustRightInd w:val="0"/>
                    <w:snapToGrid w:val="0"/>
                    <w:jc w:val="center"/>
                    <w:rPr>
                      <w:rFonts w:hint="eastAsia"/>
                      <w:color w:val="auto"/>
                      <w:kern w:val="0"/>
                      <w:sz w:val="18"/>
                      <w:szCs w:val="18"/>
                    </w:rPr>
                  </w:pPr>
                </w:p>
              </w:tc>
              <w:tc>
                <w:tcPr>
                  <w:tcW w:w="457" w:type="pct"/>
                  <w:vMerge w:val="continue"/>
                  <w:tcMar>
                    <w:left w:w="28" w:type="dxa"/>
                    <w:right w:w="28" w:type="dxa"/>
                  </w:tcMar>
                  <w:vAlign w:val="center"/>
                </w:tcPr>
                <w:p w14:paraId="120E22E8">
                  <w:pPr>
                    <w:adjustRightInd w:val="0"/>
                    <w:snapToGrid w:val="0"/>
                    <w:jc w:val="center"/>
                    <w:rPr>
                      <w:rFonts w:hint="eastAsia"/>
                      <w:color w:val="auto"/>
                      <w:kern w:val="0"/>
                      <w:sz w:val="18"/>
                      <w:szCs w:val="18"/>
                    </w:rPr>
                  </w:pPr>
                </w:p>
              </w:tc>
              <w:tc>
                <w:tcPr>
                  <w:tcW w:w="381" w:type="pct"/>
                  <w:vMerge w:val="continue"/>
                  <w:tcMar>
                    <w:left w:w="28" w:type="dxa"/>
                    <w:right w:w="28" w:type="dxa"/>
                  </w:tcMar>
                  <w:vAlign w:val="center"/>
                </w:tcPr>
                <w:p w14:paraId="37A20CCD">
                  <w:pPr>
                    <w:adjustRightInd w:val="0"/>
                    <w:snapToGrid w:val="0"/>
                    <w:jc w:val="center"/>
                    <w:rPr>
                      <w:rFonts w:hint="eastAsia"/>
                      <w:color w:val="auto"/>
                      <w:kern w:val="0"/>
                      <w:sz w:val="18"/>
                      <w:szCs w:val="18"/>
                    </w:rPr>
                  </w:pPr>
                </w:p>
              </w:tc>
              <w:tc>
                <w:tcPr>
                  <w:tcW w:w="200" w:type="pct"/>
                  <w:vMerge w:val="continue"/>
                  <w:tcMar>
                    <w:left w:w="28" w:type="dxa"/>
                    <w:right w:w="28" w:type="dxa"/>
                  </w:tcMar>
                  <w:vAlign w:val="center"/>
                </w:tcPr>
                <w:p w14:paraId="53472AF1">
                  <w:pPr>
                    <w:adjustRightInd w:val="0"/>
                    <w:snapToGrid w:val="0"/>
                    <w:jc w:val="center"/>
                    <w:rPr>
                      <w:rFonts w:hint="eastAsia"/>
                      <w:color w:val="auto"/>
                      <w:kern w:val="0"/>
                      <w:sz w:val="18"/>
                      <w:szCs w:val="18"/>
                    </w:rPr>
                  </w:pPr>
                </w:p>
              </w:tc>
              <w:tc>
                <w:tcPr>
                  <w:tcW w:w="200" w:type="pct"/>
                  <w:vMerge w:val="continue"/>
                  <w:tcMar>
                    <w:left w:w="28" w:type="dxa"/>
                    <w:right w:w="28" w:type="dxa"/>
                  </w:tcMar>
                  <w:vAlign w:val="center"/>
                </w:tcPr>
                <w:p w14:paraId="7D86277E">
                  <w:pPr>
                    <w:adjustRightInd w:val="0"/>
                    <w:snapToGrid w:val="0"/>
                    <w:jc w:val="center"/>
                    <w:rPr>
                      <w:rFonts w:hint="eastAsia"/>
                      <w:color w:val="auto"/>
                      <w:kern w:val="0"/>
                      <w:sz w:val="18"/>
                      <w:szCs w:val="18"/>
                    </w:rPr>
                  </w:pPr>
                </w:p>
              </w:tc>
              <w:tc>
                <w:tcPr>
                  <w:tcW w:w="200" w:type="pct"/>
                  <w:vMerge w:val="continue"/>
                  <w:tcMar>
                    <w:left w:w="28" w:type="dxa"/>
                    <w:right w:w="28" w:type="dxa"/>
                  </w:tcMar>
                  <w:vAlign w:val="center"/>
                </w:tcPr>
                <w:p w14:paraId="080473E8">
                  <w:pPr>
                    <w:adjustRightInd w:val="0"/>
                    <w:snapToGrid w:val="0"/>
                    <w:jc w:val="center"/>
                    <w:rPr>
                      <w:rFonts w:hint="eastAsia"/>
                      <w:color w:val="auto"/>
                      <w:kern w:val="0"/>
                      <w:sz w:val="18"/>
                      <w:szCs w:val="18"/>
                    </w:rPr>
                  </w:pPr>
                </w:p>
              </w:tc>
              <w:tc>
                <w:tcPr>
                  <w:tcW w:w="900" w:type="dxa"/>
                  <w:tcMar>
                    <w:left w:w="28" w:type="dxa"/>
                    <w:right w:w="28" w:type="dxa"/>
                  </w:tcMar>
                  <w:vAlign w:val="center"/>
                </w:tcPr>
                <w:p w14:paraId="26FEFDBB">
                  <w:pPr>
                    <w:adjustRightInd w:val="0"/>
                    <w:snapToGrid w:val="0"/>
                    <w:jc w:val="center"/>
                    <w:rPr>
                      <w:rFonts w:hint="eastAsia"/>
                      <w:color w:val="auto"/>
                      <w:kern w:val="0"/>
                      <w:sz w:val="18"/>
                      <w:szCs w:val="18"/>
                      <w:lang w:val="en-US" w:eastAsia="zh-CN"/>
                    </w:rPr>
                  </w:pPr>
                  <w:r>
                    <w:rPr>
                      <w:rFonts w:hint="eastAsia"/>
                      <w:color w:val="auto"/>
                      <w:kern w:val="0"/>
                      <w:sz w:val="18"/>
                      <w:szCs w:val="18"/>
                      <w:lang w:val="en-US" w:eastAsia="zh-CN"/>
                    </w:rPr>
                    <w:t>65</w:t>
                  </w:r>
                  <w:r>
                    <w:rPr>
                      <w:rFonts w:hint="eastAsia"/>
                      <w:color w:val="auto"/>
                      <w:kern w:val="0"/>
                      <w:sz w:val="18"/>
                      <w:szCs w:val="18"/>
                      <w:lang w:eastAsia="zh-CN"/>
                    </w:rPr>
                    <w:t>（</w:t>
                  </w:r>
                  <w:r>
                    <w:rPr>
                      <w:rFonts w:hint="eastAsia"/>
                      <w:color w:val="auto"/>
                      <w:kern w:val="0"/>
                      <w:sz w:val="18"/>
                      <w:szCs w:val="18"/>
                      <w:lang w:val="en-US" w:eastAsia="zh-CN"/>
                    </w:rPr>
                    <w:t>N</w:t>
                  </w:r>
                  <w:r>
                    <w:rPr>
                      <w:rFonts w:hint="eastAsia"/>
                      <w:color w:val="auto"/>
                      <w:kern w:val="0"/>
                      <w:sz w:val="18"/>
                      <w:szCs w:val="18"/>
                      <w:lang w:eastAsia="zh-CN"/>
                    </w:rPr>
                    <w:t>）</w:t>
                  </w:r>
                </w:p>
              </w:tc>
              <w:tc>
                <w:tcPr>
                  <w:tcW w:w="482" w:type="pct"/>
                  <w:tcMar>
                    <w:left w:w="28" w:type="dxa"/>
                    <w:right w:w="28" w:type="dxa"/>
                  </w:tcMar>
                  <w:vAlign w:val="center"/>
                </w:tcPr>
                <w:p w14:paraId="63D03314">
                  <w:pPr>
                    <w:adjustRightInd w:val="0"/>
                    <w:snapToGrid w:val="0"/>
                    <w:jc w:val="center"/>
                    <w:rPr>
                      <w:rFonts w:hint="default"/>
                      <w:color w:val="auto"/>
                      <w:kern w:val="0"/>
                      <w:sz w:val="18"/>
                      <w:szCs w:val="18"/>
                      <w:lang w:val="en-US" w:eastAsia="zh-CN"/>
                    </w:rPr>
                  </w:pPr>
                  <w:r>
                    <w:rPr>
                      <w:rFonts w:hint="eastAsia"/>
                      <w:color w:val="auto"/>
                      <w:kern w:val="0"/>
                      <w:sz w:val="18"/>
                      <w:szCs w:val="18"/>
                      <w:lang w:val="en-US" w:eastAsia="zh-CN"/>
                    </w:rPr>
                    <w:t>46.8</w:t>
                  </w:r>
                </w:p>
              </w:tc>
              <w:tc>
                <w:tcPr>
                  <w:tcW w:w="491" w:type="pct"/>
                  <w:tcMar>
                    <w:left w:w="28" w:type="dxa"/>
                    <w:right w:w="28" w:type="dxa"/>
                  </w:tcMar>
                  <w:vAlign w:val="center"/>
                </w:tcPr>
                <w:p w14:paraId="6ECB5DB2">
                  <w:pPr>
                    <w:adjustRightInd w:val="0"/>
                    <w:snapToGrid w:val="0"/>
                    <w:jc w:val="center"/>
                    <w:rPr>
                      <w:rFonts w:hint="eastAsia"/>
                      <w:color w:val="auto"/>
                      <w:kern w:val="0"/>
                      <w:sz w:val="18"/>
                      <w:szCs w:val="18"/>
                    </w:rPr>
                  </w:pPr>
                  <w:r>
                    <w:rPr>
                      <w:rFonts w:hint="eastAsia"/>
                      <w:color w:val="auto"/>
                      <w:kern w:val="0"/>
                      <w:sz w:val="18"/>
                      <w:szCs w:val="18"/>
                    </w:rPr>
                    <w:t>25</w:t>
                  </w:r>
                </w:p>
              </w:tc>
              <w:tc>
                <w:tcPr>
                  <w:tcW w:w="968" w:type="dxa"/>
                  <w:tcMar>
                    <w:left w:w="28" w:type="dxa"/>
                    <w:right w:w="28" w:type="dxa"/>
                  </w:tcMar>
                  <w:vAlign w:val="center"/>
                </w:tcPr>
                <w:p w14:paraId="7540E012">
                  <w:pPr>
                    <w:adjustRightInd w:val="0"/>
                    <w:snapToGrid w:val="0"/>
                    <w:jc w:val="center"/>
                    <w:rPr>
                      <w:rFonts w:hint="eastAsia"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21.8</w:t>
                  </w:r>
                </w:p>
              </w:tc>
              <w:tc>
                <w:tcPr>
                  <w:tcW w:w="496" w:type="pct"/>
                  <w:tcMar>
                    <w:left w:w="28" w:type="dxa"/>
                    <w:right w:w="28" w:type="dxa"/>
                  </w:tcMar>
                  <w:vAlign w:val="center"/>
                </w:tcPr>
                <w:p w14:paraId="3D4E5479">
                  <w:pPr>
                    <w:adjustRightInd w:val="0"/>
                    <w:snapToGrid w:val="0"/>
                    <w:jc w:val="center"/>
                    <w:rPr>
                      <w:rFonts w:hint="eastAsia"/>
                      <w:color w:val="auto"/>
                      <w:kern w:val="0"/>
                      <w:sz w:val="18"/>
                      <w:szCs w:val="18"/>
                    </w:rPr>
                  </w:pPr>
                  <w:r>
                    <w:rPr>
                      <w:rFonts w:hint="eastAsia"/>
                      <w:color w:val="auto"/>
                      <w:kern w:val="0"/>
                      <w:sz w:val="18"/>
                      <w:szCs w:val="18"/>
                    </w:rPr>
                    <w:t>1</w:t>
                  </w:r>
                </w:p>
              </w:tc>
            </w:tr>
            <w:tr w14:paraId="5938EDEF">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94" w:hRule="atLeast"/>
              </w:trPr>
              <w:tc>
                <w:tcPr>
                  <w:tcW w:w="342" w:type="pct"/>
                  <w:vMerge w:val="continue"/>
                  <w:tcMar>
                    <w:left w:w="28" w:type="dxa"/>
                    <w:right w:w="28" w:type="dxa"/>
                  </w:tcMar>
                  <w:vAlign w:val="center"/>
                </w:tcPr>
                <w:p w14:paraId="1DBDF00C">
                  <w:pPr>
                    <w:adjustRightInd w:val="0"/>
                    <w:snapToGrid w:val="0"/>
                    <w:jc w:val="center"/>
                    <w:rPr>
                      <w:rFonts w:hint="eastAsia"/>
                      <w:color w:val="auto"/>
                      <w:kern w:val="0"/>
                      <w:sz w:val="18"/>
                      <w:szCs w:val="18"/>
                    </w:rPr>
                  </w:pPr>
                </w:p>
              </w:tc>
              <w:tc>
                <w:tcPr>
                  <w:tcW w:w="359" w:type="pct"/>
                  <w:vMerge w:val="restart"/>
                  <w:tcMar>
                    <w:left w:w="28" w:type="dxa"/>
                    <w:right w:w="28" w:type="dxa"/>
                  </w:tcMar>
                  <w:vAlign w:val="center"/>
                </w:tcPr>
                <w:p w14:paraId="287F153E">
                  <w:pPr>
                    <w:adjustRightInd w:val="0"/>
                    <w:snapToGrid w:val="0"/>
                    <w:jc w:val="center"/>
                    <w:rPr>
                      <w:rFonts w:hint="default"/>
                      <w:color w:val="auto"/>
                      <w:kern w:val="0"/>
                      <w:sz w:val="18"/>
                      <w:szCs w:val="18"/>
                      <w:lang w:val="en-US" w:eastAsia="zh-CN"/>
                    </w:rPr>
                  </w:pPr>
                  <w:r>
                    <w:rPr>
                      <w:rFonts w:hint="eastAsia"/>
                      <w:color w:val="auto"/>
                      <w:kern w:val="0"/>
                      <w:sz w:val="18"/>
                      <w:szCs w:val="18"/>
                      <w:lang w:val="en-US" w:eastAsia="zh-CN"/>
                    </w:rPr>
                    <w:t>喷砂房</w:t>
                  </w:r>
                </w:p>
              </w:tc>
              <w:tc>
                <w:tcPr>
                  <w:tcW w:w="333" w:type="pct"/>
                  <w:vMerge w:val="restart"/>
                  <w:tcMar>
                    <w:left w:w="28" w:type="dxa"/>
                    <w:right w:w="28" w:type="dxa"/>
                  </w:tcMar>
                  <w:vAlign w:val="center"/>
                </w:tcPr>
                <w:p w14:paraId="5FFA96AE">
                  <w:pPr>
                    <w:adjustRightInd w:val="0"/>
                    <w:snapToGrid w:val="0"/>
                    <w:jc w:val="center"/>
                    <w:rPr>
                      <w:rFonts w:hint="eastAsia" w:eastAsia="宋体"/>
                      <w:color w:val="auto"/>
                      <w:kern w:val="0"/>
                      <w:sz w:val="18"/>
                      <w:szCs w:val="18"/>
                      <w:lang w:val="en-US" w:eastAsia="zh-CN"/>
                    </w:rPr>
                  </w:pPr>
                  <w:r>
                    <w:rPr>
                      <w:rFonts w:hint="eastAsia"/>
                      <w:color w:val="auto"/>
                      <w:kern w:val="0"/>
                      <w:sz w:val="18"/>
                      <w:szCs w:val="18"/>
                      <w:lang w:val="en-US" w:eastAsia="zh-CN"/>
                    </w:rPr>
                    <w:t>1</w:t>
                  </w:r>
                </w:p>
              </w:tc>
              <w:tc>
                <w:tcPr>
                  <w:tcW w:w="457" w:type="pct"/>
                  <w:vMerge w:val="restart"/>
                  <w:tcMar>
                    <w:left w:w="28" w:type="dxa"/>
                    <w:right w:w="28" w:type="dxa"/>
                  </w:tcMar>
                  <w:vAlign w:val="center"/>
                </w:tcPr>
                <w:p w14:paraId="54442D0E">
                  <w:pPr>
                    <w:adjustRightInd w:val="0"/>
                    <w:snapToGrid w:val="0"/>
                    <w:jc w:val="center"/>
                    <w:rPr>
                      <w:rFonts w:hint="default" w:eastAsia="宋体"/>
                      <w:color w:val="auto"/>
                      <w:kern w:val="0"/>
                      <w:sz w:val="18"/>
                      <w:szCs w:val="18"/>
                      <w:lang w:val="en-US" w:eastAsia="zh-CN"/>
                    </w:rPr>
                  </w:pPr>
                  <w:r>
                    <w:rPr>
                      <w:rFonts w:hint="eastAsia"/>
                      <w:color w:val="auto"/>
                      <w:kern w:val="0"/>
                      <w:sz w:val="18"/>
                      <w:szCs w:val="18"/>
                      <w:lang w:val="en-US" w:eastAsia="zh-CN"/>
                    </w:rPr>
                    <w:t>70</w:t>
                  </w:r>
                </w:p>
              </w:tc>
              <w:tc>
                <w:tcPr>
                  <w:tcW w:w="381" w:type="pct"/>
                  <w:vMerge w:val="continue"/>
                  <w:tcMar>
                    <w:left w:w="28" w:type="dxa"/>
                    <w:right w:w="28" w:type="dxa"/>
                  </w:tcMar>
                  <w:vAlign w:val="center"/>
                </w:tcPr>
                <w:p w14:paraId="798A3672">
                  <w:pPr>
                    <w:adjustRightInd w:val="0"/>
                    <w:snapToGrid w:val="0"/>
                    <w:jc w:val="center"/>
                    <w:rPr>
                      <w:rFonts w:hint="eastAsia"/>
                      <w:color w:val="auto"/>
                      <w:kern w:val="0"/>
                      <w:sz w:val="18"/>
                      <w:szCs w:val="18"/>
                    </w:rPr>
                  </w:pPr>
                </w:p>
              </w:tc>
              <w:tc>
                <w:tcPr>
                  <w:tcW w:w="200" w:type="pct"/>
                  <w:vMerge w:val="restart"/>
                  <w:tcMar>
                    <w:left w:w="28" w:type="dxa"/>
                    <w:right w:w="28" w:type="dxa"/>
                  </w:tcMar>
                  <w:vAlign w:val="center"/>
                </w:tcPr>
                <w:p w14:paraId="5AE59F26">
                  <w:pPr>
                    <w:adjustRightInd w:val="0"/>
                    <w:snapToGrid w:val="0"/>
                    <w:jc w:val="center"/>
                    <w:rPr>
                      <w:rFonts w:hint="default" w:eastAsia="宋体"/>
                      <w:color w:val="auto"/>
                      <w:kern w:val="0"/>
                      <w:sz w:val="18"/>
                      <w:szCs w:val="18"/>
                      <w:lang w:val="en-US" w:eastAsia="zh-CN"/>
                    </w:rPr>
                  </w:pPr>
                  <w:r>
                    <w:rPr>
                      <w:rFonts w:hint="eastAsia"/>
                      <w:color w:val="auto"/>
                      <w:kern w:val="0"/>
                      <w:sz w:val="18"/>
                      <w:szCs w:val="18"/>
                      <w:lang w:val="en-US" w:eastAsia="zh-CN"/>
                    </w:rPr>
                    <w:t>-37</w:t>
                  </w:r>
                </w:p>
              </w:tc>
              <w:tc>
                <w:tcPr>
                  <w:tcW w:w="200" w:type="pct"/>
                  <w:vMerge w:val="restart"/>
                  <w:tcMar>
                    <w:left w:w="28" w:type="dxa"/>
                    <w:right w:w="28" w:type="dxa"/>
                  </w:tcMar>
                  <w:vAlign w:val="center"/>
                </w:tcPr>
                <w:p w14:paraId="323507D3">
                  <w:pPr>
                    <w:adjustRightInd w:val="0"/>
                    <w:snapToGrid w:val="0"/>
                    <w:jc w:val="center"/>
                    <w:rPr>
                      <w:rFonts w:hint="default" w:eastAsia="宋体"/>
                      <w:color w:val="auto"/>
                      <w:kern w:val="0"/>
                      <w:sz w:val="18"/>
                      <w:szCs w:val="18"/>
                      <w:lang w:val="en-US" w:eastAsia="zh-CN"/>
                    </w:rPr>
                  </w:pPr>
                  <w:r>
                    <w:rPr>
                      <w:rFonts w:hint="eastAsia"/>
                      <w:color w:val="auto"/>
                      <w:kern w:val="0"/>
                      <w:sz w:val="18"/>
                      <w:szCs w:val="18"/>
                      <w:lang w:val="en-US" w:eastAsia="zh-CN"/>
                    </w:rPr>
                    <w:t>-8</w:t>
                  </w:r>
                </w:p>
              </w:tc>
              <w:tc>
                <w:tcPr>
                  <w:tcW w:w="200" w:type="pct"/>
                  <w:vMerge w:val="restart"/>
                  <w:tcMar>
                    <w:left w:w="28" w:type="dxa"/>
                    <w:right w:w="28" w:type="dxa"/>
                  </w:tcMar>
                  <w:vAlign w:val="center"/>
                </w:tcPr>
                <w:p w14:paraId="04DEE4C5">
                  <w:pPr>
                    <w:adjustRightInd w:val="0"/>
                    <w:snapToGrid w:val="0"/>
                    <w:jc w:val="center"/>
                    <w:rPr>
                      <w:rFonts w:hint="eastAsia" w:eastAsia="宋体"/>
                      <w:color w:val="auto"/>
                      <w:kern w:val="0"/>
                      <w:sz w:val="18"/>
                      <w:szCs w:val="18"/>
                      <w:lang w:val="en-US" w:eastAsia="zh-CN"/>
                    </w:rPr>
                  </w:pPr>
                  <w:r>
                    <w:rPr>
                      <w:rFonts w:hint="eastAsia"/>
                      <w:color w:val="auto"/>
                      <w:kern w:val="0"/>
                      <w:sz w:val="18"/>
                      <w:szCs w:val="18"/>
                      <w:lang w:val="en-US" w:eastAsia="zh-CN"/>
                    </w:rPr>
                    <w:t>1</w:t>
                  </w:r>
                </w:p>
              </w:tc>
              <w:tc>
                <w:tcPr>
                  <w:tcW w:w="900" w:type="dxa"/>
                  <w:tcMar>
                    <w:left w:w="28" w:type="dxa"/>
                    <w:right w:w="28" w:type="dxa"/>
                  </w:tcMar>
                  <w:vAlign w:val="center"/>
                </w:tcPr>
                <w:p w14:paraId="3E2FC7C3">
                  <w:pPr>
                    <w:adjustRightInd w:val="0"/>
                    <w:snapToGrid w:val="0"/>
                    <w:jc w:val="center"/>
                    <w:rPr>
                      <w:rFonts w:hint="eastAsia"/>
                      <w:color w:val="auto"/>
                      <w:kern w:val="0"/>
                      <w:sz w:val="18"/>
                      <w:szCs w:val="18"/>
                      <w:lang w:val="en-US" w:eastAsia="zh-CN"/>
                    </w:rPr>
                  </w:pPr>
                  <w:r>
                    <w:rPr>
                      <w:rFonts w:hint="eastAsia"/>
                      <w:color w:val="auto"/>
                      <w:kern w:val="0"/>
                      <w:sz w:val="18"/>
                      <w:szCs w:val="18"/>
                      <w:lang w:val="en-US" w:eastAsia="zh-CN"/>
                    </w:rPr>
                    <w:t>116</w:t>
                  </w:r>
                  <w:r>
                    <w:rPr>
                      <w:rFonts w:hint="eastAsia"/>
                      <w:color w:val="auto"/>
                      <w:kern w:val="0"/>
                      <w:sz w:val="18"/>
                      <w:szCs w:val="18"/>
                      <w:lang w:eastAsia="zh-CN"/>
                    </w:rPr>
                    <w:t>（</w:t>
                  </w:r>
                  <w:r>
                    <w:rPr>
                      <w:rFonts w:hint="eastAsia"/>
                      <w:color w:val="auto"/>
                      <w:kern w:val="0"/>
                      <w:sz w:val="18"/>
                      <w:szCs w:val="18"/>
                      <w:lang w:val="en-US" w:eastAsia="zh-CN"/>
                    </w:rPr>
                    <w:t>E</w:t>
                  </w:r>
                  <w:r>
                    <w:rPr>
                      <w:rFonts w:hint="eastAsia"/>
                      <w:color w:val="auto"/>
                      <w:kern w:val="0"/>
                      <w:sz w:val="18"/>
                      <w:szCs w:val="18"/>
                      <w:lang w:eastAsia="zh-CN"/>
                    </w:rPr>
                    <w:t>）</w:t>
                  </w:r>
                </w:p>
              </w:tc>
              <w:tc>
                <w:tcPr>
                  <w:tcW w:w="482" w:type="pct"/>
                  <w:tcMar>
                    <w:left w:w="28" w:type="dxa"/>
                    <w:right w:w="28" w:type="dxa"/>
                  </w:tcMar>
                  <w:vAlign w:val="center"/>
                </w:tcPr>
                <w:p w14:paraId="6051A313">
                  <w:pPr>
                    <w:adjustRightInd w:val="0"/>
                    <w:snapToGrid w:val="0"/>
                    <w:jc w:val="center"/>
                    <w:rPr>
                      <w:rFonts w:hint="default"/>
                      <w:color w:val="auto"/>
                      <w:kern w:val="0"/>
                      <w:sz w:val="18"/>
                      <w:szCs w:val="18"/>
                      <w:lang w:val="en-US" w:eastAsia="zh-CN"/>
                    </w:rPr>
                  </w:pPr>
                  <w:r>
                    <w:rPr>
                      <w:rFonts w:hint="eastAsia"/>
                      <w:color w:val="auto"/>
                      <w:kern w:val="0"/>
                      <w:sz w:val="18"/>
                      <w:szCs w:val="18"/>
                      <w:lang w:val="en-US" w:eastAsia="zh-CN"/>
                    </w:rPr>
                    <w:t>38.9</w:t>
                  </w:r>
                </w:p>
              </w:tc>
              <w:tc>
                <w:tcPr>
                  <w:tcW w:w="491" w:type="pct"/>
                  <w:tcMar>
                    <w:left w:w="28" w:type="dxa"/>
                    <w:right w:w="28" w:type="dxa"/>
                  </w:tcMar>
                  <w:vAlign w:val="center"/>
                </w:tcPr>
                <w:p w14:paraId="5F863002">
                  <w:pPr>
                    <w:adjustRightInd w:val="0"/>
                    <w:snapToGrid w:val="0"/>
                    <w:jc w:val="center"/>
                    <w:rPr>
                      <w:rFonts w:hint="eastAsia"/>
                      <w:color w:val="auto"/>
                      <w:kern w:val="0"/>
                      <w:sz w:val="18"/>
                      <w:szCs w:val="18"/>
                    </w:rPr>
                  </w:pPr>
                  <w:r>
                    <w:rPr>
                      <w:rFonts w:hint="eastAsia"/>
                      <w:color w:val="auto"/>
                      <w:kern w:val="0"/>
                      <w:sz w:val="18"/>
                      <w:szCs w:val="18"/>
                    </w:rPr>
                    <w:t>25</w:t>
                  </w:r>
                </w:p>
              </w:tc>
              <w:tc>
                <w:tcPr>
                  <w:tcW w:w="968" w:type="dxa"/>
                  <w:tcMar>
                    <w:left w:w="28" w:type="dxa"/>
                    <w:right w:w="28" w:type="dxa"/>
                  </w:tcMar>
                  <w:vAlign w:val="center"/>
                </w:tcPr>
                <w:p w14:paraId="7B6865CA">
                  <w:pPr>
                    <w:adjustRightInd w:val="0"/>
                    <w:snapToGrid w:val="0"/>
                    <w:jc w:val="center"/>
                    <w:rPr>
                      <w:rFonts w:hint="eastAsia"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13.9</w:t>
                  </w:r>
                </w:p>
              </w:tc>
              <w:tc>
                <w:tcPr>
                  <w:tcW w:w="496" w:type="pct"/>
                  <w:tcMar>
                    <w:left w:w="28" w:type="dxa"/>
                    <w:right w:w="28" w:type="dxa"/>
                  </w:tcMar>
                  <w:vAlign w:val="center"/>
                </w:tcPr>
                <w:p w14:paraId="0012E746">
                  <w:pPr>
                    <w:adjustRightInd w:val="0"/>
                    <w:snapToGrid w:val="0"/>
                    <w:jc w:val="center"/>
                    <w:rPr>
                      <w:rFonts w:hint="eastAsia"/>
                      <w:color w:val="auto"/>
                      <w:kern w:val="0"/>
                      <w:sz w:val="18"/>
                      <w:szCs w:val="18"/>
                    </w:rPr>
                  </w:pPr>
                  <w:r>
                    <w:rPr>
                      <w:rFonts w:hint="eastAsia"/>
                      <w:color w:val="auto"/>
                      <w:kern w:val="0"/>
                      <w:sz w:val="18"/>
                      <w:szCs w:val="18"/>
                    </w:rPr>
                    <w:t>1</w:t>
                  </w:r>
                </w:p>
              </w:tc>
            </w:tr>
            <w:tr w14:paraId="3E05549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94" w:hRule="atLeast"/>
              </w:trPr>
              <w:tc>
                <w:tcPr>
                  <w:tcW w:w="342" w:type="pct"/>
                  <w:vMerge w:val="continue"/>
                  <w:tcMar>
                    <w:left w:w="28" w:type="dxa"/>
                    <w:right w:w="28" w:type="dxa"/>
                  </w:tcMar>
                  <w:vAlign w:val="center"/>
                </w:tcPr>
                <w:p w14:paraId="6D669299">
                  <w:pPr>
                    <w:adjustRightInd w:val="0"/>
                    <w:snapToGrid w:val="0"/>
                    <w:jc w:val="center"/>
                    <w:rPr>
                      <w:rFonts w:hint="eastAsia"/>
                      <w:color w:val="auto"/>
                      <w:kern w:val="0"/>
                      <w:sz w:val="18"/>
                      <w:szCs w:val="18"/>
                    </w:rPr>
                  </w:pPr>
                </w:p>
              </w:tc>
              <w:tc>
                <w:tcPr>
                  <w:tcW w:w="359" w:type="pct"/>
                  <w:vMerge w:val="continue"/>
                  <w:tcMar>
                    <w:left w:w="28" w:type="dxa"/>
                    <w:right w:w="28" w:type="dxa"/>
                  </w:tcMar>
                  <w:vAlign w:val="center"/>
                </w:tcPr>
                <w:p w14:paraId="26F1C13B">
                  <w:pPr>
                    <w:adjustRightInd w:val="0"/>
                    <w:snapToGrid w:val="0"/>
                    <w:jc w:val="center"/>
                    <w:rPr>
                      <w:rFonts w:hint="eastAsia"/>
                      <w:color w:val="auto"/>
                      <w:kern w:val="0"/>
                      <w:sz w:val="18"/>
                      <w:szCs w:val="18"/>
                      <w:lang w:val="en-US" w:eastAsia="zh-CN"/>
                    </w:rPr>
                  </w:pPr>
                </w:p>
              </w:tc>
              <w:tc>
                <w:tcPr>
                  <w:tcW w:w="333" w:type="pct"/>
                  <w:vMerge w:val="continue"/>
                  <w:tcMar>
                    <w:left w:w="28" w:type="dxa"/>
                    <w:right w:w="28" w:type="dxa"/>
                  </w:tcMar>
                  <w:vAlign w:val="center"/>
                </w:tcPr>
                <w:p w14:paraId="3541587C">
                  <w:pPr>
                    <w:adjustRightInd w:val="0"/>
                    <w:snapToGrid w:val="0"/>
                    <w:jc w:val="center"/>
                    <w:rPr>
                      <w:rFonts w:hint="eastAsia"/>
                      <w:color w:val="auto"/>
                      <w:kern w:val="0"/>
                      <w:sz w:val="18"/>
                      <w:szCs w:val="18"/>
                    </w:rPr>
                  </w:pPr>
                </w:p>
              </w:tc>
              <w:tc>
                <w:tcPr>
                  <w:tcW w:w="457" w:type="pct"/>
                  <w:vMerge w:val="continue"/>
                  <w:tcMar>
                    <w:left w:w="28" w:type="dxa"/>
                    <w:right w:w="28" w:type="dxa"/>
                  </w:tcMar>
                  <w:vAlign w:val="center"/>
                </w:tcPr>
                <w:p w14:paraId="67DF3071">
                  <w:pPr>
                    <w:adjustRightInd w:val="0"/>
                    <w:snapToGrid w:val="0"/>
                    <w:jc w:val="center"/>
                    <w:rPr>
                      <w:rFonts w:hint="eastAsia"/>
                      <w:color w:val="auto"/>
                      <w:kern w:val="0"/>
                      <w:sz w:val="18"/>
                      <w:szCs w:val="18"/>
                    </w:rPr>
                  </w:pPr>
                </w:p>
              </w:tc>
              <w:tc>
                <w:tcPr>
                  <w:tcW w:w="381" w:type="pct"/>
                  <w:vMerge w:val="continue"/>
                  <w:tcMar>
                    <w:left w:w="28" w:type="dxa"/>
                    <w:right w:w="28" w:type="dxa"/>
                  </w:tcMar>
                  <w:vAlign w:val="center"/>
                </w:tcPr>
                <w:p w14:paraId="72C2C41B">
                  <w:pPr>
                    <w:adjustRightInd w:val="0"/>
                    <w:snapToGrid w:val="0"/>
                    <w:jc w:val="center"/>
                    <w:rPr>
                      <w:rFonts w:hint="eastAsia"/>
                      <w:color w:val="auto"/>
                      <w:kern w:val="0"/>
                      <w:sz w:val="18"/>
                      <w:szCs w:val="18"/>
                    </w:rPr>
                  </w:pPr>
                </w:p>
              </w:tc>
              <w:tc>
                <w:tcPr>
                  <w:tcW w:w="200" w:type="pct"/>
                  <w:vMerge w:val="continue"/>
                  <w:tcMar>
                    <w:left w:w="28" w:type="dxa"/>
                    <w:right w:w="28" w:type="dxa"/>
                  </w:tcMar>
                  <w:vAlign w:val="center"/>
                </w:tcPr>
                <w:p w14:paraId="4AD134D4">
                  <w:pPr>
                    <w:adjustRightInd w:val="0"/>
                    <w:snapToGrid w:val="0"/>
                    <w:jc w:val="center"/>
                    <w:rPr>
                      <w:rFonts w:hint="eastAsia"/>
                      <w:color w:val="auto"/>
                      <w:kern w:val="0"/>
                      <w:sz w:val="18"/>
                      <w:szCs w:val="18"/>
                    </w:rPr>
                  </w:pPr>
                </w:p>
              </w:tc>
              <w:tc>
                <w:tcPr>
                  <w:tcW w:w="200" w:type="pct"/>
                  <w:vMerge w:val="continue"/>
                  <w:tcMar>
                    <w:left w:w="28" w:type="dxa"/>
                    <w:right w:w="28" w:type="dxa"/>
                  </w:tcMar>
                  <w:vAlign w:val="center"/>
                </w:tcPr>
                <w:p w14:paraId="11B82818">
                  <w:pPr>
                    <w:adjustRightInd w:val="0"/>
                    <w:snapToGrid w:val="0"/>
                    <w:jc w:val="center"/>
                    <w:rPr>
                      <w:rFonts w:hint="eastAsia"/>
                      <w:color w:val="auto"/>
                      <w:kern w:val="0"/>
                      <w:sz w:val="18"/>
                      <w:szCs w:val="18"/>
                    </w:rPr>
                  </w:pPr>
                </w:p>
              </w:tc>
              <w:tc>
                <w:tcPr>
                  <w:tcW w:w="200" w:type="pct"/>
                  <w:vMerge w:val="continue"/>
                  <w:tcMar>
                    <w:left w:w="28" w:type="dxa"/>
                    <w:right w:w="28" w:type="dxa"/>
                  </w:tcMar>
                  <w:vAlign w:val="center"/>
                </w:tcPr>
                <w:p w14:paraId="0602EDC2">
                  <w:pPr>
                    <w:adjustRightInd w:val="0"/>
                    <w:snapToGrid w:val="0"/>
                    <w:jc w:val="center"/>
                    <w:rPr>
                      <w:rFonts w:hint="eastAsia"/>
                      <w:color w:val="auto"/>
                      <w:kern w:val="0"/>
                      <w:sz w:val="18"/>
                      <w:szCs w:val="18"/>
                    </w:rPr>
                  </w:pPr>
                </w:p>
              </w:tc>
              <w:tc>
                <w:tcPr>
                  <w:tcW w:w="900" w:type="dxa"/>
                  <w:tcMar>
                    <w:left w:w="28" w:type="dxa"/>
                    <w:right w:w="28" w:type="dxa"/>
                  </w:tcMar>
                  <w:vAlign w:val="center"/>
                </w:tcPr>
                <w:p w14:paraId="7C475741">
                  <w:pPr>
                    <w:adjustRightInd w:val="0"/>
                    <w:snapToGrid w:val="0"/>
                    <w:jc w:val="center"/>
                    <w:rPr>
                      <w:rFonts w:hint="eastAsia"/>
                      <w:color w:val="auto"/>
                      <w:kern w:val="0"/>
                      <w:sz w:val="18"/>
                      <w:szCs w:val="18"/>
                      <w:lang w:val="en-US" w:eastAsia="zh-CN"/>
                    </w:rPr>
                  </w:pPr>
                  <w:r>
                    <w:rPr>
                      <w:rFonts w:hint="eastAsia"/>
                      <w:color w:val="auto"/>
                      <w:kern w:val="0"/>
                      <w:sz w:val="18"/>
                      <w:szCs w:val="18"/>
                      <w:lang w:val="en-US" w:eastAsia="zh-CN"/>
                    </w:rPr>
                    <w:t>1</w:t>
                  </w:r>
                  <w:r>
                    <w:rPr>
                      <w:rFonts w:hint="eastAsia"/>
                      <w:color w:val="auto"/>
                      <w:kern w:val="0"/>
                      <w:sz w:val="18"/>
                      <w:szCs w:val="18"/>
                      <w:lang w:eastAsia="zh-CN"/>
                    </w:rPr>
                    <w:t>（</w:t>
                  </w:r>
                  <w:r>
                    <w:rPr>
                      <w:rFonts w:hint="eastAsia"/>
                      <w:color w:val="auto"/>
                      <w:kern w:val="0"/>
                      <w:sz w:val="18"/>
                      <w:szCs w:val="18"/>
                      <w:lang w:val="en-US" w:eastAsia="zh-CN"/>
                    </w:rPr>
                    <w:t>S</w:t>
                  </w:r>
                  <w:r>
                    <w:rPr>
                      <w:rFonts w:hint="eastAsia"/>
                      <w:color w:val="auto"/>
                      <w:kern w:val="0"/>
                      <w:sz w:val="18"/>
                      <w:szCs w:val="18"/>
                      <w:lang w:eastAsia="zh-CN"/>
                    </w:rPr>
                    <w:t>）</w:t>
                  </w:r>
                </w:p>
              </w:tc>
              <w:tc>
                <w:tcPr>
                  <w:tcW w:w="482" w:type="pct"/>
                  <w:tcMar>
                    <w:left w:w="28" w:type="dxa"/>
                    <w:right w:w="28" w:type="dxa"/>
                  </w:tcMar>
                  <w:vAlign w:val="center"/>
                </w:tcPr>
                <w:p w14:paraId="0C24488D">
                  <w:pPr>
                    <w:adjustRightInd w:val="0"/>
                    <w:snapToGrid w:val="0"/>
                    <w:jc w:val="center"/>
                    <w:rPr>
                      <w:rFonts w:hint="default"/>
                      <w:color w:val="auto"/>
                      <w:kern w:val="0"/>
                      <w:sz w:val="18"/>
                      <w:szCs w:val="18"/>
                      <w:lang w:val="en-US" w:eastAsia="zh-CN"/>
                    </w:rPr>
                  </w:pPr>
                  <w:r>
                    <w:rPr>
                      <w:rFonts w:hint="eastAsia"/>
                      <w:color w:val="auto"/>
                      <w:kern w:val="0"/>
                      <w:sz w:val="18"/>
                      <w:szCs w:val="18"/>
                      <w:lang w:val="en-US" w:eastAsia="zh-CN"/>
                    </w:rPr>
                    <w:t>70.2</w:t>
                  </w:r>
                </w:p>
              </w:tc>
              <w:tc>
                <w:tcPr>
                  <w:tcW w:w="491" w:type="pct"/>
                  <w:tcMar>
                    <w:left w:w="28" w:type="dxa"/>
                    <w:right w:w="28" w:type="dxa"/>
                  </w:tcMar>
                  <w:vAlign w:val="center"/>
                </w:tcPr>
                <w:p w14:paraId="16695D24">
                  <w:pPr>
                    <w:adjustRightInd w:val="0"/>
                    <w:snapToGrid w:val="0"/>
                    <w:jc w:val="center"/>
                    <w:rPr>
                      <w:rFonts w:hint="eastAsia"/>
                      <w:color w:val="auto"/>
                      <w:kern w:val="0"/>
                      <w:sz w:val="18"/>
                      <w:szCs w:val="18"/>
                    </w:rPr>
                  </w:pPr>
                  <w:r>
                    <w:rPr>
                      <w:rFonts w:hint="eastAsia"/>
                      <w:color w:val="auto"/>
                      <w:kern w:val="0"/>
                      <w:sz w:val="18"/>
                      <w:szCs w:val="18"/>
                    </w:rPr>
                    <w:t>25</w:t>
                  </w:r>
                </w:p>
              </w:tc>
              <w:tc>
                <w:tcPr>
                  <w:tcW w:w="968" w:type="dxa"/>
                  <w:tcMar>
                    <w:left w:w="28" w:type="dxa"/>
                    <w:right w:w="28" w:type="dxa"/>
                  </w:tcMar>
                  <w:vAlign w:val="center"/>
                </w:tcPr>
                <w:p w14:paraId="78950196">
                  <w:pPr>
                    <w:adjustRightInd w:val="0"/>
                    <w:snapToGrid w:val="0"/>
                    <w:jc w:val="center"/>
                    <w:rPr>
                      <w:rFonts w:hint="eastAsia"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45.2</w:t>
                  </w:r>
                </w:p>
              </w:tc>
              <w:tc>
                <w:tcPr>
                  <w:tcW w:w="496" w:type="pct"/>
                  <w:tcMar>
                    <w:left w:w="28" w:type="dxa"/>
                    <w:right w:w="28" w:type="dxa"/>
                  </w:tcMar>
                  <w:vAlign w:val="center"/>
                </w:tcPr>
                <w:p w14:paraId="78DC31A6">
                  <w:pPr>
                    <w:adjustRightInd w:val="0"/>
                    <w:snapToGrid w:val="0"/>
                    <w:jc w:val="center"/>
                    <w:rPr>
                      <w:rFonts w:hint="eastAsia"/>
                      <w:color w:val="auto"/>
                      <w:kern w:val="0"/>
                      <w:sz w:val="18"/>
                      <w:szCs w:val="18"/>
                    </w:rPr>
                  </w:pPr>
                  <w:r>
                    <w:rPr>
                      <w:rFonts w:hint="eastAsia"/>
                      <w:color w:val="auto"/>
                      <w:kern w:val="0"/>
                      <w:sz w:val="18"/>
                      <w:szCs w:val="18"/>
                    </w:rPr>
                    <w:t>1</w:t>
                  </w:r>
                </w:p>
              </w:tc>
            </w:tr>
            <w:tr w14:paraId="1E29408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94" w:hRule="atLeast"/>
              </w:trPr>
              <w:tc>
                <w:tcPr>
                  <w:tcW w:w="342" w:type="pct"/>
                  <w:vMerge w:val="continue"/>
                  <w:tcMar>
                    <w:left w:w="28" w:type="dxa"/>
                    <w:right w:w="28" w:type="dxa"/>
                  </w:tcMar>
                  <w:vAlign w:val="center"/>
                </w:tcPr>
                <w:p w14:paraId="1DC8A8FB">
                  <w:pPr>
                    <w:adjustRightInd w:val="0"/>
                    <w:snapToGrid w:val="0"/>
                    <w:jc w:val="center"/>
                    <w:rPr>
                      <w:rFonts w:hint="eastAsia"/>
                      <w:color w:val="auto"/>
                      <w:kern w:val="0"/>
                      <w:sz w:val="18"/>
                      <w:szCs w:val="18"/>
                    </w:rPr>
                  </w:pPr>
                </w:p>
              </w:tc>
              <w:tc>
                <w:tcPr>
                  <w:tcW w:w="359" w:type="pct"/>
                  <w:vMerge w:val="continue"/>
                  <w:tcMar>
                    <w:left w:w="28" w:type="dxa"/>
                    <w:right w:w="28" w:type="dxa"/>
                  </w:tcMar>
                  <w:vAlign w:val="center"/>
                </w:tcPr>
                <w:p w14:paraId="1F53BD01">
                  <w:pPr>
                    <w:adjustRightInd w:val="0"/>
                    <w:snapToGrid w:val="0"/>
                    <w:jc w:val="center"/>
                    <w:rPr>
                      <w:rFonts w:hint="eastAsia"/>
                      <w:color w:val="auto"/>
                      <w:kern w:val="0"/>
                      <w:sz w:val="18"/>
                      <w:szCs w:val="18"/>
                      <w:lang w:val="en-US" w:eastAsia="zh-CN"/>
                    </w:rPr>
                  </w:pPr>
                </w:p>
              </w:tc>
              <w:tc>
                <w:tcPr>
                  <w:tcW w:w="333" w:type="pct"/>
                  <w:vMerge w:val="continue"/>
                  <w:tcMar>
                    <w:left w:w="28" w:type="dxa"/>
                    <w:right w:w="28" w:type="dxa"/>
                  </w:tcMar>
                  <w:vAlign w:val="center"/>
                </w:tcPr>
                <w:p w14:paraId="069EC635">
                  <w:pPr>
                    <w:adjustRightInd w:val="0"/>
                    <w:snapToGrid w:val="0"/>
                    <w:jc w:val="center"/>
                    <w:rPr>
                      <w:rFonts w:hint="eastAsia"/>
                      <w:color w:val="auto"/>
                      <w:kern w:val="0"/>
                      <w:sz w:val="18"/>
                      <w:szCs w:val="18"/>
                    </w:rPr>
                  </w:pPr>
                </w:p>
              </w:tc>
              <w:tc>
                <w:tcPr>
                  <w:tcW w:w="457" w:type="pct"/>
                  <w:vMerge w:val="continue"/>
                  <w:tcMar>
                    <w:left w:w="28" w:type="dxa"/>
                    <w:right w:w="28" w:type="dxa"/>
                  </w:tcMar>
                  <w:vAlign w:val="center"/>
                </w:tcPr>
                <w:p w14:paraId="0D178978">
                  <w:pPr>
                    <w:adjustRightInd w:val="0"/>
                    <w:snapToGrid w:val="0"/>
                    <w:jc w:val="center"/>
                    <w:rPr>
                      <w:rFonts w:hint="eastAsia"/>
                      <w:color w:val="auto"/>
                      <w:kern w:val="0"/>
                      <w:sz w:val="18"/>
                      <w:szCs w:val="18"/>
                    </w:rPr>
                  </w:pPr>
                </w:p>
              </w:tc>
              <w:tc>
                <w:tcPr>
                  <w:tcW w:w="381" w:type="pct"/>
                  <w:vMerge w:val="continue"/>
                  <w:tcMar>
                    <w:left w:w="28" w:type="dxa"/>
                    <w:right w:w="28" w:type="dxa"/>
                  </w:tcMar>
                  <w:vAlign w:val="center"/>
                </w:tcPr>
                <w:p w14:paraId="1B8C2139">
                  <w:pPr>
                    <w:adjustRightInd w:val="0"/>
                    <w:snapToGrid w:val="0"/>
                    <w:jc w:val="center"/>
                    <w:rPr>
                      <w:rFonts w:hint="eastAsia"/>
                      <w:color w:val="auto"/>
                      <w:kern w:val="0"/>
                      <w:sz w:val="18"/>
                      <w:szCs w:val="18"/>
                    </w:rPr>
                  </w:pPr>
                </w:p>
              </w:tc>
              <w:tc>
                <w:tcPr>
                  <w:tcW w:w="200" w:type="pct"/>
                  <w:vMerge w:val="continue"/>
                  <w:tcMar>
                    <w:left w:w="28" w:type="dxa"/>
                    <w:right w:w="28" w:type="dxa"/>
                  </w:tcMar>
                  <w:vAlign w:val="center"/>
                </w:tcPr>
                <w:p w14:paraId="00546DEF">
                  <w:pPr>
                    <w:adjustRightInd w:val="0"/>
                    <w:snapToGrid w:val="0"/>
                    <w:jc w:val="center"/>
                    <w:rPr>
                      <w:rFonts w:hint="eastAsia"/>
                      <w:color w:val="auto"/>
                      <w:kern w:val="0"/>
                      <w:sz w:val="18"/>
                      <w:szCs w:val="18"/>
                    </w:rPr>
                  </w:pPr>
                </w:p>
              </w:tc>
              <w:tc>
                <w:tcPr>
                  <w:tcW w:w="200" w:type="pct"/>
                  <w:vMerge w:val="continue"/>
                  <w:tcMar>
                    <w:left w:w="28" w:type="dxa"/>
                    <w:right w:w="28" w:type="dxa"/>
                  </w:tcMar>
                  <w:vAlign w:val="center"/>
                </w:tcPr>
                <w:p w14:paraId="5A0D426F">
                  <w:pPr>
                    <w:adjustRightInd w:val="0"/>
                    <w:snapToGrid w:val="0"/>
                    <w:jc w:val="center"/>
                    <w:rPr>
                      <w:rFonts w:hint="eastAsia"/>
                      <w:color w:val="auto"/>
                      <w:kern w:val="0"/>
                      <w:sz w:val="18"/>
                      <w:szCs w:val="18"/>
                    </w:rPr>
                  </w:pPr>
                </w:p>
              </w:tc>
              <w:tc>
                <w:tcPr>
                  <w:tcW w:w="200" w:type="pct"/>
                  <w:vMerge w:val="continue"/>
                  <w:tcMar>
                    <w:left w:w="28" w:type="dxa"/>
                    <w:right w:w="28" w:type="dxa"/>
                  </w:tcMar>
                  <w:vAlign w:val="center"/>
                </w:tcPr>
                <w:p w14:paraId="7A599EBA">
                  <w:pPr>
                    <w:adjustRightInd w:val="0"/>
                    <w:snapToGrid w:val="0"/>
                    <w:jc w:val="center"/>
                    <w:rPr>
                      <w:rFonts w:hint="eastAsia"/>
                      <w:color w:val="auto"/>
                      <w:kern w:val="0"/>
                      <w:sz w:val="18"/>
                      <w:szCs w:val="18"/>
                    </w:rPr>
                  </w:pPr>
                </w:p>
              </w:tc>
              <w:tc>
                <w:tcPr>
                  <w:tcW w:w="900" w:type="dxa"/>
                  <w:tcMar>
                    <w:left w:w="28" w:type="dxa"/>
                    <w:right w:w="28" w:type="dxa"/>
                  </w:tcMar>
                  <w:vAlign w:val="center"/>
                </w:tcPr>
                <w:p w14:paraId="7FD425E9">
                  <w:pPr>
                    <w:adjustRightInd w:val="0"/>
                    <w:snapToGrid w:val="0"/>
                    <w:jc w:val="center"/>
                    <w:rPr>
                      <w:rFonts w:hint="eastAsia"/>
                      <w:color w:val="auto"/>
                      <w:kern w:val="0"/>
                      <w:sz w:val="18"/>
                      <w:szCs w:val="18"/>
                      <w:lang w:val="en-US" w:eastAsia="zh-CN"/>
                    </w:rPr>
                  </w:pPr>
                  <w:r>
                    <w:rPr>
                      <w:rFonts w:hint="eastAsia"/>
                      <w:color w:val="auto"/>
                      <w:kern w:val="0"/>
                      <w:sz w:val="18"/>
                      <w:szCs w:val="18"/>
                      <w:lang w:val="en-US" w:eastAsia="zh-CN"/>
                    </w:rPr>
                    <w:t>72</w:t>
                  </w:r>
                  <w:r>
                    <w:rPr>
                      <w:rFonts w:hint="eastAsia"/>
                      <w:color w:val="auto"/>
                      <w:kern w:val="0"/>
                      <w:sz w:val="18"/>
                      <w:szCs w:val="18"/>
                      <w:lang w:eastAsia="zh-CN"/>
                    </w:rPr>
                    <w:t>（</w:t>
                  </w:r>
                  <w:r>
                    <w:rPr>
                      <w:rFonts w:hint="eastAsia"/>
                      <w:color w:val="auto"/>
                      <w:kern w:val="0"/>
                      <w:sz w:val="18"/>
                      <w:szCs w:val="18"/>
                      <w:lang w:val="en-US" w:eastAsia="zh-CN"/>
                    </w:rPr>
                    <w:t>W</w:t>
                  </w:r>
                  <w:r>
                    <w:rPr>
                      <w:rFonts w:hint="eastAsia"/>
                      <w:color w:val="auto"/>
                      <w:kern w:val="0"/>
                      <w:sz w:val="18"/>
                      <w:szCs w:val="18"/>
                      <w:lang w:eastAsia="zh-CN"/>
                    </w:rPr>
                    <w:t>）</w:t>
                  </w:r>
                </w:p>
              </w:tc>
              <w:tc>
                <w:tcPr>
                  <w:tcW w:w="482" w:type="pct"/>
                  <w:tcMar>
                    <w:left w:w="28" w:type="dxa"/>
                    <w:right w:w="28" w:type="dxa"/>
                  </w:tcMar>
                  <w:vAlign w:val="center"/>
                </w:tcPr>
                <w:p w14:paraId="507DF9B8">
                  <w:pPr>
                    <w:adjustRightInd w:val="0"/>
                    <w:snapToGrid w:val="0"/>
                    <w:jc w:val="center"/>
                    <w:rPr>
                      <w:rFonts w:hint="default"/>
                      <w:color w:val="auto"/>
                      <w:kern w:val="0"/>
                      <w:sz w:val="18"/>
                      <w:szCs w:val="18"/>
                      <w:lang w:val="en-US" w:eastAsia="zh-CN"/>
                    </w:rPr>
                  </w:pPr>
                  <w:r>
                    <w:rPr>
                      <w:rFonts w:hint="eastAsia"/>
                      <w:color w:val="auto"/>
                      <w:kern w:val="0"/>
                      <w:sz w:val="18"/>
                      <w:szCs w:val="18"/>
                      <w:lang w:val="en-US" w:eastAsia="zh-CN"/>
                    </w:rPr>
                    <w:t>47.4</w:t>
                  </w:r>
                </w:p>
              </w:tc>
              <w:tc>
                <w:tcPr>
                  <w:tcW w:w="491" w:type="pct"/>
                  <w:tcMar>
                    <w:left w:w="28" w:type="dxa"/>
                    <w:right w:w="28" w:type="dxa"/>
                  </w:tcMar>
                  <w:vAlign w:val="center"/>
                </w:tcPr>
                <w:p w14:paraId="44995667">
                  <w:pPr>
                    <w:adjustRightInd w:val="0"/>
                    <w:snapToGrid w:val="0"/>
                    <w:jc w:val="center"/>
                    <w:rPr>
                      <w:rFonts w:hint="eastAsia"/>
                      <w:color w:val="auto"/>
                      <w:kern w:val="0"/>
                      <w:sz w:val="18"/>
                      <w:szCs w:val="18"/>
                    </w:rPr>
                  </w:pPr>
                  <w:r>
                    <w:rPr>
                      <w:rFonts w:hint="eastAsia"/>
                      <w:color w:val="auto"/>
                      <w:kern w:val="0"/>
                      <w:sz w:val="18"/>
                      <w:szCs w:val="18"/>
                    </w:rPr>
                    <w:t>25</w:t>
                  </w:r>
                </w:p>
              </w:tc>
              <w:tc>
                <w:tcPr>
                  <w:tcW w:w="968" w:type="dxa"/>
                  <w:tcMar>
                    <w:left w:w="28" w:type="dxa"/>
                    <w:right w:w="28" w:type="dxa"/>
                  </w:tcMar>
                  <w:vAlign w:val="center"/>
                </w:tcPr>
                <w:p w14:paraId="675DF89B">
                  <w:pPr>
                    <w:adjustRightInd w:val="0"/>
                    <w:snapToGrid w:val="0"/>
                    <w:jc w:val="center"/>
                    <w:rPr>
                      <w:rFonts w:hint="eastAsia"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22.4</w:t>
                  </w:r>
                </w:p>
              </w:tc>
              <w:tc>
                <w:tcPr>
                  <w:tcW w:w="496" w:type="pct"/>
                  <w:tcMar>
                    <w:left w:w="28" w:type="dxa"/>
                    <w:right w:w="28" w:type="dxa"/>
                  </w:tcMar>
                  <w:vAlign w:val="center"/>
                </w:tcPr>
                <w:p w14:paraId="6FBEC253">
                  <w:pPr>
                    <w:adjustRightInd w:val="0"/>
                    <w:snapToGrid w:val="0"/>
                    <w:jc w:val="center"/>
                    <w:rPr>
                      <w:rFonts w:hint="eastAsia"/>
                      <w:color w:val="auto"/>
                      <w:kern w:val="0"/>
                      <w:sz w:val="18"/>
                      <w:szCs w:val="18"/>
                    </w:rPr>
                  </w:pPr>
                  <w:r>
                    <w:rPr>
                      <w:rFonts w:hint="eastAsia"/>
                      <w:color w:val="auto"/>
                      <w:kern w:val="0"/>
                      <w:sz w:val="18"/>
                      <w:szCs w:val="18"/>
                    </w:rPr>
                    <w:t>1</w:t>
                  </w:r>
                </w:p>
              </w:tc>
            </w:tr>
            <w:tr w14:paraId="1E28871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26" w:hRule="atLeast"/>
              </w:trPr>
              <w:tc>
                <w:tcPr>
                  <w:tcW w:w="342" w:type="pct"/>
                  <w:vMerge w:val="continue"/>
                  <w:tcMar>
                    <w:left w:w="28" w:type="dxa"/>
                    <w:right w:w="28" w:type="dxa"/>
                  </w:tcMar>
                  <w:vAlign w:val="center"/>
                </w:tcPr>
                <w:p w14:paraId="26657610">
                  <w:pPr>
                    <w:adjustRightInd w:val="0"/>
                    <w:snapToGrid w:val="0"/>
                    <w:jc w:val="center"/>
                    <w:rPr>
                      <w:rFonts w:hint="eastAsia"/>
                      <w:color w:val="auto"/>
                      <w:kern w:val="0"/>
                      <w:sz w:val="18"/>
                      <w:szCs w:val="18"/>
                    </w:rPr>
                  </w:pPr>
                </w:p>
              </w:tc>
              <w:tc>
                <w:tcPr>
                  <w:tcW w:w="359" w:type="pct"/>
                  <w:vMerge w:val="continue"/>
                  <w:tcMar>
                    <w:left w:w="28" w:type="dxa"/>
                    <w:right w:w="28" w:type="dxa"/>
                  </w:tcMar>
                  <w:vAlign w:val="center"/>
                </w:tcPr>
                <w:p w14:paraId="4399C08A">
                  <w:pPr>
                    <w:adjustRightInd w:val="0"/>
                    <w:snapToGrid w:val="0"/>
                    <w:jc w:val="center"/>
                    <w:rPr>
                      <w:rFonts w:hint="eastAsia"/>
                      <w:color w:val="auto"/>
                      <w:kern w:val="0"/>
                      <w:sz w:val="18"/>
                      <w:szCs w:val="18"/>
                      <w:lang w:val="en-US" w:eastAsia="zh-CN"/>
                    </w:rPr>
                  </w:pPr>
                </w:p>
              </w:tc>
              <w:tc>
                <w:tcPr>
                  <w:tcW w:w="333" w:type="pct"/>
                  <w:vMerge w:val="continue"/>
                  <w:tcMar>
                    <w:left w:w="28" w:type="dxa"/>
                    <w:right w:w="28" w:type="dxa"/>
                  </w:tcMar>
                  <w:vAlign w:val="center"/>
                </w:tcPr>
                <w:p w14:paraId="1C4E2D70">
                  <w:pPr>
                    <w:adjustRightInd w:val="0"/>
                    <w:snapToGrid w:val="0"/>
                    <w:jc w:val="center"/>
                    <w:rPr>
                      <w:rFonts w:hint="eastAsia"/>
                      <w:color w:val="auto"/>
                      <w:kern w:val="0"/>
                      <w:sz w:val="18"/>
                      <w:szCs w:val="18"/>
                    </w:rPr>
                  </w:pPr>
                </w:p>
              </w:tc>
              <w:tc>
                <w:tcPr>
                  <w:tcW w:w="457" w:type="pct"/>
                  <w:vMerge w:val="continue"/>
                  <w:tcMar>
                    <w:left w:w="28" w:type="dxa"/>
                    <w:right w:w="28" w:type="dxa"/>
                  </w:tcMar>
                  <w:vAlign w:val="center"/>
                </w:tcPr>
                <w:p w14:paraId="02DAFE03">
                  <w:pPr>
                    <w:adjustRightInd w:val="0"/>
                    <w:snapToGrid w:val="0"/>
                    <w:jc w:val="center"/>
                    <w:rPr>
                      <w:rFonts w:hint="eastAsia"/>
                      <w:color w:val="auto"/>
                      <w:kern w:val="0"/>
                      <w:sz w:val="18"/>
                      <w:szCs w:val="18"/>
                    </w:rPr>
                  </w:pPr>
                </w:p>
              </w:tc>
              <w:tc>
                <w:tcPr>
                  <w:tcW w:w="381" w:type="pct"/>
                  <w:vMerge w:val="continue"/>
                  <w:tcMar>
                    <w:left w:w="28" w:type="dxa"/>
                    <w:right w:w="28" w:type="dxa"/>
                  </w:tcMar>
                  <w:vAlign w:val="center"/>
                </w:tcPr>
                <w:p w14:paraId="6088E5AF">
                  <w:pPr>
                    <w:adjustRightInd w:val="0"/>
                    <w:snapToGrid w:val="0"/>
                    <w:jc w:val="center"/>
                    <w:rPr>
                      <w:rFonts w:hint="eastAsia"/>
                      <w:color w:val="auto"/>
                      <w:kern w:val="0"/>
                      <w:sz w:val="18"/>
                      <w:szCs w:val="18"/>
                    </w:rPr>
                  </w:pPr>
                </w:p>
              </w:tc>
              <w:tc>
                <w:tcPr>
                  <w:tcW w:w="200" w:type="pct"/>
                  <w:vMerge w:val="continue"/>
                  <w:tcMar>
                    <w:left w:w="28" w:type="dxa"/>
                    <w:right w:w="28" w:type="dxa"/>
                  </w:tcMar>
                  <w:vAlign w:val="center"/>
                </w:tcPr>
                <w:p w14:paraId="1B0D7A36">
                  <w:pPr>
                    <w:adjustRightInd w:val="0"/>
                    <w:snapToGrid w:val="0"/>
                    <w:jc w:val="center"/>
                    <w:rPr>
                      <w:rFonts w:hint="eastAsia"/>
                      <w:color w:val="auto"/>
                      <w:kern w:val="0"/>
                      <w:sz w:val="18"/>
                      <w:szCs w:val="18"/>
                    </w:rPr>
                  </w:pPr>
                </w:p>
              </w:tc>
              <w:tc>
                <w:tcPr>
                  <w:tcW w:w="200" w:type="pct"/>
                  <w:vMerge w:val="continue"/>
                  <w:tcMar>
                    <w:left w:w="28" w:type="dxa"/>
                    <w:right w:w="28" w:type="dxa"/>
                  </w:tcMar>
                  <w:vAlign w:val="center"/>
                </w:tcPr>
                <w:p w14:paraId="314D7CE1">
                  <w:pPr>
                    <w:adjustRightInd w:val="0"/>
                    <w:snapToGrid w:val="0"/>
                    <w:jc w:val="center"/>
                    <w:rPr>
                      <w:rFonts w:hint="eastAsia"/>
                      <w:color w:val="auto"/>
                      <w:kern w:val="0"/>
                      <w:sz w:val="18"/>
                      <w:szCs w:val="18"/>
                    </w:rPr>
                  </w:pPr>
                </w:p>
              </w:tc>
              <w:tc>
                <w:tcPr>
                  <w:tcW w:w="200" w:type="pct"/>
                  <w:vMerge w:val="continue"/>
                  <w:tcMar>
                    <w:left w:w="28" w:type="dxa"/>
                    <w:right w:w="28" w:type="dxa"/>
                  </w:tcMar>
                  <w:vAlign w:val="center"/>
                </w:tcPr>
                <w:p w14:paraId="516EA0D9">
                  <w:pPr>
                    <w:adjustRightInd w:val="0"/>
                    <w:snapToGrid w:val="0"/>
                    <w:jc w:val="center"/>
                    <w:rPr>
                      <w:rFonts w:hint="eastAsia"/>
                      <w:color w:val="auto"/>
                      <w:kern w:val="0"/>
                      <w:sz w:val="18"/>
                      <w:szCs w:val="18"/>
                    </w:rPr>
                  </w:pPr>
                </w:p>
              </w:tc>
              <w:tc>
                <w:tcPr>
                  <w:tcW w:w="900" w:type="dxa"/>
                  <w:tcMar>
                    <w:left w:w="28" w:type="dxa"/>
                    <w:right w:w="28" w:type="dxa"/>
                  </w:tcMar>
                  <w:vAlign w:val="center"/>
                </w:tcPr>
                <w:p w14:paraId="31AD852C">
                  <w:pPr>
                    <w:adjustRightInd w:val="0"/>
                    <w:snapToGrid w:val="0"/>
                    <w:jc w:val="center"/>
                    <w:rPr>
                      <w:rFonts w:hint="eastAsia"/>
                      <w:color w:val="auto"/>
                      <w:kern w:val="0"/>
                      <w:sz w:val="18"/>
                      <w:szCs w:val="18"/>
                      <w:lang w:val="en-US" w:eastAsia="zh-CN"/>
                    </w:rPr>
                  </w:pPr>
                  <w:r>
                    <w:rPr>
                      <w:rFonts w:hint="eastAsia"/>
                      <w:color w:val="auto"/>
                      <w:kern w:val="0"/>
                      <w:sz w:val="18"/>
                      <w:szCs w:val="18"/>
                      <w:lang w:val="en-US" w:eastAsia="zh-CN"/>
                    </w:rPr>
                    <w:t>65</w:t>
                  </w:r>
                  <w:r>
                    <w:rPr>
                      <w:rFonts w:hint="eastAsia"/>
                      <w:color w:val="auto"/>
                      <w:kern w:val="0"/>
                      <w:sz w:val="18"/>
                      <w:szCs w:val="18"/>
                      <w:lang w:eastAsia="zh-CN"/>
                    </w:rPr>
                    <w:t>（</w:t>
                  </w:r>
                  <w:r>
                    <w:rPr>
                      <w:rFonts w:hint="eastAsia"/>
                      <w:color w:val="auto"/>
                      <w:kern w:val="0"/>
                      <w:sz w:val="18"/>
                      <w:szCs w:val="18"/>
                      <w:lang w:val="en-US" w:eastAsia="zh-CN"/>
                    </w:rPr>
                    <w:t>N</w:t>
                  </w:r>
                  <w:r>
                    <w:rPr>
                      <w:rFonts w:hint="eastAsia"/>
                      <w:color w:val="auto"/>
                      <w:kern w:val="0"/>
                      <w:sz w:val="18"/>
                      <w:szCs w:val="18"/>
                      <w:lang w:eastAsia="zh-CN"/>
                    </w:rPr>
                    <w:t>）</w:t>
                  </w:r>
                </w:p>
              </w:tc>
              <w:tc>
                <w:tcPr>
                  <w:tcW w:w="482" w:type="pct"/>
                  <w:tcMar>
                    <w:left w:w="28" w:type="dxa"/>
                    <w:right w:w="28" w:type="dxa"/>
                  </w:tcMar>
                  <w:vAlign w:val="center"/>
                </w:tcPr>
                <w:p w14:paraId="15A093D9">
                  <w:pPr>
                    <w:adjustRightInd w:val="0"/>
                    <w:snapToGrid w:val="0"/>
                    <w:jc w:val="center"/>
                    <w:rPr>
                      <w:rFonts w:hint="default"/>
                      <w:color w:val="auto"/>
                      <w:kern w:val="0"/>
                      <w:sz w:val="18"/>
                      <w:szCs w:val="18"/>
                      <w:lang w:val="en-US" w:eastAsia="zh-CN"/>
                    </w:rPr>
                  </w:pPr>
                  <w:r>
                    <w:rPr>
                      <w:rFonts w:hint="eastAsia"/>
                      <w:color w:val="auto"/>
                      <w:kern w:val="0"/>
                      <w:sz w:val="18"/>
                      <w:szCs w:val="18"/>
                      <w:lang w:val="en-US" w:eastAsia="zh-CN"/>
                    </w:rPr>
                    <w:t>47.0</w:t>
                  </w:r>
                </w:p>
              </w:tc>
              <w:tc>
                <w:tcPr>
                  <w:tcW w:w="491" w:type="pct"/>
                  <w:tcMar>
                    <w:left w:w="28" w:type="dxa"/>
                    <w:right w:w="28" w:type="dxa"/>
                  </w:tcMar>
                  <w:vAlign w:val="center"/>
                </w:tcPr>
                <w:p w14:paraId="6087B69C">
                  <w:pPr>
                    <w:adjustRightInd w:val="0"/>
                    <w:snapToGrid w:val="0"/>
                    <w:jc w:val="center"/>
                    <w:rPr>
                      <w:rFonts w:hint="eastAsia"/>
                      <w:color w:val="auto"/>
                      <w:kern w:val="0"/>
                      <w:sz w:val="18"/>
                      <w:szCs w:val="18"/>
                    </w:rPr>
                  </w:pPr>
                  <w:r>
                    <w:rPr>
                      <w:rFonts w:hint="eastAsia"/>
                      <w:color w:val="auto"/>
                      <w:kern w:val="0"/>
                      <w:sz w:val="18"/>
                      <w:szCs w:val="18"/>
                    </w:rPr>
                    <w:t>25</w:t>
                  </w:r>
                </w:p>
              </w:tc>
              <w:tc>
                <w:tcPr>
                  <w:tcW w:w="968" w:type="dxa"/>
                  <w:tcMar>
                    <w:left w:w="28" w:type="dxa"/>
                    <w:right w:w="28" w:type="dxa"/>
                  </w:tcMar>
                  <w:vAlign w:val="center"/>
                </w:tcPr>
                <w:p w14:paraId="488B97C2">
                  <w:pPr>
                    <w:adjustRightInd w:val="0"/>
                    <w:snapToGrid w:val="0"/>
                    <w:jc w:val="center"/>
                    <w:rPr>
                      <w:rFonts w:hint="eastAsia"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22</w:t>
                  </w:r>
                </w:p>
              </w:tc>
              <w:tc>
                <w:tcPr>
                  <w:tcW w:w="496" w:type="pct"/>
                  <w:tcMar>
                    <w:left w:w="28" w:type="dxa"/>
                    <w:right w:w="28" w:type="dxa"/>
                  </w:tcMar>
                  <w:vAlign w:val="center"/>
                </w:tcPr>
                <w:p w14:paraId="3B0BF739">
                  <w:pPr>
                    <w:adjustRightInd w:val="0"/>
                    <w:snapToGrid w:val="0"/>
                    <w:jc w:val="center"/>
                    <w:rPr>
                      <w:rFonts w:hint="eastAsia"/>
                      <w:color w:val="auto"/>
                      <w:kern w:val="0"/>
                      <w:sz w:val="18"/>
                      <w:szCs w:val="18"/>
                    </w:rPr>
                  </w:pPr>
                  <w:r>
                    <w:rPr>
                      <w:rFonts w:hint="eastAsia"/>
                      <w:color w:val="auto"/>
                      <w:kern w:val="0"/>
                      <w:sz w:val="18"/>
                      <w:szCs w:val="18"/>
                    </w:rPr>
                    <w:t>1</w:t>
                  </w:r>
                </w:p>
              </w:tc>
            </w:tr>
            <w:tr w14:paraId="1F34086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94" w:hRule="atLeast"/>
              </w:trPr>
              <w:tc>
                <w:tcPr>
                  <w:tcW w:w="342" w:type="pct"/>
                  <w:vMerge w:val="continue"/>
                  <w:tcMar>
                    <w:left w:w="28" w:type="dxa"/>
                    <w:right w:w="28" w:type="dxa"/>
                  </w:tcMar>
                  <w:vAlign w:val="center"/>
                </w:tcPr>
                <w:p w14:paraId="0C071DE1">
                  <w:pPr>
                    <w:adjustRightInd w:val="0"/>
                    <w:snapToGrid w:val="0"/>
                    <w:jc w:val="center"/>
                    <w:rPr>
                      <w:rFonts w:hint="eastAsia"/>
                      <w:color w:val="auto"/>
                      <w:kern w:val="0"/>
                      <w:sz w:val="18"/>
                      <w:szCs w:val="18"/>
                    </w:rPr>
                  </w:pPr>
                </w:p>
              </w:tc>
              <w:tc>
                <w:tcPr>
                  <w:tcW w:w="359" w:type="pct"/>
                  <w:vMerge w:val="restart"/>
                  <w:tcMar>
                    <w:left w:w="28" w:type="dxa"/>
                    <w:right w:w="28" w:type="dxa"/>
                  </w:tcMar>
                  <w:vAlign w:val="center"/>
                </w:tcPr>
                <w:p w14:paraId="49A50D0C">
                  <w:pPr>
                    <w:adjustRightInd w:val="0"/>
                    <w:snapToGrid w:val="0"/>
                    <w:jc w:val="center"/>
                    <w:rPr>
                      <w:rFonts w:hint="default"/>
                      <w:color w:val="auto"/>
                      <w:kern w:val="0"/>
                      <w:sz w:val="18"/>
                      <w:szCs w:val="18"/>
                      <w:lang w:val="en-US" w:eastAsia="zh-CN"/>
                    </w:rPr>
                  </w:pPr>
                  <w:r>
                    <w:rPr>
                      <w:rFonts w:hint="eastAsia"/>
                      <w:color w:val="auto"/>
                      <w:kern w:val="0"/>
                      <w:sz w:val="18"/>
                      <w:szCs w:val="18"/>
                      <w:lang w:val="en-US" w:eastAsia="zh-CN"/>
                    </w:rPr>
                    <w:t>喷锌房</w:t>
                  </w:r>
                </w:p>
              </w:tc>
              <w:tc>
                <w:tcPr>
                  <w:tcW w:w="333" w:type="pct"/>
                  <w:vMerge w:val="restart"/>
                  <w:tcMar>
                    <w:left w:w="28" w:type="dxa"/>
                    <w:right w:w="28" w:type="dxa"/>
                  </w:tcMar>
                  <w:vAlign w:val="center"/>
                </w:tcPr>
                <w:p w14:paraId="188E8BA7">
                  <w:pPr>
                    <w:adjustRightInd w:val="0"/>
                    <w:snapToGrid w:val="0"/>
                    <w:jc w:val="center"/>
                    <w:rPr>
                      <w:rFonts w:hint="eastAsia" w:eastAsia="宋体"/>
                      <w:color w:val="auto"/>
                      <w:kern w:val="0"/>
                      <w:sz w:val="18"/>
                      <w:szCs w:val="18"/>
                      <w:lang w:val="en-US" w:eastAsia="zh-CN"/>
                    </w:rPr>
                  </w:pPr>
                  <w:r>
                    <w:rPr>
                      <w:rFonts w:hint="eastAsia"/>
                      <w:color w:val="auto"/>
                      <w:kern w:val="0"/>
                      <w:sz w:val="18"/>
                      <w:szCs w:val="18"/>
                      <w:lang w:val="en-US" w:eastAsia="zh-CN"/>
                    </w:rPr>
                    <w:t>1</w:t>
                  </w:r>
                </w:p>
              </w:tc>
              <w:tc>
                <w:tcPr>
                  <w:tcW w:w="457" w:type="pct"/>
                  <w:vMerge w:val="restart"/>
                  <w:tcMar>
                    <w:left w:w="28" w:type="dxa"/>
                    <w:right w:w="28" w:type="dxa"/>
                  </w:tcMar>
                  <w:vAlign w:val="center"/>
                </w:tcPr>
                <w:p w14:paraId="3ABF7D23">
                  <w:pPr>
                    <w:adjustRightInd w:val="0"/>
                    <w:snapToGrid w:val="0"/>
                    <w:jc w:val="center"/>
                    <w:rPr>
                      <w:rFonts w:hint="default" w:eastAsia="宋体"/>
                      <w:color w:val="auto"/>
                      <w:kern w:val="0"/>
                      <w:sz w:val="18"/>
                      <w:szCs w:val="18"/>
                      <w:lang w:val="en-US" w:eastAsia="zh-CN"/>
                    </w:rPr>
                  </w:pPr>
                  <w:r>
                    <w:rPr>
                      <w:rFonts w:hint="eastAsia"/>
                      <w:color w:val="auto"/>
                      <w:kern w:val="0"/>
                      <w:sz w:val="18"/>
                      <w:szCs w:val="18"/>
                      <w:lang w:val="en-US" w:eastAsia="zh-CN"/>
                    </w:rPr>
                    <w:t>70</w:t>
                  </w:r>
                </w:p>
              </w:tc>
              <w:tc>
                <w:tcPr>
                  <w:tcW w:w="381" w:type="pct"/>
                  <w:vMerge w:val="continue"/>
                  <w:tcMar>
                    <w:left w:w="28" w:type="dxa"/>
                    <w:right w:w="28" w:type="dxa"/>
                  </w:tcMar>
                  <w:vAlign w:val="center"/>
                </w:tcPr>
                <w:p w14:paraId="5AC0FF34">
                  <w:pPr>
                    <w:adjustRightInd w:val="0"/>
                    <w:snapToGrid w:val="0"/>
                    <w:jc w:val="center"/>
                    <w:rPr>
                      <w:rFonts w:hint="eastAsia"/>
                      <w:color w:val="auto"/>
                      <w:kern w:val="0"/>
                      <w:sz w:val="18"/>
                      <w:szCs w:val="18"/>
                    </w:rPr>
                  </w:pPr>
                </w:p>
              </w:tc>
              <w:tc>
                <w:tcPr>
                  <w:tcW w:w="200" w:type="pct"/>
                  <w:vMerge w:val="restart"/>
                  <w:tcMar>
                    <w:left w:w="28" w:type="dxa"/>
                    <w:right w:w="28" w:type="dxa"/>
                  </w:tcMar>
                  <w:vAlign w:val="center"/>
                </w:tcPr>
                <w:p w14:paraId="40680317">
                  <w:pPr>
                    <w:adjustRightInd w:val="0"/>
                    <w:snapToGrid w:val="0"/>
                    <w:jc w:val="center"/>
                    <w:rPr>
                      <w:rFonts w:hint="default" w:eastAsia="宋体"/>
                      <w:color w:val="auto"/>
                      <w:kern w:val="0"/>
                      <w:sz w:val="18"/>
                      <w:szCs w:val="18"/>
                      <w:lang w:val="en-US" w:eastAsia="zh-CN"/>
                    </w:rPr>
                  </w:pPr>
                  <w:r>
                    <w:rPr>
                      <w:rFonts w:hint="eastAsia"/>
                      <w:color w:val="auto"/>
                      <w:kern w:val="0"/>
                      <w:sz w:val="18"/>
                      <w:szCs w:val="18"/>
                      <w:lang w:val="en-US" w:eastAsia="zh-CN"/>
                    </w:rPr>
                    <w:t>-31</w:t>
                  </w:r>
                </w:p>
              </w:tc>
              <w:tc>
                <w:tcPr>
                  <w:tcW w:w="200" w:type="pct"/>
                  <w:vMerge w:val="restart"/>
                  <w:tcMar>
                    <w:left w:w="28" w:type="dxa"/>
                    <w:right w:w="28" w:type="dxa"/>
                  </w:tcMar>
                  <w:vAlign w:val="center"/>
                </w:tcPr>
                <w:p w14:paraId="4A6E2D8F">
                  <w:pPr>
                    <w:adjustRightInd w:val="0"/>
                    <w:snapToGrid w:val="0"/>
                    <w:jc w:val="center"/>
                    <w:rPr>
                      <w:rFonts w:hint="default" w:eastAsia="宋体"/>
                      <w:color w:val="auto"/>
                      <w:kern w:val="0"/>
                      <w:sz w:val="18"/>
                      <w:szCs w:val="18"/>
                      <w:lang w:val="en-US" w:eastAsia="zh-CN"/>
                    </w:rPr>
                  </w:pPr>
                  <w:r>
                    <w:rPr>
                      <w:rFonts w:hint="eastAsia"/>
                      <w:color w:val="auto"/>
                      <w:kern w:val="0"/>
                      <w:sz w:val="18"/>
                      <w:szCs w:val="18"/>
                      <w:lang w:val="en-US" w:eastAsia="zh-CN"/>
                    </w:rPr>
                    <w:t>-8</w:t>
                  </w:r>
                </w:p>
              </w:tc>
              <w:tc>
                <w:tcPr>
                  <w:tcW w:w="200" w:type="pct"/>
                  <w:vMerge w:val="restart"/>
                  <w:tcMar>
                    <w:left w:w="28" w:type="dxa"/>
                    <w:right w:w="28" w:type="dxa"/>
                  </w:tcMar>
                  <w:vAlign w:val="center"/>
                </w:tcPr>
                <w:p w14:paraId="4DDF08CD">
                  <w:pPr>
                    <w:adjustRightInd w:val="0"/>
                    <w:snapToGrid w:val="0"/>
                    <w:jc w:val="center"/>
                    <w:rPr>
                      <w:rFonts w:hint="eastAsia" w:eastAsia="宋体"/>
                      <w:color w:val="auto"/>
                      <w:kern w:val="0"/>
                      <w:sz w:val="18"/>
                      <w:szCs w:val="18"/>
                      <w:lang w:val="en-US" w:eastAsia="zh-CN"/>
                    </w:rPr>
                  </w:pPr>
                  <w:r>
                    <w:rPr>
                      <w:rFonts w:hint="eastAsia"/>
                      <w:color w:val="auto"/>
                      <w:kern w:val="0"/>
                      <w:sz w:val="18"/>
                      <w:szCs w:val="18"/>
                      <w:lang w:val="en-US" w:eastAsia="zh-CN"/>
                    </w:rPr>
                    <w:t>1</w:t>
                  </w:r>
                </w:p>
              </w:tc>
              <w:tc>
                <w:tcPr>
                  <w:tcW w:w="900" w:type="dxa"/>
                  <w:tcMar>
                    <w:left w:w="28" w:type="dxa"/>
                    <w:right w:w="28" w:type="dxa"/>
                  </w:tcMar>
                  <w:vAlign w:val="center"/>
                </w:tcPr>
                <w:p w14:paraId="4B4C1F72">
                  <w:pPr>
                    <w:adjustRightInd w:val="0"/>
                    <w:snapToGrid w:val="0"/>
                    <w:jc w:val="center"/>
                    <w:rPr>
                      <w:rFonts w:hint="eastAsia"/>
                      <w:color w:val="auto"/>
                      <w:kern w:val="0"/>
                      <w:sz w:val="18"/>
                      <w:szCs w:val="18"/>
                      <w:lang w:val="en-US" w:eastAsia="zh-CN"/>
                    </w:rPr>
                  </w:pPr>
                  <w:r>
                    <w:rPr>
                      <w:rFonts w:hint="eastAsia"/>
                      <w:color w:val="auto"/>
                      <w:kern w:val="0"/>
                      <w:sz w:val="18"/>
                      <w:szCs w:val="18"/>
                      <w:lang w:val="en-US" w:eastAsia="zh-CN"/>
                    </w:rPr>
                    <w:t>166</w:t>
                  </w:r>
                  <w:r>
                    <w:rPr>
                      <w:rFonts w:hint="eastAsia"/>
                      <w:color w:val="auto"/>
                      <w:kern w:val="0"/>
                      <w:sz w:val="18"/>
                      <w:szCs w:val="18"/>
                      <w:lang w:eastAsia="zh-CN"/>
                    </w:rPr>
                    <w:t>（</w:t>
                  </w:r>
                  <w:r>
                    <w:rPr>
                      <w:rFonts w:hint="eastAsia"/>
                      <w:color w:val="auto"/>
                      <w:kern w:val="0"/>
                      <w:sz w:val="18"/>
                      <w:szCs w:val="18"/>
                      <w:lang w:val="en-US" w:eastAsia="zh-CN"/>
                    </w:rPr>
                    <w:t>E</w:t>
                  </w:r>
                  <w:r>
                    <w:rPr>
                      <w:rFonts w:hint="eastAsia"/>
                      <w:color w:val="auto"/>
                      <w:kern w:val="0"/>
                      <w:sz w:val="18"/>
                      <w:szCs w:val="18"/>
                      <w:lang w:eastAsia="zh-CN"/>
                    </w:rPr>
                    <w:t>）</w:t>
                  </w:r>
                </w:p>
              </w:tc>
              <w:tc>
                <w:tcPr>
                  <w:tcW w:w="482" w:type="pct"/>
                  <w:tcMar>
                    <w:left w:w="28" w:type="dxa"/>
                    <w:right w:w="28" w:type="dxa"/>
                  </w:tcMar>
                  <w:vAlign w:val="center"/>
                </w:tcPr>
                <w:p w14:paraId="4F7D6D42">
                  <w:pPr>
                    <w:adjustRightInd w:val="0"/>
                    <w:snapToGrid w:val="0"/>
                    <w:jc w:val="center"/>
                    <w:rPr>
                      <w:rFonts w:hint="default"/>
                      <w:color w:val="auto"/>
                      <w:kern w:val="0"/>
                      <w:sz w:val="18"/>
                      <w:szCs w:val="18"/>
                      <w:lang w:val="en-US" w:eastAsia="zh-CN"/>
                    </w:rPr>
                  </w:pPr>
                  <w:r>
                    <w:rPr>
                      <w:rFonts w:hint="eastAsia"/>
                      <w:color w:val="auto"/>
                      <w:kern w:val="0"/>
                      <w:sz w:val="18"/>
                      <w:szCs w:val="18"/>
                      <w:lang w:val="en-US" w:eastAsia="zh-CN"/>
                    </w:rPr>
                    <w:t>39.1</w:t>
                  </w:r>
                </w:p>
              </w:tc>
              <w:tc>
                <w:tcPr>
                  <w:tcW w:w="491" w:type="pct"/>
                  <w:tcMar>
                    <w:left w:w="28" w:type="dxa"/>
                    <w:right w:w="28" w:type="dxa"/>
                  </w:tcMar>
                  <w:vAlign w:val="center"/>
                </w:tcPr>
                <w:p w14:paraId="2DC2E574">
                  <w:pPr>
                    <w:adjustRightInd w:val="0"/>
                    <w:snapToGrid w:val="0"/>
                    <w:jc w:val="center"/>
                    <w:rPr>
                      <w:rFonts w:hint="eastAsia"/>
                      <w:color w:val="auto"/>
                      <w:kern w:val="0"/>
                      <w:sz w:val="18"/>
                      <w:szCs w:val="18"/>
                    </w:rPr>
                  </w:pPr>
                  <w:r>
                    <w:rPr>
                      <w:rFonts w:hint="eastAsia"/>
                      <w:color w:val="auto"/>
                      <w:kern w:val="0"/>
                      <w:sz w:val="18"/>
                      <w:szCs w:val="18"/>
                    </w:rPr>
                    <w:t>25</w:t>
                  </w:r>
                </w:p>
              </w:tc>
              <w:tc>
                <w:tcPr>
                  <w:tcW w:w="968" w:type="dxa"/>
                  <w:tcMar>
                    <w:left w:w="28" w:type="dxa"/>
                    <w:right w:w="28" w:type="dxa"/>
                  </w:tcMar>
                  <w:vAlign w:val="center"/>
                </w:tcPr>
                <w:p w14:paraId="3E5521DD">
                  <w:pPr>
                    <w:adjustRightInd w:val="0"/>
                    <w:snapToGrid w:val="0"/>
                    <w:jc w:val="center"/>
                    <w:rPr>
                      <w:rFonts w:hint="eastAsia"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14.1</w:t>
                  </w:r>
                </w:p>
              </w:tc>
              <w:tc>
                <w:tcPr>
                  <w:tcW w:w="496" w:type="pct"/>
                  <w:tcMar>
                    <w:left w:w="28" w:type="dxa"/>
                    <w:right w:w="28" w:type="dxa"/>
                  </w:tcMar>
                  <w:vAlign w:val="center"/>
                </w:tcPr>
                <w:p w14:paraId="0BD1E261">
                  <w:pPr>
                    <w:adjustRightInd w:val="0"/>
                    <w:snapToGrid w:val="0"/>
                    <w:jc w:val="center"/>
                    <w:rPr>
                      <w:rFonts w:hint="eastAsia"/>
                      <w:color w:val="auto"/>
                      <w:kern w:val="0"/>
                      <w:sz w:val="18"/>
                      <w:szCs w:val="18"/>
                    </w:rPr>
                  </w:pPr>
                  <w:r>
                    <w:rPr>
                      <w:rFonts w:hint="eastAsia"/>
                      <w:color w:val="auto"/>
                      <w:kern w:val="0"/>
                      <w:sz w:val="18"/>
                      <w:szCs w:val="18"/>
                    </w:rPr>
                    <w:t>1</w:t>
                  </w:r>
                </w:p>
              </w:tc>
            </w:tr>
            <w:tr w14:paraId="5990C93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94" w:hRule="atLeast"/>
              </w:trPr>
              <w:tc>
                <w:tcPr>
                  <w:tcW w:w="342" w:type="pct"/>
                  <w:vMerge w:val="continue"/>
                  <w:tcMar>
                    <w:left w:w="28" w:type="dxa"/>
                    <w:right w:w="28" w:type="dxa"/>
                  </w:tcMar>
                  <w:vAlign w:val="center"/>
                </w:tcPr>
                <w:p w14:paraId="0DB8A23C">
                  <w:pPr>
                    <w:adjustRightInd w:val="0"/>
                    <w:snapToGrid w:val="0"/>
                    <w:jc w:val="center"/>
                    <w:rPr>
                      <w:rFonts w:hint="eastAsia"/>
                      <w:color w:val="auto"/>
                      <w:kern w:val="0"/>
                      <w:sz w:val="18"/>
                      <w:szCs w:val="18"/>
                    </w:rPr>
                  </w:pPr>
                </w:p>
              </w:tc>
              <w:tc>
                <w:tcPr>
                  <w:tcW w:w="359" w:type="pct"/>
                  <w:vMerge w:val="continue"/>
                  <w:tcMar>
                    <w:left w:w="28" w:type="dxa"/>
                    <w:right w:w="28" w:type="dxa"/>
                  </w:tcMar>
                  <w:vAlign w:val="center"/>
                </w:tcPr>
                <w:p w14:paraId="5B83F89B">
                  <w:pPr>
                    <w:adjustRightInd w:val="0"/>
                    <w:snapToGrid w:val="0"/>
                    <w:jc w:val="center"/>
                    <w:rPr>
                      <w:rFonts w:hint="eastAsia"/>
                      <w:color w:val="auto"/>
                      <w:kern w:val="0"/>
                      <w:sz w:val="18"/>
                      <w:szCs w:val="18"/>
                      <w:lang w:val="en-US" w:eastAsia="zh-CN"/>
                    </w:rPr>
                  </w:pPr>
                </w:p>
              </w:tc>
              <w:tc>
                <w:tcPr>
                  <w:tcW w:w="333" w:type="pct"/>
                  <w:vMerge w:val="continue"/>
                  <w:tcMar>
                    <w:left w:w="28" w:type="dxa"/>
                    <w:right w:w="28" w:type="dxa"/>
                  </w:tcMar>
                  <w:vAlign w:val="center"/>
                </w:tcPr>
                <w:p w14:paraId="1786892B">
                  <w:pPr>
                    <w:adjustRightInd w:val="0"/>
                    <w:snapToGrid w:val="0"/>
                    <w:jc w:val="center"/>
                    <w:rPr>
                      <w:rFonts w:hint="eastAsia"/>
                      <w:color w:val="auto"/>
                      <w:kern w:val="0"/>
                      <w:sz w:val="18"/>
                      <w:szCs w:val="18"/>
                    </w:rPr>
                  </w:pPr>
                </w:p>
              </w:tc>
              <w:tc>
                <w:tcPr>
                  <w:tcW w:w="457" w:type="pct"/>
                  <w:vMerge w:val="continue"/>
                  <w:tcMar>
                    <w:left w:w="28" w:type="dxa"/>
                    <w:right w:w="28" w:type="dxa"/>
                  </w:tcMar>
                  <w:vAlign w:val="center"/>
                </w:tcPr>
                <w:p w14:paraId="69654264">
                  <w:pPr>
                    <w:adjustRightInd w:val="0"/>
                    <w:snapToGrid w:val="0"/>
                    <w:jc w:val="center"/>
                    <w:rPr>
                      <w:rFonts w:hint="eastAsia"/>
                      <w:color w:val="auto"/>
                      <w:kern w:val="0"/>
                      <w:sz w:val="18"/>
                      <w:szCs w:val="18"/>
                    </w:rPr>
                  </w:pPr>
                </w:p>
              </w:tc>
              <w:tc>
                <w:tcPr>
                  <w:tcW w:w="381" w:type="pct"/>
                  <w:vMerge w:val="continue"/>
                  <w:tcMar>
                    <w:left w:w="28" w:type="dxa"/>
                    <w:right w:w="28" w:type="dxa"/>
                  </w:tcMar>
                  <w:vAlign w:val="center"/>
                </w:tcPr>
                <w:p w14:paraId="2C4414A9">
                  <w:pPr>
                    <w:adjustRightInd w:val="0"/>
                    <w:snapToGrid w:val="0"/>
                    <w:jc w:val="center"/>
                    <w:rPr>
                      <w:rFonts w:hint="eastAsia"/>
                      <w:color w:val="auto"/>
                      <w:kern w:val="0"/>
                      <w:sz w:val="18"/>
                      <w:szCs w:val="18"/>
                    </w:rPr>
                  </w:pPr>
                </w:p>
              </w:tc>
              <w:tc>
                <w:tcPr>
                  <w:tcW w:w="200" w:type="pct"/>
                  <w:vMerge w:val="continue"/>
                  <w:tcMar>
                    <w:left w:w="28" w:type="dxa"/>
                    <w:right w:w="28" w:type="dxa"/>
                  </w:tcMar>
                  <w:vAlign w:val="center"/>
                </w:tcPr>
                <w:p w14:paraId="52154469">
                  <w:pPr>
                    <w:adjustRightInd w:val="0"/>
                    <w:snapToGrid w:val="0"/>
                    <w:jc w:val="center"/>
                    <w:rPr>
                      <w:rFonts w:hint="eastAsia"/>
                      <w:color w:val="auto"/>
                      <w:kern w:val="0"/>
                      <w:sz w:val="18"/>
                      <w:szCs w:val="18"/>
                    </w:rPr>
                  </w:pPr>
                </w:p>
              </w:tc>
              <w:tc>
                <w:tcPr>
                  <w:tcW w:w="200" w:type="pct"/>
                  <w:vMerge w:val="continue"/>
                  <w:tcMar>
                    <w:left w:w="28" w:type="dxa"/>
                    <w:right w:w="28" w:type="dxa"/>
                  </w:tcMar>
                  <w:vAlign w:val="center"/>
                </w:tcPr>
                <w:p w14:paraId="265F5F20">
                  <w:pPr>
                    <w:adjustRightInd w:val="0"/>
                    <w:snapToGrid w:val="0"/>
                    <w:jc w:val="center"/>
                    <w:rPr>
                      <w:rFonts w:hint="eastAsia"/>
                      <w:color w:val="auto"/>
                      <w:kern w:val="0"/>
                      <w:sz w:val="18"/>
                      <w:szCs w:val="18"/>
                    </w:rPr>
                  </w:pPr>
                </w:p>
              </w:tc>
              <w:tc>
                <w:tcPr>
                  <w:tcW w:w="200" w:type="pct"/>
                  <w:vMerge w:val="continue"/>
                  <w:tcMar>
                    <w:left w:w="28" w:type="dxa"/>
                    <w:right w:w="28" w:type="dxa"/>
                  </w:tcMar>
                  <w:vAlign w:val="center"/>
                </w:tcPr>
                <w:p w14:paraId="64CE2AD9">
                  <w:pPr>
                    <w:adjustRightInd w:val="0"/>
                    <w:snapToGrid w:val="0"/>
                    <w:jc w:val="center"/>
                    <w:rPr>
                      <w:rFonts w:hint="eastAsia"/>
                      <w:color w:val="auto"/>
                      <w:kern w:val="0"/>
                      <w:sz w:val="18"/>
                      <w:szCs w:val="18"/>
                    </w:rPr>
                  </w:pPr>
                </w:p>
              </w:tc>
              <w:tc>
                <w:tcPr>
                  <w:tcW w:w="900" w:type="dxa"/>
                  <w:tcMar>
                    <w:left w:w="28" w:type="dxa"/>
                    <w:right w:w="28" w:type="dxa"/>
                  </w:tcMar>
                  <w:vAlign w:val="center"/>
                </w:tcPr>
                <w:p w14:paraId="1F5FFD75">
                  <w:pPr>
                    <w:adjustRightInd w:val="0"/>
                    <w:snapToGrid w:val="0"/>
                    <w:jc w:val="center"/>
                    <w:rPr>
                      <w:rFonts w:hint="eastAsia"/>
                      <w:color w:val="auto"/>
                      <w:kern w:val="0"/>
                      <w:sz w:val="18"/>
                      <w:szCs w:val="18"/>
                      <w:lang w:val="en-US" w:eastAsia="zh-CN"/>
                    </w:rPr>
                  </w:pPr>
                  <w:r>
                    <w:rPr>
                      <w:rFonts w:hint="eastAsia"/>
                      <w:color w:val="auto"/>
                      <w:kern w:val="0"/>
                      <w:sz w:val="18"/>
                      <w:szCs w:val="18"/>
                      <w:lang w:val="en-US" w:eastAsia="zh-CN"/>
                    </w:rPr>
                    <w:t>1</w:t>
                  </w:r>
                  <w:r>
                    <w:rPr>
                      <w:rFonts w:hint="eastAsia"/>
                      <w:color w:val="auto"/>
                      <w:kern w:val="0"/>
                      <w:sz w:val="18"/>
                      <w:szCs w:val="18"/>
                      <w:lang w:eastAsia="zh-CN"/>
                    </w:rPr>
                    <w:t>（</w:t>
                  </w:r>
                  <w:r>
                    <w:rPr>
                      <w:rFonts w:hint="eastAsia"/>
                      <w:color w:val="auto"/>
                      <w:kern w:val="0"/>
                      <w:sz w:val="18"/>
                      <w:szCs w:val="18"/>
                      <w:lang w:val="en-US" w:eastAsia="zh-CN"/>
                    </w:rPr>
                    <w:t>S</w:t>
                  </w:r>
                  <w:r>
                    <w:rPr>
                      <w:rFonts w:hint="eastAsia"/>
                      <w:color w:val="auto"/>
                      <w:kern w:val="0"/>
                      <w:sz w:val="18"/>
                      <w:szCs w:val="18"/>
                      <w:lang w:eastAsia="zh-CN"/>
                    </w:rPr>
                    <w:t>）</w:t>
                  </w:r>
                </w:p>
              </w:tc>
              <w:tc>
                <w:tcPr>
                  <w:tcW w:w="482" w:type="pct"/>
                  <w:tcMar>
                    <w:left w:w="28" w:type="dxa"/>
                    <w:right w:w="28" w:type="dxa"/>
                  </w:tcMar>
                  <w:vAlign w:val="center"/>
                </w:tcPr>
                <w:p w14:paraId="27D57F1E">
                  <w:pPr>
                    <w:adjustRightInd w:val="0"/>
                    <w:snapToGrid w:val="0"/>
                    <w:jc w:val="center"/>
                    <w:rPr>
                      <w:rFonts w:hint="default"/>
                      <w:color w:val="auto"/>
                      <w:kern w:val="0"/>
                      <w:sz w:val="18"/>
                      <w:szCs w:val="18"/>
                      <w:lang w:val="en-US" w:eastAsia="zh-CN"/>
                    </w:rPr>
                  </w:pPr>
                  <w:r>
                    <w:rPr>
                      <w:rFonts w:hint="eastAsia"/>
                      <w:color w:val="auto"/>
                      <w:kern w:val="0"/>
                      <w:sz w:val="18"/>
                      <w:szCs w:val="18"/>
                      <w:lang w:val="en-US" w:eastAsia="zh-CN"/>
                    </w:rPr>
                    <w:t>73.1</w:t>
                  </w:r>
                </w:p>
              </w:tc>
              <w:tc>
                <w:tcPr>
                  <w:tcW w:w="491" w:type="pct"/>
                  <w:tcMar>
                    <w:left w:w="28" w:type="dxa"/>
                    <w:right w:w="28" w:type="dxa"/>
                  </w:tcMar>
                  <w:vAlign w:val="center"/>
                </w:tcPr>
                <w:p w14:paraId="15AA30D6">
                  <w:pPr>
                    <w:adjustRightInd w:val="0"/>
                    <w:snapToGrid w:val="0"/>
                    <w:jc w:val="center"/>
                    <w:rPr>
                      <w:rFonts w:hint="eastAsia"/>
                      <w:color w:val="auto"/>
                      <w:kern w:val="0"/>
                      <w:sz w:val="18"/>
                      <w:szCs w:val="18"/>
                    </w:rPr>
                  </w:pPr>
                  <w:r>
                    <w:rPr>
                      <w:rFonts w:hint="eastAsia"/>
                      <w:color w:val="auto"/>
                      <w:kern w:val="0"/>
                      <w:sz w:val="18"/>
                      <w:szCs w:val="18"/>
                    </w:rPr>
                    <w:t>25</w:t>
                  </w:r>
                </w:p>
              </w:tc>
              <w:tc>
                <w:tcPr>
                  <w:tcW w:w="968" w:type="dxa"/>
                  <w:tcMar>
                    <w:left w:w="28" w:type="dxa"/>
                    <w:right w:w="28" w:type="dxa"/>
                  </w:tcMar>
                  <w:vAlign w:val="center"/>
                </w:tcPr>
                <w:p w14:paraId="5DA07BE2">
                  <w:pPr>
                    <w:adjustRightInd w:val="0"/>
                    <w:snapToGrid w:val="0"/>
                    <w:jc w:val="center"/>
                    <w:rPr>
                      <w:rFonts w:hint="eastAsia"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48.1</w:t>
                  </w:r>
                </w:p>
              </w:tc>
              <w:tc>
                <w:tcPr>
                  <w:tcW w:w="496" w:type="pct"/>
                  <w:tcMar>
                    <w:left w:w="28" w:type="dxa"/>
                    <w:right w:w="28" w:type="dxa"/>
                  </w:tcMar>
                  <w:vAlign w:val="center"/>
                </w:tcPr>
                <w:p w14:paraId="035B43B6">
                  <w:pPr>
                    <w:adjustRightInd w:val="0"/>
                    <w:snapToGrid w:val="0"/>
                    <w:jc w:val="center"/>
                    <w:rPr>
                      <w:rFonts w:hint="eastAsia"/>
                      <w:color w:val="auto"/>
                      <w:kern w:val="0"/>
                      <w:sz w:val="18"/>
                      <w:szCs w:val="18"/>
                    </w:rPr>
                  </w:pPr>
                  <w:r>
                    <w:rPr>
                      <w:rFonts w:hint="eastAsia"/>
                      <w:color w:val="auto"/>
                      <w:kern w:val="0"/>
                      <w:sz w:val="18"/>
                      <w:szCs w:val="18"/>
                    </w:rPr>
                    <w:t>1</w:t>
                  </w:r>
                </w:p>
              </w:tc>
            </w:tr>
            <w:tr w14:paraId="1F50404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94" w:hRule="atLeast"/>
              </w:trPr>
              <w:tc>
                <w:tcPr>
                  <w:tcW w:w="342" w:type="pct"/>
                  <w:vMerge w:val="continue"/>
                  <w:tcMar>
                    <w:left w:w="28" w:type="dxa"/>
                    <w:right w:w="28" w:type="dxa"/>
                  </w:tcMar>
                  <w:vAlign w:val="center"/>
                </w:tcPr>
                <w:p w14:paraId="45E128DD">
                  <w:pPr>
                    <w:adjustRightInd w:val="0"/>
                    <w:snapToGrid w:val="0"/>
                    <w:jc w:val="center"/>
                    <w:rPr>
                      <w:rFonts w:hint="eastAsia"/>
                      <w:color w:val="auto"/>
                      <w:kern w:val="0"/>
                      <w:sz w:val="18"/>
                      <w:szCs w:val="18"/>
                    </w:rPr>
                  </w:pPr>
                </w:p>
              </w:tc>
              <w:tc>
                <w:tcPr>
                  <w:tcW w:w="359" w:type="pct"/>
                  <w:vMerge w:val="continue"/>
                  <w:tcMar>
                    <w:left w:w="28" w:type="dxa"/>
                    <w:right w:w="28" w:type="dxa"/>
                  </w:tcMar>
                  <w:vAlign w:val="center"/>
                </w:tcPr>
                <w:p w14:paraId="359C93D8">
                  <w:pPr>
                    <w:adjustRightInd w:val="0"/>
                    <w:snapToGrid w:val="0"/>
                    <w:jc w:val="center"/>
                    <w:rPr>
                      <w:rFonts w:hint="eastAsia"/>
                      <w:color w:val="auto"/>
                      <w:kern w:val="0"/>
                      <w:sz w:val="18"/>
                      <w:szCs w:val="18"/>
                      <w:lang w:val="en-US" w:eastAsia="zh-CN"/>
                    </w:rPr>
                  </w:pPr>
                </w:p>
              </w:tc>
              <w:tc>
                <w:tcPr>
                  <w:tcW w:w="333" w:type="pct"/>
                  <w:vMerge w:val="continue"/>
                  <w:tcMar>
                    <w:left w:w="28" w:type="dxa"/>
                    <w:right w:w="28" w:type="dxa"/>
                  </w:tcMar>
                  <w:vAlign w:val="center"/>
                </w:tcPr>
                <w:p w14:paraId="2C0CE489">
                  <w:pPr>
                    <w:adjustRightInd w:val="0"/>
                    <w:snapToGrid w:val="0"/>
                    <w:jc w:val="center"/>
                    <w:rPr>
                      <w:rFonts w:hint="eastAsia"/>
                      <w:color w:val="auto"/>
                      <w:kern w:val="0"/>
                      <w:sz w:val="18"/>
                      <w:szCs w:val="18"/>
                    </w:rPr>
                  </w:pPr>
                </w:p>
              </w:tc>
              <w:tc>
                <w:tcPr>
                  <w:tcW w:w="457" w:type="pct"/>
                  <w:vMerge w:val="continue"/>
                  <w:tcMar>
                    <w:left w:w="28" w:type="dxa"/>
                    <w:right w:w="28" w:type="dxa"/>
                  </w:tcMar>
                  <w:vAlign w:val="center"/>
                </w:tcPr>
                <w:p w14:paraId="2AF17800">
                  <w:pPr>
                    <w:adjustRightInd w:val="0"/>
                    <w:snapToGrid w:val="0"/>
                    <w:jc w:val="center"/>
                    <w:rPr>
                      <w:rFonts w:hint="eastAsia"/>
                      <w:color w:val="auto"/>
                      <w:kern w:val="0"/>
                      <w:sz w:val="18"/>
                      <w:szCs w:val="18"/>
                    </w:rPr>
                  </w:pPr>
                </w:p>
              </w:tc>
              <w:tc>
                <w:tcPr>
                  <w:tcW w:w="381" w:type="pct"/>
                  <w:vMerge w:val="continue"/>
                  <w:tcMar>
                    <w:left w:w="28" w:type="dxa"/>
                    <w:right w:w="28" w:type="dxa"/>
                  </w:tcMar>
                  <w:vAlign w:val="center"/>
                </w:tcPr>
                <w:p w14:paraId="13092D18">
                  <w:pPr>
                    <w:adjustRightInd w:val="0"/>
                    <w:snapToGrid w:val="0"/>
                    <w:jc w:val="center"/>
                    <w:rPr>
                      <w:rFonts w:hint="eastAsia"/>
                      <w:color w:val="auto"/>
                      <w:kern w:val="0"/>
                      <w:sz w:val="18"/>
                      <w:szCs w:val="18"/>
                    </w:rPr>
                  </w:pPr>
                </w:p>
              </w:tc>
              <w:tc>
                <w:tcPr>
                  <w:tcW w:w="200" w:type="pct"/>
                  <w:vMerge w:val="continue"/>
                  <w:tcMar>
                    <w:left w:w="28" w:type="dxa"/>
                    <w:right w:w="28" w:type="dxa"/>
                  </w:tcMar>
                  <w:vAlign w:val="center"/>
                </w:tcPr>
                <w:p w14:paraId="0BC99C90">
                  <w:pPr>
                    <w:adjustRightInd w:val="0"/>
                    <w:snapToGrid w:val="0"/>
                    <w:jc w:val="center"/>
                    <w:rPr>
                      <w:rFonts w:hint="eastAsia"/>
                      <w:color w:val="auto"/>
                      <w:kern w:val="0"/>
                      <w:sz w:val="18"/>
                      <w:szCs w:val="18"/>
                    </w:rPr>
                  </w:pPr>
                </w:p>
              </w:tc>
              <w:tc>
                <w:tcPr>
                  <w:tcW w:w="200" w:type="pct"/>
                  <w:vMerge w:val="continue"/>
                  <w:tcMar>
                    <w:left w:w="28" w:type="dxa"/>
                    <w:right w:w="28" w:type="dxa"/>
                  </w:tcMar>
                  <w:vAlign w:val="center"/>
                </w:tcPr>
                <w:p w14:paraId="323CE569">
                  <w:pPr>
                    <w:adjustRightInd w:val="0"/>
                    <w:snapToGrid w:val="0"/>
                    <w:jc w:val="center"/>
                    <w:rPr>
                      <w:rFonts w:hint="eastAsia"/>
                      <w:color w:val="auto"/>
                      <w:kern w:val="0"/>
                      <w:sz w:val="18"/>
                      <w:szCs w:val="18"/>
                    </w:rPr>
                  </w:pPr>
                </w:p>
              </w:tc>
              <w:tc>
                <w:tcPr>
                  <w:tcW w:w="200" w:type="pct"/>
                  <w:vMerge w:val="continue"/>
                  <w:tcMar>
                    <w:left w:w="28" w:type="dxa"/>
                    <w:right w:w="28" w:type="dxa"/>
                  </w:tcMar>
                  <w:vAlign w:val="center"/>
                </w:tcPr>
                <w:p w14:paraId="09C560A9">
                  <w:pPr>
                    <w:adjustRightInd w:val="0"/>
                    <w:snapToGrid w:val="0"/>
                    <w:jc w:val="center"/>
                    <w:rPr>
                      <w:rFonts w:hint="eastAsia"/>
                      <w:color w:val="auto"/>
                      <w:kern w:val="0"/>
                      <w:sz w:val="18"/>
                      <w:szCs w:val="18"/>
                    </w:rPr>
                  </w:pPr>
                </w:p>
              </w:tc>
              <w:tc>
                <w:tcPr>
                  <w:tcW w:w="900" w:type="dxa"/>
                  <w:tcMar>
                    <w:left w:w="28" w:type="dxa"/>
                    <w:right w:w="28" w:type="dxa"/>
                  </w:tcMar>
                  <w:vAlign w:val="center"/>
                </w:tcPr>
                <w:p w14:paraId="18CBED2D">
                  <w:pPr>
                    <w:adjustRightInd w:val="0"/>
                    <w:snapToGrid w:val="0"/>
                    <w:jc w:val="center"/>
                    <w:rPr>
                      <w:rFonts w:hint="eastAsia"/>
                      <w:color w:val="auto"/>
                      <w:kern w:val="0"/>
                      <w:sz w:val="18"/>
                      <w:szCs w:val="18"/>
                      <w:lang w:val="en-US" w:eastAsia="zh-CN"/>
                    </w:rPr>
                  </w:pPr>
                  <w:r>
                    <w:rPr>
                      <w:rFonts w:hint="eastAsia"/>
                      <w:color w:val="auto"/>
                      <w:kern w:val="0"/>
                      <w:sz w:val="18"/>
                      <w:szCs w:val="18"/>
                      <w:lang w:val="en-US" w:eastAsia="zh-CN"/>
                    </w:rPr>
                    <w:t>82</w:t>
                  </w:r>
                  <w:r>
                    <w:rPr>
                      <w:rFonts w:hint="eastAsia"/>
                      <w:color w:val="auto"/>
                      <w:kern w:val="0"/>
                      <w:sz w:val="18"/>
                      <w:szCs w:val="18"/>
                      <w:lang w:eastAsia="zh-CN"/>
                    </w:rPr>
                    <w:t>（</w:t>
                  </w:r>
                  <w:r>
                    <w:rPr>
                      <w:rFonts w:hint="eastAsia"/>
                      <w:color w:val="auto"/>
                      <w:kern w:val="0"/>
                      <w:sz w:val="18"/>
                      <w:szCs w:val="18"/>
                      <w:lang w:val="en-US" w:eastAsia="zh-CN"/>
                    </w:rPr>
                    <w:t>W</w:t>
                  </w:r>
                  <w:r>
                    <w:rPr>
                      <w:rFonts w:hint="eastAsia"/>
                      <w:color w:val="auto"/>
                      <w:kern w:val="0"/>
                      <w:sz w:val="18"/>
                      <w:szCs w:val="18"/>
                      <w:lang w:eastAsia="zh-CN"/>
                    </w:rPr>
                    <w:t>）</w:t>
                  </w:r>
                </w:p>
              </w:tc>
              <w:tc>
                <w:tcPr>
                  <w:tcW w:w="482" w:type="pct"/>
                  <w:tcMar>
                    <w:left w:w="28" w:type="dxa"/>
                    <w:right w:w="28" w:type="dxa"/>
                  </w:tcMar>
                  <w:vAlign w:val="center"/>
                </w:tcPr>
                <w:p w14:paraId="0D97BC05">
                  <w:pPr>
                    <w:adjustRightInd w:val="0"/>
                    <w:snapToGrid w:val="0"/>
                    <w:jc w:val="center"/>
                    <w:rPr>
                      <w:rFonts w:hint="default"/>
                      <w:color w:val="auto"/>
                      <w:kern w:val="0"/>
                      <w:sz w:val="18"/>
                      <w:szCs w:val="18"/>
                      <w:lang w:val="en-US" w:eastAsia="zh-CN"/>
                    </w:rPr>
                  </w:pPr>
                  <w:r>
                    <w:rPr>
                      <w:rFonts w:hint="eastAsia"/>
                      <w:color w:val="auto"/>
                      <w:kern w:val="0"/>
                      <w:sz w:val="18"/>
                      <w:szCs w:val="18"/>
                      <w:lang w:val="en-US" w:eastAsia="zh-CN"/>
                    </w:rPr>
                    <w:t>47.5</w:t>
                  </w:r>
                </w:p>
              </w:tc>
              <w:tc>
                <w:tcPr>
                  <w:tcW w:w="491" w:type="pct"/>
                  <w:tcMar>
                    <w:left w:w="28" w:type="dxa"/>
                    <w:right w:w="28" w:type="dxa"/>
                  </w:tcMar>
                  <w:vAlign w:val="center"/>
                </w:tcPr>
                <w:p w14:paraId="75893B75">
                  <w:pPr>
                    <w:adjustRightInd w:val="0"/>
                    <w:snapToGrid w:val="0"/>
                    <w:jc w:val="center"/>
                    <w:rPr>
                      <w:rFonts w:hint="eastAsia"/>
                      <w:color w:val="auto"/>
                      <w:kern w:val="0"/>
                      <w:sz w:val="18"/>
                      <w:szCs w:val="18"/>
                    </w:rPr>
                  </w:pPr>
                  <w:r>
                    <w:rPr>
                      <w:rFonts w:hint="eastAsia"/>
                      <w:color w:val="auto"/>
                      <w:kern w:val="0"/>
                      <w:sz w:val="18"/>
                      <w:szCs w:val="18"/>
                    </w:rPr>
                    <w:t>25</w:t>
                  </w:r>
                </w:p>
              </w:tc>
              <w:tc>
                <w:tcPr>
                  <w:tcW w:w="968" w:type="dxa"/>
                  <w:tcMar>
                    <w:left w:w="28" w:type="dxa"/>
                    <w:right w:w="28" w:type="dxa"/>
                  </w:tcMar>
                  <w:vAlign w:val="center"/>
                </w:tcPr>
                <w:p w14:paraId="6CE727D0">
                  <w:pPr>
                    <w:adjustRightInd w:val="0"/>
                    <w:snapToGrid w:val="0"/>
                    <w:jc w:val="center"/>
                    <w:rPr>
                      <w:rFonts w:hint="eastAsia"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22.5</w:t>
                  </w:r>
                </w:p>
              </w:tc>
              <w:tc>
                <w:tcPr>
                  <w:tcW w:w="496" w:type="pct"/>
                  <w:tcMar>
                    <w:left w:w="28" w:type="dxa"/>
                    <w:right w:w="28" w:type="dxa"/>
                  </w:tcMar>
                  <w:vAlign w:val="center"/>
                </w:tcPr>
                <w:p w14:paraId="3165B8A7">
                  <w:pPr>
                    <w:adjustRightInd w:val="0"/>
                    <w:snapToGrid w:val="0"/>
                    <w:jc w:val="center"/>
                    <w:rPr>
                      <w:rFonts w:hint="eastAsia"/>
                      <w:color w:val="auto"/>
                      <w:kern w:val="0"/>
                      <w:sz w:val="18"/>
                      <w:szCs w:val="18"/>
                    </w:rPr>
                  </w:pPr>
                  <w:r>
                    <w:rPr>
                      <w:rFonts w:hint="eastAsia"/>
                      <w:color w:val="auto"/>
                      <w:kern w:val="0"/>
                      <w:sz w:val="18"/>
                      <w:szCs w:val="18"/>
                    </w:rPr>
                    <w:t>1</w:t>
                  </w:r>
                </w:p>
              </w:tc>
            </w:tr>
            <w:tr w14:paraId="39684A1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94" w:hRule="atLeast"/>
              </w:trPr>
              <w:tc>
                <w:tcPr>
                  <w:tcW w:w="342" w:type="pct"/>
                  <w:vMerge w:val="continue"/>
                  <w:tcMar>
                    <w:left w:w="28" w:type="dxa"/>
                    <w:right w:w="28" w:type="dxa"/>
                  </w:tcMar>
                  <w:vAlign w:val="center"/>
                </w:tcPr>
                <w:p w14:paraId="5059DC77">
                  <w:pPr>
                    <w:adjustRightInd w:val="0"/>
                    <w:snapToGrid w:val="0"/>
                    <w:jc w:val="center"/>
                    <w:rPr>
                      <w:rFonts w:hint="eastAsia"/>
                      <w:color w:val="auto"/>
                      <w:kern w:val="0"/>
                      <w:sz w:val="18"/>
                      <w:szCs w:val="18"/>
                    </w:rPr>
                  </w:pPr>
                </w:p>
              </w:tc>
              <w:tc>
                <w:tcPr>
                  <w:tcW w:w="359" w:type="pct"/>
                  <w:vMerge w:val="continue"/>
                  <w:tcMar>
                    <w:left w:w="28" w:type="dxa"/>
                    <w:right w:w="28" w:type="dxa"/>
                  </w:tcMar>
                  <w:vAlign w:val="center"/>
                </w:tcPr>
                <w:p w14:paraId="27D8DF3F">
                  <w:pPr>
                    <w:adjustRightInd w:val="0"/>
                    <w:snapToGrid w:val="0"/>
                    <w:jc w:val="center"/>
                    <w:rPr>
                      <w:rFonts w:hint="eastAsia"/>
                      <w:color w:val="auto"/>
                      <w:kern w:val="0"/>
                      <w:sz w:val="18"/>
                      <w:szCs w:val="18"/>
                      <w:lang w:val="en-US" w:eastAsia="zh-CN"/>
                    </w:rPr>
                  </w:pPr>
                </w:p>
              </w:tc>
              <w:tc>
                <w:tcPr>
                  <w:tcW w:w="333" w:type="pct"/>
                  <w:vMerge w:val="continue"/>
                  <w:tcMar>
                    <w:left w:w="28" w:type="dxa"/>
                    <w:right w:w="28" w:type="dxa"/>
                  </w:tcMar>
                  <w:vAlign w:val="center"/>
                </w:tcPr>
                <w:p w14:paraId="3ACED5AF">
                  <w:pPr>
                    <w:adjustRightInd w:val="0"/>
                    <w:snapToGrid w:val="0"/>
                    <w:jc w:val="center"/>
                    <w:rPr>
                      <w:rFonts w:hint="eastAsia"/>
                      <w:color w:val="auto"/>
                      <w:kern w:val="0"/>
                      <w:sz w:val="18"/>
                      <w:szCs w:val="18"/>
                    </w:rPr>
                  </w:pPr>
                </w:p>
              </w:tc>
              <w:tc>
                <w:tcPr>
                  <w:tcW w:w="457" w:type="pct"/>
                  <w:vMerge w:val="continue"/>
                  <w:tcMar>
                    <w:left w:w="28" w:type="dxa"/>
                    <w:right w:w="28" w:type="dxa"/>
                  </w:tcMar>
                  <w:vAlign w:val="center"/>
                </w:tcPr>
                <w:p w14:paraId="74B543C1">
                  <w:pPr>
                    <w:adjustRightInd w:val="0"/>
                    <w:snapToGrid w:val="0"/>
                    <w:jc w:val="center"/>
                    <w:rPr>
                      <w:rFonts w:hint="eastAsia"/>
                      <w:color w:val="auto"/>
                      <w:kern w:val="0"/>
                      <w:sz w:val="18"/>
                      <w:szCs w:val="18"/>
                    </w:rPr>
                  </w:pPr>
                </w:p>
              </w:tc>
              <w:tc>
                <w:tcPr>
                  <w:tcW w:w="381" w:type="pct"/>
                  <w:vMerge w:val="continue"/>
                  <w:tcMar>
                    <w:left w:w="28" w:type="dxa"/>
                    <w:right w:w="28" w:type="dxa"/>
                  </w:tcMar>
                  <w:vAlign w:val="center"/>
                </w:tcPr>
                <w:p w14:paraId="40E9C4EA">
                  <w:pPr>
                    <w:adjustRightInd w:val="0"/>
                    <w:snapToGrid w:val="0"/>
                    <w:jc w:val="center"/>
                    <w:rPr>
                      <w:rFonts w:hint="eastAsia"/>
                      <w:color w:val="auto"/>
                      <w:kern w:val="0"/>
                      <w:sz w:val="18"/>
                      <w:szCs w:val="18"/>
                    </w:rPr>
                  </w:pPr>
                </w:p>
              </w:tc>
              <w:tc>
                <w:tcPr>
                  <w:tcW w:w="200" w:type="pct"/>
                  <w:vMerge w:val="continue"/>
                  <w:tcMar>
                    <w:left w:w="28" w:type="dxa"/>
                    <w:right w:w="28" w:type="dxa"/>
                  </w:tcMar>
                  <w:vAlign w:val="center"/>
                </w:tcPr>
                <w:p w14:paraId="3010E575">
                  <w:pPr>
                    <w:adjustRightInd w:val="0"/>
                    <w:snapToGrid w:val="0"/>
                    <w:jc w:val="center"/>
                    <w:rPr>
                      <w:rFonts w:hint="eastAsia"/>
                      <w:color w:val="auto"/>
                      <w:kern w:val="0"/>
                      <w:sz w:val="18"/>
                      <w:szCs w:val="18"/>
                    </w:rPr>
                  </w:pPr>
                </w:p>
              </w:tc>
              <w:tc>
                <w:tcPr>
                  <w:tcW w:w="200" w:type="pct"/>
                  <w:vMerge w:val="continue"/>
                  <w:tcMar>
                    <w:left w:w="28" w:type="dxa"/>
                    <w:right w:w="28" w:type="dxa"/>
                  </w:tcMar>
                  <w:vAlign w:val="center"/>
                </w:tcPr>
                <w:p w14:paraId="119CB483">
                  <w:pPr>
                    <w:adjustRightInd w:val="0"/>
                    <w:snapToGrid w:val="0"/>
                    <w:jc w:val="center"/>
                    <w:rPr>
                      <w:rFonts w:hint="eastAsia"/>
                      <w:color w:val="auto"/>
                      <w:kern w:val="0"/>
                      <w:sz w:val="18"/>
                      <w:szCs w:val="18"/>
                    </w:rPr>
                  </w:pPr>
                </w:p>
              </w:tc>
              <w:tc>
                <w:tcPr>
                  <w:tcW w:w="200" w:type="pct"/>
                  <w:vMerge w:val="continue"/>
                  <w:tcMar>
                    <w:left w:w="28" w:type="dxa"/>
                    <w:right w:w="28" w:type="dxa"/>
                  </w:tcMar>
                  <w:vAlign w:val="center"/>
                </w:tcPr>
                <w:p w14:paraId="398C2B3B">
                  <w:pPr>
                    <w:adjustRightInd w:val="0"/>
                    <w:snapToGrid w:val="0"/>
                    <w:jc w:val="center"/>
                    <w:rPr>
                      <w:rFonts w:hint="eastAsia"/>
                      <w:color w:val="auto"/>
                      <w:kern w:val="0"/>
                      <w:sz w:val="18"/>
                      <w:szCs w:val="18"/>
                    </w:rPr>
                  </w:pPr>
                </w:p>
              </w:tc>
              <w:tc>
                <w:tcPr>
                  <w:tcW w:w="900" w:type="dxa"/>
                  <w:tcMar>
                    <w:left w:w="28" w:type="dxa"/>
                    <w:right w:w="28" w:type="dxa"/>
                  </w:tcMar>
                  <w:vAlign w:val="center"/>
                </w:tcPr>
                <w:p w14:paraId="5B951243">
                  <w:pPr>
                    <w:adjustRightInd w:val="0"/>
                    <w:snapToGrid w:val="0"/>
                    <w:jc w:val="center"/>
                    <w:rPr>
                      <w:rFonts w:hint="eastAsia"/>
                      <w:color w:val="auto"/>
                      <w:kern w:val="0"/>
                      <w:sz w:val="18"/>
                      <w:szCs w:val="18"/>
                      <w:lang w:val="en-US" w:eastAsia="zh-CN"/>
                    </w:rPr>
                  </w:pPr>
                  <w:r>
                    <w:rPr>
                      <w:rFonts w:hint="eastAsia"/>
                      <w:color w:val="auto"/>
                      <w:kern w:val="0"/>
                      <w:sz w:val="18"/>
                      <w:szCs w:val="18"/>
                      <w:lang w:val="en-US" w:eastAsia="zh-CN"/>
                    </w:rPr>
                    <w:t>65</w:t>
                  </w:r>
                  <w:r>
                    <w:rPr>
                      <w:rFonts w:hint="eastAsia"/>
                      <w:color w:val="auto"/>
                      <w:kern w:val="0"/>
                      <w:sz w:val="18"/>
                      <w:szCs w:val="18"/>
                      <w:lang w:eastAsia="zh-CN"/>
                    </w:rPr>
                    <w:t>（</w:t>
                  </w:r>
                  <w:r>
                    <w:rPr>
                      <w:rFonts w:hint="eastAsia"/>
                      <w:color w:val="auto"/>
                      <w:kern w:val="0"/>
                      <w:sz w:val="18"/>
                      <w:szCs w:val="18"/>
                      <w:lang w:val="en-US" w:eastAsia="zh-CN"/>
                    </w:rPr>
                    <w:t>N</w:t>
                  </w:r>
                  <w:r>
                    <w:rPr>
                      <w:rFonts w:hint="eastAsia"/>
                      <w:color w:val="auto"/>
                      <w:kern w:val="0"/>
                      <w:sz w:val="18"/>
                      <w:szCs w:val="18"/>
                      <w:lang w:eastAsia="zh-CN"/>
                    </w:rPr>
                    <w:t>）</w:t>
                  </w:r>
                </w:p>
              </w:tc>
              <w:tc>
                <w:tcPr>
                  <w:tcW w:w="482" w:type="pct"/>
                  <w:tcMar>
                    <w:left w:w="28" w:type="dxa"/>
                    <w:right w:w="28" w:type="dxa"/>
                  </w:tcMar>
                  <w:vAlign w:val="center"/>
                </w:tcPr>
                <w:p w14:paraId="02C12D9E">
                  <w:pPr>
                    <w:adjustRightInd w:val="0"/>
                    <w:snapToGrid w:val="0"/>
                    <w:jc w:val="center"/>
                    <w:rPr>
                      <w:rFonts w:hint="default"/>
                      <w:color w:val="auto"/>
                      <w:kern w:val="0"/>
                      <w:sz w:val="18"/>
                      <w:szCs w:val="18"/>
                      <w:lang w:val="en-US" w:eastAsia="zh-CN"/>
                    </w:rPr>
                  </w:pPr>
                  <w:r>
                    <w:rPr>
                      <w:rFonts w:hint="eastAsia"/>
                      <w:color w:val="auto"/>
                      <w:kern w:val="0"/>
                      <w:sz w:val="18"/>
                      <w:szCs w:val="18"/>
                      <w:lang w:val="en-US" w:eastAsia="zh-CN"/>
                    </w:rPr>
                    <w:t>47.2</w:t>
                  </w:r>
                </w:p>
              </w:tc>
              <w:tc>
                <w:tcPr>
                  <w:tcW w:w="491" w:type="pct"/>
                  <w:tcMar>
                    <w:left w:w="28" w:type="dxa"/>
                    <w:right w:w="28" w:type="dxa"/>
                  </w:tcMar>
                  <w:vAlign w:val="center"/>
                </w:tcPr>
                <w:p w14:paraId="09F702D3">
                  <w:pPr>
                    <w:adjustRightInd w:val="0"/>
                    <w:snapToGrid w:val="0"/>
                    <w:jc w:val="center"/>
                    <w:rPr>
                      <w:rFonts w:hint="eastAsia"/>
                      <w:color w:val="auto"/>
                      <w:kern w:val="0"/>
                      <w:sz w:val="18"/>
                      <w:szCs w:val="18"/>
                    </w:rPr>
                  </w:pPr>
                  <w:r>
                    <w:rPr>
                      <w:rFonts w:hint="eastAsia"/>
                      <w:color w:val="auto"/>
                      <w:kern w:val="0"/>
                      <w:sz w:val="18"/>
                      <w:szCs w:val="18"/>
                    </w:rPr>
                    <w:t>25</w:t>
                  </w:r>
                </w:p>
              </w:tc>
              <w:tc>
                <w:tcPr>
                  <w:tcW w:w="968" w:type="dxa"/>
                  <w:tcMar>
                    <w:left w:w="28" w:type="dxa"/>
                    <w:right w:w="28" w:type="dxa"/>
                  </w:tcMar>
                  <w:vAlign w:val="center"/>
                </w:tcPr>
                <w:p w14:paraId="5DAA54A6">
                  <w:pPr>
                    <w:adjustRightInd w:val="0"/>
                    <w:snapToGrid w:val="0"/>
                    <w:jc w:val="center"/>
                    <w:rPr>
                      <w:rFonts w:hint="eastAsia"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22.2</w:t>
                  </w:r>
                </w:p>
              </w:tc>
              <w:tc>
                <w:tcPr>
                  <w:tcW w:w="496" w:type="pct"/>
                  <w:tcMar>
                    <w:left w:w="28" w:type="dxa"/>
                    <w:right w:w="28" w:type="dxa"/>
                  </w:tcMar>
                  <w:vAlign w:val="center"/>
                </w:tcPr>
                <w:p w14:paraId="068F7A0B">
                  <w:pPr>
                    <w:adjustRightInd w:val="0"/>
                    <w:snapToGrid w:val="0"/>
                    <w:jc w:val="center"/>
                    <w:rPr>
                      <w:rFonts w:hint="eastAsia"/>
                      <w:color w:val="auto"/>
                      <w:kern w:val="0"/>
                      <w:sz w:val="18"/>
                      <w:szCs w:val="18"/>
                    </w:rPr>
                  </w:pPr>
                  <w:r>
                    <w:rPr>
                      <w:rFonts w:hint="eastAsia"/>
                      <w:color w:val="auto"/>
                      <w:kern w:val="0"/>
                      <w:sz w:val="18"/>
                      <w:szCs w:val="18"/>
                    </w:rPr>
                    <w:t>1</w:t>
                  </w:r>
                </w:p>
              </w:tc>
            </w:tr>
            <w:tr w14:paraId="39E571E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94" w:hRule="atLeast"/>
              </w:trPr>
              <w:tc>
                <w:tcPr>
                  <w:tcW w:w="342" w:type="pct"/>
                  <w:vMerge w:val="continue"/>
                  <w:tcMar>
                    <w:left w:w="28" w:type="dxa"/>
                    <w:right w:w="28" w:type="dxa"/>
                  </w:tcMar>
                  <w:vAlign w:val="center"/>
                </w:tcPr>
                <w:p w14:paraId="667D3514">
                  <w:pPr>
                    <w:adjustRightInd w:val="0"/>
                    <w:snapToGrid w:val="0"/>
                    <w:jc w:val="center"/>
                    <w:rPr>
                      <w:rFonts w:hint="eastAsia"/>
                      <w:color w:val="auto"/>
                      <w:kern w:val="0"/>
                      <w:sz w:val="18"/>
                      <w:szCs w:val="18"/>
                    </w:rPr>
                  </w:pPr>
                </w:p>
              </w:tc>
              <w:tc>
                <w:tcPr>
                  <w:tcW w:w="359" w:type="pct"/>
                  <w:vMerge w:val="restart"/>
                  <w:tcMar>
                    <w:left w:w="28" w:type="dxa"/>
                    <w:right w:w="28" w:type="dxa"/>
                  </w:tcMar>
                  <w:vAlign w:val="center"/>
                </w:tcPr>
                <w:p w14:paraId="55BF79D9">
                  <w:pPr>
                    <w:adjustRightInd w:val="0"/>
                    <w:snapToGrid w:val="0"/>
                    <w:jc w:val="center"/>
                    <w:rPr>
                      <w:rFonts w:hint="default"/>
                      <w:color w:val="auto"/>
                      <w:kern w:val="0"/>
                      <w:sz w:val="18"/>
                      <w:szCs w:val="18"/>
                      <w:lang w:val="en-US" w:eastAsia="zh-CN"/>
                    </w:rPr>
                  </w:pPr>
                  <w:r>
                    <w:rPr>
                      <w:rFonts w:hint="eastAsia"/>
                      <w:color w:val="auto"/>
                      <w:kern w:val="0"/>
                      <w:sz w:val="18"/>
                      <w:szCs w:val="18"/>
                      <w:lang w:val="en-US" w:eastAsia="zh-CN"/>
                    </w:rPr>
                    <w:t>喷漆房</w:t>
                  </w:r>
                </w:p>
              </w:tc>
              <w:tc>
                <w:tcPr>
                  <w:tcW w:w="333" w:type="pct"/>
                  <w:vMerge w:val="restart"/>
                  <w:tcMar>
                    <w:left w:w="28" w:type="dxa"/>
                    <w:right w:w="28" w:type="dxa"/>
                  </w:tcMar>
                  <w:vAlign w:val="center"/>
                </w:tcPr>
                <w:p w14:paraId="04562EA1">
                  <w:pPr>
                    <w:adjustRightInd w:val="0"/>
                    <w:snapToGrid w:val="0"/>
                    <w:jc w:val="center"/>
                    <w:rPr>
                      <w:rFonts w:hint="eastAsia" w:eastAsia="宋体"/>
                      <w:color w:val="auto"/>
                      <w:kern w:val="0"/>
                      <w:sz w:val="18"/>
                      <w:szCs w:val="18"/>
                      <w:lang w:val="en-US" w:eastAsia="zh-CN"/>
                    </w:rPr>
                  </w:pPr>
                  <w:r>
                    <w:rPr>
                      <w:rFonts w:hint="eastAsia"/>
                      <w:color w:val="auto"/>
                      <w:kern w:val="0"/>
                      <w:sz w:val="18"/>
                      <w:szCs w:val="18"/>
                      <w:lang w:val="en-US" w:eastAsia="zh-CN"/>
                    </w:rPr>
                    <w:t>4</w:t>
                  </w:r>
                </w:p>
              </w:tc>
              <w:tc>
                <w:tcPr>
                  <w:tcW w:w="457" w:type="pct"/>
                  <w:vMerge w:val="restart"/>
                  <w:tcMar>
                    <w:left w:w="28" w:type="dxa"/>
                    <w:right w:w="28" w:type="dxa"/>
                  </w:tcMar>
                  <w:vAlign w:val="center"/>
                </w:tcPr>
                <w:p w14:paraId="078BF00A">
                  <w:pPr>
                    <w:adjustRightInd w:val="0"/>
                    <w:snapToGrid w:val="0"/>
                    <w:jc w:val="center"/>
                    <w:rPr>
                      <w:rFonts w:hint="default" w:eastAsia="宋体"/>
                      <w:color w:val="auto"/>
                      <w:kern w:val="0"/>
                      <w:sz w:val="18"/>
                      <w:szCs w:val="18"/>
                      <w:lang w:val="en-US" w:eastAsia="zh-CN"/>
                    </w:rPr>
                  </w:pPr>
                  <w:r>
                    <w:rPr>
                      <w:rFonts w:hint="eastAsia"/>
                      <w:color w:val="auto"/>
                      <w:kern w:val="0"/>
                      <w:sz w:val="18"/>
                      <w:szCs w:val="18"/>
                      <w:lang w:val="en-US" w:eastAsia="zh-CN"/>
                    </w:rPr>
                    <w:t>70</w:t>
                  </w:r>
                </w:p>
              </w:tc>
              <w:tc>
                <w:tcPr>
                  <w:tcW w:w="381" w:type="pct"/>
                  <w:vMerge w:val="continue"/>
                  <w:tcMar>
                    <w:left w:w="28" w:type="dxa"/>
                    <w:right w:w="28" w:type="dxa"/>
                  </w:tcMar>
                  <w:vAlign w:val="center"/>
                </w:tcPr>
                <w:p w14:paraId="402196F8">
                  <w:pPr>
                    <w:adjustRightInd w:val="0"/>
                    <w:snapToGrid w:val="0"/>
                    <w:jc w:val="center"/>
                    <w:rPr>
                      <w:rFonts w:hint="eastAsia"/>
                      <w:color w:val="auto"/>
                      <w:kern w:val="0"/>
                      <w:sz w:val="18"/>
                      <w:szCs w:val="18"/>
                    </w:rPr>
                  </w:pPr>
                </w:p>
              </w:tc>
              <w:tc>
                <w:tcPr>
                  <w:tcW w:w="200" w:type="pct"/>
                  <w:vMerge w:val="restart"/>
                  <w:tcMar>
                    <w:left w:w="28" w:type="dxa"/>
                    <w:right w:w="28" w:type="dxa"/>
                  </w:tcMar>
                  <w:vAlign w:val="center"/>
                </w:tcPr>
                <w:p w14:paraId="4E28D08A">
                  <w:pPr>
                    <w:adjustRightInd w:val="0"/>
                    <w:snapToGrid w:val="0"/>
                    <w:jc w:val="center"/>
                    <w:rPr>
                      <w:rFonts w:hint="default" w:eastAsia="宋体"/>
                      <w:color w:val="auto"/>
                      <w:kern w:val="0"/>
                      <w:sz w:val="18"/>
                      <w:szCs w:val="18"/>
                      <w:lang w:val="en-US" w:eastAsia="zh-CN"/>
                    </w:rPr>
                  </w:pPr>
                  <w:r>
                    <w:rPr>
                      <w:rFonts w:hint="eastAsia"/>
                      <w:color w:val="auto"/>
                      <w:kern w:val="0"/>
                      <w:sz w:val="18"/>
                      <w:szCs w:val="18"/>
                      <w:lang w:val="en-US" w:eastAsia="zh-CN"/>
                    </w:rPr>
                    <w:t>24</w:t>
                  </w:r>
                </w:p>
              </w:tc>
              <w:tc>
                <w:tcPr>
                  <w:tcW w:w="200" w:type="pct"/>
                  <w:vMerge w:val="restart"/>
                  <w:tcMar>
                    <w:left w:w="28" w:type="dxa"/>
                    <w:right w:w="28" w:type="dxa"/>
                  </w:tcMar>
                  <w:vAlign w:val="center"/>
                </w:tcPr>
                <w:p w14:paraId="344DB0BA">
                  <w:pPr>
                    <w:adjustRightInd w:val="0"/>
                    <w:snapToGrid w:val="0"/>
                    <w:jc w:val="center"/>
                    <w:rPr>
                      <w:rFonts w:hint="default" w:eastAsia="宋体"/>
                      <w:color w:val="auto"/>
                      <w:kern w:val="0"/>
                      <w:sz w:val="18"/>
                      <w:szCs w:val="18"/>
                      <w:lang w:val="en-US" w:eastAsia="zh-CN"/>
                    </w:rPr>
                  </w:pPr>
                  <w:r>
                    <w:rPr>
                      <w:rFonts w:hint="eastAsia"/>
                      <w:color w:val="auto"/>
                      <w:kern w:val="0"/>
                      <w:sz w:val="18"/>
                      <w:szCs w:val="18"/>
                      <w:lang w:val="en-US" w:eastAsia="zh-CN"/>
                    </w:rPr>
                    <w:t>-8</w:t>
                  </w:r>
                </w:p>
              </w:tc>
              <w:tc>
                <w:tcPr>
                  <w:tcW w:w="200" w:type="pct"/>
                  <w:vMerge w:val="restart"/>
                  <w:tcMar>
                    <w:left w:w="28" w:type="dxa"/>
                    <w:right w:w="28" w:type="dxa"/>
                  </w:tcMar>
                  <w:vAlign w:val="center"/>
                </w:tcPr>
                <w:p w14:paraId="675A2FA5">
                  <w:pPr>
                    <w:adjustRightInd w:val="0"/>
                    <w:snapToGrid w:val="0"/>
                    <w:jc w:val="center"/>
                    <w:rPr>
                      <w:rFonts w:hint="eastAsia" w:eastAsia="宋体"/>
                      <w:color w:val="auto"/>
                      <w:kern w:val="0"/>
                      <w:sz w:val="18"/>
                      <w:szCs w:val="18"/>
                      <w:lang w:val="en-US" w:eastAsia="zh-CN"/>
                    </w:rPr>
                  </w:pPr>
                  <w:r>
                    <w:rPr>
                      <w:rFonts w:hint="eastAsia"/>
                      <w:color w:val="auto"/>
                      <w:kern w:val="0"/>
                      <w:sz w:val="18"/>
                      <w:szCs w:val="18"/>
                      <w:lang w:val="en-US" w:eastAsia="zh-CN"/>
                    </w:rPr>
                    <w:t>1</w:t>
                  </w:r>
                </w:p>
              </w:tc>
              <w:tc>
                <w:tcPr>
                  <w:tcW w:w="900" w:type="dxa"/>
                  <w:tcMar>
                    <w:left w:w="28" w:type="dxa"/>
                    <w:right w:w="28" w:type="dxa"/>
                  </w:tcMar>
                  <w:vAlign w:val="center"/>
                </w:tcPr>
                <w:p w14:paraId="7E52313D">
                  <w:pPr>
                    <w:adjustRightInd w:val="0"/>
                    <w:snapToGrid w:val="0"/>
                    <w:jc w:val="center"/>
                    <w:rPr>
                      <w:rFonts w:hint="eastAsia"/>
                      <w:color w:val="auto"/>
                      <w:kern w:val="0"/>
                      <w:sz w:val="18"/>
                      <w:szCs w:val="18"/>
                      <w:lang w:val="en-US" w:eastAsia="zh-CN"/>
                    </w:rPr>
                  </w:pPr>
                  <w:r>
                    <w:rPr>
                      <w:rFonts w:hint="eastAsia"/>
                      <w:color w:val="auto"/>
                      <w:kern w:val="0"/>
                      <w:sz w:val="18"/>
                      <w:szCs w:val="18"/>
                      <w:lang w:val="en-US" w:eastAsia="zh-CN"/>
                    </w:rPr>
                    <w:t>64</w:t>
                  </w:r>
                  <w:r>
                    <w:rPr>
                      <w:rFonts w:hint="eastAsia"/>
                      <w:color w:val="auto"/>
                      <w:kern w:val="0"/>
                      <w:sz w:val="18"/>
                      <w:szCs w:val="18"/>
                      <w:lang w:eastAsia="zh-CN"/>
                    </w:rPr>
                    <w:t>（</w:t>
                  </w:r>
                  <w:r>
                    <w:rPr>
                      <w:rFonts w:hint="eastAsia"/>
                      <w:color w:val="auto"/>
                      <w:kern w:val="0"/>
                      <w:sz w:val="18"/>
                      <w:szCs w:val="18"/>
                      <w:lang w:val="en-US" w:eastAsia="zh-CN"/>
                    </w:rPr>
                    <w:t>E</w:t>
                  </w:r>
                  <w:r>
                    <w:rPr>
                      <w:rFonts w:hint="eastAsia"/>
                      <w:color w:val="auto"/>
                      <w:kern w:val="0"/>
                      <w:sz w:val="18"/>
                      <w:szCs w:val="18"/>
                      <w:lang w:eastAsia="zh-CN"/>
                    </w:rPr>
                    <w:t>）</w:t>
                  </w:r>
                </w:p>
              </w:tc>
              <w:tc>
                <w:tcPr>
                  <w:tcW w:w="482" w:type="pct"/>
                  <w:tcMar>
                    <w:left w:w="28" w:type="dxa"/>
                    <w:right w:w="28" w:type="dxa"/>
                  </w:tcMar>
                  <w:vAlign w:val="center"/>
                </w:tcPr>
                <w:p w14:paraId="46C6F65F">
                  <w:pPr>
                    <w:adjustRightInd w:val="0"/>
                    <w:snapToGrid w:val="0"/>
                    <w:jc w:val="center"/>
                    <w:rPr>
                      <w:rFonts w:hint="default"/>
                      <w:color w:val="auto"/>
                      <w:kern w:val="0"/>
                      <w:sz w:val="18"/>
                      <w:szCs w:val="18"/>
                      <w:lang w:val="en-US" w:eastAsia="zh-CN"/>
                    </w:rPr>
                  </w:pPr>
                  <w:r>
                    <w:rPr>
                      <w:rFonts w:hint="eastAsia"/>
                      <w:color w:val="auto"/>
                      <w:kern w:val="0"/>
                      <w:sz w:val="18"/>
                      <w:szCs w:val="18"/>
                      <w:lang w:val="en-US" w:eastAsia="zh-CN"/>
                    </w:rPr>
                    <w:t>42.5</w:t>
                  </w:r>
                </w:p>
              </w:tc>
              <w:tc>
                <w:tcPr>
                  <w:tcW w:w="491" w:type="pct"/>
                  <w:tcMar>
                    <w:left w:w="28" w:type="dxa"/>
                    <w:right w:w="28" w:type="dxa"/>
                  </w:tcMar>
                  <w:vAlign w:val="center"/>
                </w:tcPr>
                <w:p w14:paraId="2A9368C5">
                  <w:pPr>
                    <w:adjustRightInd w:val="0"/>
                    <w:snapToGrid w:val="0"/>
                    <w:jc w:val="center"/>
                    <w:rPr>
                      <w:rFonts w:hint="eastAsia"/>
                      <w:color w:val="auto"/>
                      <w:kern w:val="0"/>
                      <w:sz w:val="18"/>
                      <w:szCs w:val="18"/>
                    </w:rPr>
                  </w:pPr>
                  <w:r>
                    <w:rPr>
                      <w:rFonts w:hint="eastAsia"/>
                      <w:color w:val="auto"/>
                      <w:kern w:val="0"/>
                      <w:sz w:val="18"/>
                      <w:szCs w:val="18"/>
                    </w:rPr>
                    <w:t>25</w:t>
                  </w:r>
                </w:p>
              </w:tc>
              <w:tc>
                <w:tcPr>
                  <w:tcW w:w="968" w:type="dxa"/>
                  <w:tcMar>
                    <w:left w:w="28" w:type="dxa"/>
                    <w:right w:w="28" w:type="dxa"/>
                  </w:tcMar>
                  <w:vAlign w:val="center"/>
                </w:tcPr>
                <w:p w14:paraId="02DA5997">
                  <w:pPr>
                    <w:adjustRightInd w:val="0"/>
                    <w:snapToGrid w:val="0"/>
                    <w:jc w:val="center"/>
                    <w:rPr>
                      <w:rFonts w:hint="eastAsia"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17.5</w:t>
                  </w:r>
                </w:p>
              </w:tc>
              <w:tc>
                <w:tcPr>
                  <w:tcW w:w="496" w:type="pct"/>
                  <w:tcMar>
                    <w:left w:w="28" w:type="dxa"/>
                    <w:right w:w="28" w:type="dxa"/>
                  </w:tcMar>
                  <w:vAlign w:val="center"/>
                </w:tcPr>
                <w:p w14:paraId="06C17148">
                  <w:pPr>
                    <w:adjustRightInd w:val="0"/>
                    <w:snapToGrid w:val="0"/>
                    <w:jc w:val="center"/>
                    <w:rPr>
                      <w:rFonts w:hint="eastAsia"/>
                      <w:color w:val="auto"/>
                      <w:kern w:val="0"/>
                      <w:sz w:val="18"/>
                      <w:szCs w:val="18"/>
                    </w:rPr>
                  </w:pPr>
                  <w:r>
                    <w:rPr>
                      <w:rFonts w:hint="eastAsia"/>
                      <w:color w:val="auto"/>
                      <w:kern w:val="0"/>
                      <w:sz w:val="18"/>
                      <w:szCs w:val="18"/>
                    </w:rPr>
                    <w:t>1</w:t>
                  </w:r>
                </w:p>
              </w:tc>
            </w:tr>
            <w:tr w14:paraId="401E699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94" w:hRule="atLeast"/>
              </w:trPr>
              <w:tc>
                <w:tcPr>
                  <w:tcW w:w="342" w:type="pct"/>
                  <w:vMerge w:val="continue"/>
                  <w:tcMar>
                    <w:left w:w="28" w:type="dxa"/>
                    <w:right w:w="28" w:type="dxa"/>
                  </w:tcMar>
                  <w:vAlign w:val="center"/>
                </w:tcPr>
                <w:p w14:paraId="10D24F71">
                  <w:pPr>
                    <w:adjustRightInd w:val="0"/>
                    <w:snapToGrid w:val="0"/>
                    <w:jc w:val="center"/>
                    <w:rPr>
                      <w:rFonts w:hint="eastAsia"/>
                      <w:color w:val="auto"/>
                      <w:kern w:val="0"/>
                      <w:sz w:val="18"/>
                      <w:szCs w:val="18"/>
                    </w:rPr>
                  </w:pPr>
                </w:p>
              </w:tc>
              <w:tc>
                <w:tcPr>
                  <w:tcW w:w="359" w:type="pct"/>
                  <w:vMerge w:val="continue"/>
                  <w:tcMar>
                    <w:left w:w="28" w:type="dxa"/>
                    <w:right w:w="28" w:type="dxa"/>
                  </w:tcMar>
                  <w:vAlign w:val="center"/>
                </w:tcPr>
                <w:p w14:paraId="00E312E5">
                  <w:pPr>
                    <w:adjustRightInd w:val="0"/>
                    <w:snapToGrid w:val="0"/>
                    <w:jc w:val="center"/>
                    <w:rPr>
                      <w:rFonts w:hint="eastAsia"/>
                      <w:color w:val="auto"/>
                      <w:kern w:val="0"/>
                      <w:sz w:val="18"/>
                      <w:szCs w:val="18"/>
                      <w:lang w:val="en-US" w:eastAsia="zh-CN"/>
                    </w:rPr>
                  </w:pPr>
                </w:p>
              </w:tc>
              <w:tc>
                <w:tcPr>
                  <w:tcW w:w="333" w:type="pct"/>
                  <w:vMerge w:val="continue"/>
                  <w:tcMar>
                    <w:left w:w="28" w:type="dxa"/>
                    <w:right w:w="28" w:type="dxa"/>
                  </w:tcMar>
                  <w:vAlign w:val="center"/>
                </w:tcPr>
                <w:p w14:paraId="2D24D37D">
                  <w:pPr>
                    <w:adjustRightInd w:val="0"/>
                    <w:snapToGrid w:val="0"/>
                    <w:jc w:val="center"/>
                    <w:rPr>
                      <w:rFonts w:hint="eastAsia"/>
                      <w:color w:val="auto"/>
                      <w:kern w:val="0"/>
                      <w:sz w:val="18"/>
                      <w:szCs w:val="18"/>
                    </w:rPr>
                  </w:pPr>
                </w:p>
              </w:tc>
              <w:tc>
                <w:tcPr>
                  <w:tcW w:w="457" w:type="pct"/>
                  <w:vMerge w:val="continue"/>
                  <w:tcMar>
                    <w:left w:w="28" w:type="dxa"/>
                    <w:right w:w="28" w:type="dxa"/>
                  </w:tcMar>
                  <w:vAlign w:val="center"/>
                </w:tcPr>
                <w:p w14:paraId="1A29B6A4">
                  <w:pPr>
                    <w:adjustRightInd w:val="0"/>
                    <w:snapToGrid w:val="0"/>
                    <w:jc w:val="center"/>
                    <w:rPr>
                      <w:rFonts w:hint="eastAsia"/>
                      <w:color w:val="auto"/>
                      <w:kern w:val="0"/>
                      <w:sz w:val="18"/>
                      <w:szCs w:val="18"/>
                    </w:rPr>
                  </w:pPr>
                </w:p>
              </w:tc>
              <w:tc>
                <w:tcPr>
                  <w:tcW w:w="381" w:type="pct"/>
                  <w:vMerge w:val="continue"/>
                  <w:tcMar>
                    <w:left w:w="28" w:type="dxa"/>
                    <w:right w:w="28" w:type="dxa"/>
                  </w:tcMar>
                  <w:vAlign w:val="center"/>
                </w:tcPr>
                <w:p w14:paraId="59C57CD3">
                  <w:pPr>
                    <w:adjustRightInd w:val="0"/>
                    <w:snapToGrid w:val="0"/>
                    <w:jc w:val="center"/>
                    <w:rPr>
                      <w:rFonts w:hint="eastAsia"/>
                      <w:color w:val="auto"/>
                      <w:kern w:val="0"/>
                      <w:sz w:val="18"/>
                      <w:szCs w:val="18"/>
                    </w:rPr>
                  </w:pPr>
                </w:p>
              </w:tc>
              <w:tc>
                <w:tcPr>
                  <w:tcW w:w="200" w:type="pct"/>
                  <w:vMerge w:val="continue"/>
                  <w:tcMar>
                    <w:left w:w="28" w:type="dxa"/>
                    <w:right w:w="28" w:type="dxa"/>
                  </w:tcMar>
                  <w:vAlign w:val="center"/>
                </w:tcPr>
                <w:p w14:paraId="79471AFB">
                  <w:pPr>
                    <w:adjustRightInd w:val="0"/>
                    <w:snapToGrid w:val="0"/>
                    <w:jc w:val="center"/>
                    <w:rPr>
                      <w:rFonts w:hint="eastAsia"/>
                      <w:color w:val="auto"/>
                      <w:kern w:val="0"/>
                      <w:sz w:val="18"/>
                      <w:szCs w:val="18"/>
                    </w:rPr>
                  </w:pPr>
                </w:p>
              </w:tc>
              <w:tc>
                <w:tcPr>
                  <w:tcW w:w="200" w:type="pct"/>
                  <w:vMerge w:val="continue"/>
                  <w:tcMar>
                    <w:left w:w="28" w:type="dxa"/>
                    <w:right w:w="28" w:type="dxa"/>
                  </w:tcMar>
                  <w:vAlign w:val="center"/>
                </w:tcPr>
                <w:p w14:paraId="491C522A">
                  <w:pPr>
                    <w:adjustRightInd w:val="0"/>
                    <w:snapToGrid w:val="0"/>
                    <w:jc w:val="center"/>
                    <w:rPr>
                      <w:rFonts w:hint="eastAsia"/>
                      <w:color w:val="auto"/>
                      <w:kern w:val="0"/>
                      <w:sz w:val="18"/>
                      <w:szCs w:val="18"/>
                    </w:rPr>
                  </w:pPr>
                </w:p>
              </w:tc>
              <w:tc>
                <w:tcPr>
                  <w:tcW w:w="200" w:type="pct"/>
                  <w:vMerge w:val="continue"/>
                  <w:tcMar>
                    <w:left w:w="28" w:type="dxa"/>
                    <w:right w:w="28" w:type="dxa"/>
                  </w:tcMar>
                  <w:vAlign w:val="center"/>
                </w:tcPr>
                <w:p w14:paraId="3EBD9A0C">
                  <w:pPr>
                    <w:adjustRightInd w:val="0"/>
                    <w:snapToGrid w:val="0"/>
                    <w:jc w:val="center"/>
                    <w:rPr>
                      <w:rFonts w:hint="eastAsia"/>
                      <w:color w:val="auto"/>
                      <w:kern w:val="0"/>
                      <w:sz w:val="18"/>
                      <w:szCs w:val="18"/>
                    </w:rPr>
                  </w:pPr>
                </w:p>
              </w:tc>
              <w:tc>
                <w:tcPr>
                  <w:tcW w:w="900" w:type="dxa"/>
                  <w:tcMar>
                    <w:left w:w="28" w:type="dxa"/>
                    <w:right w:w="28" w:type="dxa"/>
                  </w:tcMar>
                  <w:vAlign w:val="center"/>
                </w:tcPr>
                <w:p w14:paraId="0B30908F">
                  <w:pPr>
                    <w:adjustRightInd w:val="0"/>
                    <w:snapToGrid w:val="0"/>
                    <w:jc w:val="center"/>
                    <w:rPr>
                      <w:rFonts w:hint="eastAsia"/>
                      <w:color w:val="auto"/>
                      <w:kern w:val="0"/>
                      <w:sz w:val="18"/>
                      <w:szCs w:val="18"/>
                      <w:lang w:val="en-US" w:eastAsia="zh-CN"/>
                    </w:rPr>
                  </w:pPr>
                  <w:r>
                    <w:rPr>
                      <w:rFonts w:hint="eastAsia"/>
                      <w:color w:val="auto"/>
                      <w:kern w:val="0"/>
                      <w:sz w:val="18"/>
                      <w:szCs w:val="18"/>
                      <w:lang w:val="en-US" w:eastAsia="zh-CN"/>
                    </w:rPr>
                    <w:t>1</w:t>
                  </w:r>
                  <w:r>
                    <w:rPr>
                      <w:rFonts w:hint="eastAsia"/>
                      <w:color w:val="auto"/>
                      <w:kern w:val="0"/>
                      <w:sz w:val="18"/>
                      <w:szCs w:val="18"/>
                      <w:lang w:eastAsia="zh-CN"/>
                    </w:rPr>
                    <w:t>（</w:t>
                  </w:r>
                  <w:r>
                    <w:rPr>
                      <w:rFonts w:hint="eastAsia"/>
                      <w:color w:val="auto"/>
                      <w:kern w:val="0"/>
                      <w:sz w:val="18"/>
                      <w:szCs w:val="18"/>
                      <w:lang w:val="en-US" w:eastAsia="zh-CN"/>
                    </w:rPr>
                    <w:t>S</w:t>
                  </w:r>
                  <w:r>
                    <w:rPr>
                      <w:rFonts w:hint="eastAsia"/>
                      <w:color w:val="auto"/>
                      <w:kern w:val="0"/>
                      <w:sz w:val="18"/>
                      <w:szCs w:val="18"/>
                      <w:lang w:eastAsia="zh-CN"/>
                    </w:rPr>
                    <w:t>）</w:t>
                  </w:r>
                </w:p>
              </w:tc>
              <w:tc>
                <w:tcPr>
                  <w:tcW w:w="482" w:type="pct"/>
                  <w:tcMar>
                    <w:left w:w="28" w:type="dxa"/>
                    <w:right w:w="28" w:type="dxa"/>
                  </w:tcMar>
                  <w:vAlign w:val="center"/>
                </w:tcPr>
                <w:p w14:paraId="069A7525">
                  <w:pPr>
                    <w:adjustRightInd w:val="0"/>
                    <w:snapToGrid w:val="0"/>
                    <w:jc w:val="center"/>
                    <w:rPr>
                      <w:rFonts w:hint="default"/>
                      <w:color w:val="auto"/>
                      <w:kern w:val="0"/>
                      <w:sz w:val="18"/>
                      <w:szCs w:val="18"/>
                      <w:lang w:val="en-US" w:eastAsia="zh-CN"/>
                    </w:rPr>
                  </w:pPr>
                  <w:r>
                    <w:rPr>
                      <w:rFonts w:hint="eastAsia"/>
                      <w:color w:val="auto"/>
                      <w:kern w:val="0"/>
                      <w:sz w:val="18"/>
                      <w:szCs w:val="18"/>
                      <w:lang w:val="en-US" w:eastAsia="zh-CN"/>
                    </w:rPr>
                    <w:t>77.8</w:t>
                  </w:r>
                </w:p>
              </w:tc>
              <w:tc>
                <w:tcPr>
                  <w:tcW w:w="491" w:type="pct"/>
                  <w:tcMar>
                    <w:left w:w="28" w:type="dxa"/>
                    <w:right w:w="28" w:type="dxa"/>
                  </w:tcMar>
                  <w:vAlign w:val="center"/>
                </w:tcPr>
                <w:p w14:paraId="6482642E">
                  <w:pPr>
                    <w:adjustRightInd w:val="0"/>
                    <w:snapToGrid w:val="0"/>
                    <w:jc w:val="center"/>
                    <w:rPr>
                      <w:rFonts w:hint="eastAsia"/>
                      <w:color w:val="auto"/>
                      <w:kern w:val="0"/>
                      <w:sz w:val="18"/>
                      <w:szCs w:val="18"/>
                    </w:rPr>
                  </w:pPr>
                  <w:r>
                    <w:rPr>
                      <w:rFonts w:hint="eastAsia"/>
                      <w:color w:val="auto"/>
                      <w:kern w:val="0"/>
                      <w:sz w:val="18"/>
                      <w:szCs w:val="18"/>
                    </w:rPr>
                    <w:t>25</w:t>
                  </w:r>
                </w:p>
              </w:tc>
              <w:tc>
                <w:tcPr>
                  <w:tcW w:w="968" w:type="dxa"/>
                  <w:tcMar>
                    <w:left w:w="28" w:type="dxa"/>
                    <w:right w:w="28" w:type="dxa"/>
                  </w:tcMar>
                  <w:vAlign w:val="center"/>
                </w:tcPr>
                <w:p w14:paraId="77AAD186">
                  <w:pPr>
                    <w:adjustRightInd w:val="0"/>
                    <w:snapToGrid w:val="0"/>
                    <w:jc w:val="center"/>
                    <w:rPr>
                      <w:rFonts w:hint="eastAsia"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52.8</w:t>
                  </w:r>
                </w:p>
              </w:tc>
              <w:tc>
                <w:tcPr>
                  <w:tcW w:w="496" w:type="pct"/>
                  <w:tcMar>
                    <w:left w:w="28" w:type="dxa"/>
                    <w:right w:w="28" w:type="dxa"/>
                  </w:tcMar>
                  <w:vAlign w:val="center"/>
                </w:tcPr>
                <w:p w14:paraId="1CE448F2">
                  <w:pPr>
                    <w:adjustRightInd w:val="0"/>
                    <w:snapToGrid w:val="0"/>
                    <w:jc w:val="center"/>
                    <w:rPr>
                      <w:rFonts w:hint="eastAsia"/>
                      <w:color w:val="auto"/>
                      <w:kern w:val="0"/>
                      <w:sz w:val="18"/>
                      <w:szCs w:val="18"/>
                    </w:rPr>
                  </w:pPr>
                  <w:r>
                    <w:rPr>
                      <w:rFonts w:hint="eastAsia"/>
                      <w:color w:val="auto"/>
                      <w:kern w:val="0"/>
                      <w:sz w:val="18"/>
                      <w:szCs w:val="18"/>
                    </w:rPr>
                    <w:t>1</w:t>
                  </w:r>
                </w:p>
              </w:tc>
            </w:tr>
            <w:tr w14:paraId="0DAD612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94" w:hRule="atLeast"/>
              </w:trPr>
              <w:tc>
                <w:tcPr>
                  <w:tcW w:w="342" w:type="pct"/>
                  <w:vMerge w:val="continue"/>
                  <w:tcMar>
                    <w:left w:w="28" w:type="dxa"/>
                    <w:right w:w="28" w:type="dxa"/>
                  </w:tcMar>
                  <w:vAlign w:val="center"/>
                </w:tcPr>
                <w:p w14:paraId="59D2C815">
                  <w:pPr>
                    <w:adjustRightInd w:val="0"/>
                    <w:snapToGrid w:val="0"/>
                    <w:jc w:val="center"/>
                    <w:rPr>
                      <w:rFonts w:hint="eastAsia"/>
                      <w:color w:val="auto"/>
                      <w:kern w:val="0"/>
                      <w:sz w:val="18"/>
                      <w:szCs w:val="18"/>
                    </w:rPr>
                  </w:pPr>
                </w:p>
              </w:tc>
              <w:tc>
                <w:tcPr>
                  <w:tcW w:w="359" w:type="pct"/>
                  <w:vMerge w:val="continue"/>
                  <w:tcMar>
                    <w:left w:w="28" w:type="dxa"/>
                    <w:right w:w="28" w:type="dxa"/>
                  </w:tcMar>
                  <w:vAlign w:val="center"/>
                </w:tcPr>
                <w:p w14:paraId="70D88A9C">
                  <w:pPr>
                    <w:adjustRightInd w:val="0"/>
                    <w:snapToGrid w:val="0"/>
                    <w:jc w:val="center"/>
                    <w:rPr>
                      <w:rFonts w:hint="eastAsia"/>
                      <w:color w:val="auto"/>
                      <w:kern w:val="0"/>
                      <w:sz w:val="18"/>
                      <w:szCs w:val="18"/>
                      <w:lang w:val="en-US" w:eastAsia="zh-CN"/>
                    </w:rPr>
                  </w:pPr>
                </w:p>
              </w:tc>
              <w:tc>
                <w:tcPr>
                  <w:tcW w:w="333" w:type="pct"/>
                  <w:vMerge w:val="continue"/>
                  <w:tcMar>
                    <w:left w:w="28" w:type="dxa"/>
                    <w:right w:w="28" w:type="dxa"/>
                  </w:tcMar>
                  <w:vAlign w:val="center"/>
                </w:tcPr>
                <w:p w14:paraId="48A28B22">
                  <w:pPr>
                    <w:adjustRightInd w:val="0"/>
                    <w:snapToGrid w:val="0"/>
                    <w:jc w:val="center"/>
                    <w:rPr>
                      <w:rFonts w:hint="eastAsia"/>
                      <w:color w:val="auto"/>
                      <w:kern w:val="0"/>
                      <w:sz w:val="18"/>
                      <w:szCs w:val="18"/>
                    </w:rPr>
                  </w:pPr>
                </w:p>
              </w:tc>
              <w:tc>
                <w:tcPr>
                  <w:tcW w:w="457" w:type="pct"/>
                  <w:vMerge w:val="continue"/>
                  <w:tcMar>
                    <w:left w:w="28" w:type="dxa"/>
                    <w:right w:w="28" w:type="dxa"/>
                  </w:tcMar>
                  <w:vAlign w:val="center"/>
                </w:tcPr>
                <w:p w14:paraId="458759CE">
                  <w:pPr>
                    <w:adjustRightInd w:val="0"/>
                    <w:snapToGrid w:val="0"/>
                    <w:jc w:val="center"/>
                    <w:rPr>
                      <w:rFonts w:hint="eastAsia"/>
                      <w:color w:val="auto"/>
                      <w:kern w:val="0"/>
                      <w:sz w:val="18"/>
                      <w:szCs w:val="18"/>
                    </w:rPr>
                  </w:pPr>
                </w:p>
              </w:tc>
              <w:tc>
                <w:tcPr>
                  <w:tcW w:w="381" w:type="pct"/>
                  <w:vMerge w:val="continue"/>
                  <w:tcMar>
                    <w:left w:w="28" w:type="dxa"/>
                    <w:right w:w="28" w:type="dxa"/>
                  </w:tcMar>
                  <w:vAlign w:val="center"/>
                </w:tcPr>
                <w:p w14:paraId="412EF8ED">
                  <w:pPr>
                    <w:adjustRightInd w:val="0"/>
                    <w:snapToGrid w:val="0"/>
                    <w:jc w:val="center"/>
                    <w:rPr>
                      <w:rFonts w:hint="eastAsia"/>
                      <w:color w:val="auto"/>
                      <w:kern w:val="0"/>
                      <w:sz w:val="18"/>
                      <w:szCs w:val="18"/>
                    </w:rPr>
                  </w:pPr>
                </w:p>
              </w:tc>
              <w:tc>
                <w:tcPr>
                  <w:tcW w:w="200" w:type="pct"/>
                  <w:vMerge w:val="continue"/>
                  <w:tcMar>
                    <w:left w:w="28" w:type="dxa"/>
                    <w:right w:w="28" w:type="dxa"/>
                  </w:tcMar>
                  <w:vAlign w:val="center"/>
                </w:tcPr>
                <w:p w14:paraId="05640F6C">
                  <w:pPr>
                    <w:adjustRightInd w:val="0"/>
                    <w:snapToGrid w:val="0"/>
                    <w:jc w:val="center"/>
                    <w:rPr>
                      <w:rFonts w:hint="eastAsia"/>
                      <w:color w:val="auto"/>
                      <w:kern w:val="0"/>
                      <w:sz w:val="18"/>
                      <w:szCs w:val="18"/>
                    </w:rPr>
                  </w:pPr>
                </w:p>
              </w:tc>
              <w:tc>
                <w:tcPr>
                  <w:tcW w:w="200" w:type="pct"/>
                  <w:vMerge w:val="continue"/>
                  <w:tcMar>
                    <w:left w:w="28" w:type="dxa"/>
                    <w:right w:w="28" w:type="dxa"/>
                  </w:tcMar>
                  <w:vAlign w:val="center"/>
                </w:tcPr>
                <w:p w14:paraId="2A8432A8">
                  <w:pPr>
                    <w:adjustRightInd w:val="0"/>
                    <w:snapToGrid w:val="0"/>
                    <w:jc w:val="center"/>
                    <w:rPr>
                      <w:rFonts w:hint="eastAsia"/>
                      <w:color w:val="auto"/>
                      <w:kern w:val="0"/>
                      <w:sz w:val="18"/>
                      <w:szCs w:val="18"/>
                    </w:rPr>
                  </w:pPr>
                </w:p>
              </w:tc>
              <w:tc>
                <w:tcPr>
                  <w:tcW w:w="200" w:type="pct"/>
                  <w:vMerge w:val="continue"/>
                  <w:tcMar>
                    <w:left w:w="28" w:type="dxa"/>
                    <w:right w:w="28" w:type="dxa"/>
                  </w:tcMar>
                  <w:vAlign w:val="center"/>
                </w:tcPr>
                <w:p w14:paraId="1448504B">
                  <w:pPr>
                    <w:adjustRightInd w:val="0"/>
                    <w:snapToGrid w:val="0"/>
                    <w:jc w:val="center"/>
                    <w:rPr>
                      <w:rFonts w:hint="eastAsia"/>
                      <w:color w:val="auto"/>
                      <w:kern w:val="0"/>
                      <w:sz w:val="18"/>
                      <w:szCs w:val="18"/>
                    </w:rPr>
                  </w:pPr>
                </w:p>
              </w:tc>
              <w:tc>
                <w:tcPr>
                  <w:tcW w:w="900" w:type="dxa"/>
                  <w:tcMar>
                    <w:left w:w="28" w:type="dxa"/>
                    <w:right w:w="28" w:type="dxa"/>
                  </w:tcMar>
                  <w:vAlign w:val="center"/>
                </w:tcPr>
                <w:p w14:paraId="15952C96">
                  <w:pPr>
                    <w:adjustRightInd w:val="0"/>
                    <w:snapToGrid w:val="0"/>
                    <w:jc w:val="center"/>
                    <w:rPr>
                      <w:rFonts w:hint="eastAsia"/>
                      <w:color w:val="auto"/>
                      <w:kern w:val="0"/>
                      <w:sz w:val="18"/>
                      <w:szCs w:val="18"/>
                      <w:lang w:val="en-US" w:eastAsia="zh-CN"/>
                    </w:rPr>
                  </w:pPr>
                  <w:r>
                    <w:rPr>
                      <w:rFonts w:hint="eastAsia"/>
                      <w:color w:val="auto"/>
                      <w:kern w:val="0"/>
                      <w:sz w:val="18"/>
                      <w:szCs w:val="18"/>
                      <w:lang w:val="en-US" w:eastAsia="zh-CN"/>
                    </w:rPr>
                    <w:t>124</w:t>
                  </w:r>
                  <w:r>
                    <w:rPr>
                      <w:rFonts w:hint="eastAsia"/>
                      <w:color w:val="auto"/>
                      <w:kern w:val="0"/>
                      <w:sz w:val="18"/>
                      <w:szCs w:val="18"/>
                      <w:lang w:eastAsia="zh-CN"/>
                    </w:rPr>
                    <w:t>（</w:t>
                  </w:r>
                  <w:r>
                    <w:rPr>
                      <w:rFonts w:hint="eastAsia"/>
                      <w:color w:val="auto"/>
                      <w:kern w:val="0"/>
                      <w:sz w:val="18"/>
                      <w:szCs w:val="18"/>
                      <w:lang w:val="en-US" w:eastAsia="zh-CN"/>
                    </w:rPr>
                    <w:t>W</w:t>
                  </w:r>
                  <w:r>
                    <w:rPr>
                      <w:rFonts w:hint="eastAsia"/>
                      <w:color w:val="auto"/>
                      <w:kern w:val="0"/>
                      <w:sz w:val="18"/>
                      <w:szCs w:val="18"/>
                      <w:lang w:eastAsia="zh-CN"/>
                    </w:rPr>
                    <w:t>）</w:t>
                  </w:r>
                </w:p>
              </w:tc>
              <w:tc>
                <w:tcPr>
                  <w:tcW w:w="482" w:type="pct"/>
                  <w:tcMar>
                    <w:left w:w="28" w:type="dxa"/>
                    <w:right w:w="28" w:type="dxa"/>
                  </w:tcMar>
                  <w:vAlign w:val="center"/>
                </w:tcPr>
                <w:p w14:paraId="5D17CFAD">
                  <w:pPr>
                    <w:adjustRightInd w:val="0"/>
                    <w:snapToGrid w:val="0"/>
                    <w:jc w:val="center"/>
                    <w:rPr>
                      <w:rFonts w:hint="default"/>
                      <w:color w:val="auto"/>
                      <w:kern w:val="0"/>
                      <w:sz w:val="18"/>
                      <w:szCs w:val="18"/>
                      <w:lang w:val="en-US" w:eastAsia="zh-CN"/>
                    </w:rPr>
                  </w:pPr>
                  <w:r>
                    <w:rPr>
                      <w:rFonts w:hint="eastAsia"/>
                      <w:color w:val="auto"/>
                      <w:kern w:val="0"/>
                      <w:sz w:val="18"/>
                      <w:szCs w:val="18"/>
                      <w:lang w:val="en-US" w:eastAsia="zh-CN"/>
                    </w:rPr>
                    <w:t>47.7</w:t>
                  </w:r>
                </w:p>
              </w:tc>
              <w:tc>
                <w:tcPr>
                  <w:tcW w:w="491" w:type="pct"/>
                  <w:tcMar>
                    <w:left w:w="28" w:type="dxa"/>
                    <w:right w:w="28" w:type="dxa"/>
                  </w:tcMar>
                  <w:vAlign w:val="center"/>
                </w:tcPr>
                <w:p w14:paraId="7C2C0C1A">
                  <w:pPr>
                    <w:adjustRightInd w:val="0"/>
                    <w:snapToGrid w:val="0"/>
                    <w:jc w:val="center"/>
                    <w:rPr>
                      <w:rFonts w:hint="eastAsia"/>
                      <w:color w:val="auto"/>
                      <w:kern w:val="0"/>
                      <w:sz w:val="18"/>
                      <w:szCs w:val="18"/>
                    </w:rPr>
                  </w:pPr>
                  <w:r>
                    <w:rPr>
                      <w:rFonts w:hint="eastAsia"/>
                      <w:color w:val="auto"/>
                      <w:kern w:val="0"/>
                      <w:sz w:val="18"/>
                      <w:szCs w:val="18"/>
                    </w:rPr>
                    <w:t>25</w:t>
                  </w:r>
                </w:p>
              </w:tc>
              <w:tc>
                <w:tcPr>
                  <w:tcW w:w="968" w:type="dxa"/>
                  <w:tcMar>
                    <w:left w:w="28" w:type="dxa"/>
                    <w:right w:w="28" w:type="dxa"/>
                  </w:tcMar>
                  <w:vAlign w:val="center"/>
                </w:tcPr>
                <w:p w14:paraId="03329979">
                  <w:pPr>
                    <w:adjustRightInd w:val="0"/>
                    <w:snapToGrid w:val="0"/>
                    <w:jc w:val="center"/>
                    <w:rPr>
                      <w:rFonts w:hint="eastAsia"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22.7</w:t>
                  </w:r>
                </w:p>
              </w:tc>
              <w:tc>
                <w:tcPr>
                  <w:tcW w:w="496" w:type="pct"/>
                  <w:tcMar>
                    <w:left w:w="28" w:type="dxa"/>
                    <w:right w:w="28" w:type="dxa"/>
                  </w:tcMar>
                  <w:vAlign w:val="center"/>
                </w:tcPr>
                <w:p w14:paraId="741DC6F6">
                  <w:pPr>
                    <w:adjustRightInd w:val="0"/>
                    <w:snapToGrid w:val="0"/>
                    <w:jc w:val="center"/>
                    <w:rPr>
                      <w:rFonts w:hint="eastAsia"/>
                      <w:color w:val="auto"/>
                      <w:kern w:val="0"/>
                      <w:sz w:val="18"/>
                      <w:szCs w:val="18"/>
                    </w:rPr>
                  </w:pPr>
                  <w:r>
                    <w:rPr>
                      <w:rFonts w:hint="eastAsia"/>
                      <w:color w:val="auto"/>
                      <w:kern w:val="0"/>
                      <w:sz w:val="18"/>
                      <w:szCs w:val="18"/>
                    </w:rPr>
                    <w:t>1</w:t>
                  </w:r>
                </w:p>
              </w:tc>
            </w:tr>
            <w:tr w14:paraId="2CA405C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94" w:hRule="atLeast"/>
              </w:trPr>
              <w:tc>
                <w:tcPr>
                  <w:tcW w:w="342" w:type="pct"/>
                  <w:vMerge w:val="continue"/>
                  <w:tcMar>
                    <w:left w:w="28" w:type="dxa"/>
                    <w:right w:w="28" w:type="dxa"/>
                  </w:tcMar>
                  <w:vAlign w:val="center"/>
                </w:tcPr>
                <w:p w14:paraId="527AE0E8">
                  <w:pPr>
                    <w:adjustRightInd w:val="0"/>
                    <w:snapToGrid w:val="0"/>
                    <w:jc w:val="center"/>
                    <w:rPr>
                      <w:rFonts w:hint="eastAsia"/>
                      <w:color w:val="auto"/>
                      <w:kern w:val="0"/>
                      <w:sz w:val="18"/>
                      <w:szCs w:val="18"/>
                    </w:rPr>
                  </w:pPr>
                </w:p>
              </w:tc>
              <w:tc>
                <w:tcPr>
                  <w:tcW w:w="359" w:type="pct"/>
                  <w:vMerge w:val="continue"/>
                  <w:tcMar>
                    <w:left w:w="28" w:type="dxa"/>
                    <w:right w:w="28" w:type="dxa"/>
                  </w:tcMar>
                  <w:vAlign w:val="center"/>
                </w:tcPr>
                <w:p w14:paraId="314BAC07">
                  <w:pPr>
                    <w:adjustRightInd w:val="0"/>
                    <w:snapToGrid w:val="0"/>
                    <w:jc w:val="center"/>
                    <w:rPr>
                      <w:rFonts w:hint="eastAsia"/>
                      <w:color w:val="auto"/>
                      <w:kern w:val="0"/>
                      <w:sz w:val="18"/>
                      <w:szCs w:val="18"/>
                      <w:lang w:val="en-US" w:eastAsia="zh-CN"/>
                    </w:rPr>
                  </w:pPr>
                </w:p>
              </w:tc>
              <w:tc>
                <w:tcPr>
                  <w:tcW w:w="333" w:type="pct"/>
                  <w:vMerge w:val="continue"/>
                  <w:tcMar>
                    <w:left w:w="28" w:type="dxa"/>
                    <w:right w:w="28" w:type="dxa"/>
                  </w:tcMar>
                  <w:vAlign w:val="center"/>
                </w:tcPr>
                <w:p w14:paraId="28F9C24F">
                  <w:pPr>
                    <w:adjustRightInd w:val="0"/>
                    <w:snapToGrid w:val="0"/>
                    <w:jc w:val="center"/>
                    <w:rPr>
                      <w:rFonts w:hint="eastAsia"/>
                      <w:color w:val="auto"/>
                      <w:kern w:val="0"/>
                      <w:sz w:val="18"/>
                      <w:szCs w:val="18"/>
                    </w:rPr>
                  </w:pPr>
                </w:p>
              </w:tc>
              <w:tc>
                <w:tcPr>
                  <w:tcW w:w="457" w:type="pct"/>
                  <w:vMerge w:val="continue"/>
                  <w:tcMar>
                    <w:left w:w="28" w:type="dxa"/>
                    <w:right w:w="28" w:type="dxa"/>
                  </w:tcMar>
                  <w:vAlign w:val="center"/>
                </w:tcPr>
                <w:p w14:paraId="31549E92">
                  <w:pPr>
                    <w:adjustRightInd w:val="0"/>
                    <w:snapToGrid w:val="0"/>
                    <w:jc w:val="center"/>
                    <w:rPr>
                      <w:rFonts w:hint="eastAsia"/>
                      <w:color w:val="auto"/>
                      <w:kern w:val="0"/>
                      <w:sz w:val="18"/>
                      <w:szCs w:val="18"/>
                    </w:rPr>
                  </w:pPr>
                </w:p>
              </w:tc>
              <w:tc>
                <w:tcPr>
                  <w:tcW w:w="381" w:type="pct"/>
                  <w:vMerge w:val="continue"/>
                  <w:tcMar>
                    <w:left w:w="28" w:type="dxa"/>
                    <w:right w:w="28" w:type="dxa"/>
                  </w:tcMar>
                  <w:vAlign w:val="center"/>
                </w:tcPr>
                <w:p w14:paraId="610A2B76">
                  <w:pPr>
                    <w:adjustRightInd w:val="0"/>
                    <w:snapToGrid w:val="0"/>
                    <w:jc w:val="center"/>
                    <w:rPr>
                      <w:rFonts w:hint="eastAsia"/>
                      <w:color w:val="auto"/>
                      <w:kern w:val="0"/>
                      <w:sz w:val="18"/>
                      <w:szCs w:val="18"/>
                    </w:rPr>
                  </w:pPr>
                </w:p>
              </w:tc>
              <w:tc>
                <w:tcPr>
                  <w:tcW w:w="200" w:type="pct"/>
                  <w:vMerge w:val="continue"/>
                  <w:tcMar>
                    <w:left w:w="28" w:type="dxa"/>
                    <w:right w:w="28" w:type="dxa"/>
                  </w:tcMar>
                  <w:vAlign w:val="center"/>
                </w:tcPr>
                <w:p w14:paraId="25AF83ED">
                  <w:pPr>
                    <w:adjustRightInd w:val="0"/>
                    <w:snapToGrid w:val="0"/>
                    <w:jc w:val="center"/>
                    <w:rPr>
                      <w:rFonts w:hint="eastAsia"/>
                      <w:color w:val="auto"/>
                      <w:kern w:val="0"/>
                      <w:sz w:val="18"/>
                      <w:szCs w:val="18"/>
                    </w:rPr>
                  </w:pPr>
                </w:p>
              </w:tc>
              <w:tc>
                <w:tcPr>
                  <w:tcW w:w="200" w:type="pct"/>
                  <w:vMerge w:val="continue"/>
                  <w:tcMar>
                    <w:left w:w="28" w:type="dxa"/>
                    <w:right w:w="28" w:type="dxa"/>
                  </w:tcMar>
                  <w:vAlign w:val="center"/>
                </w:tcPr>
                <w:p w14:paraId="18AB3D17">
                  <w:pPr>
                    <w:adjustRightInd w:val="0"/>
                    <w:snapToGrid w:val="0"/>
                    <w:jc w:val="center"/>
                    <w:rPr>
                      <w:rFonts w:hint="eastAsia"/>
                      <w:color w:val="auto"/>
                      <w:kern w:val="0"/>
                      <w:sz w:val="18"/>
                      <w:szCs w:val="18"/>
                    </w:rPr>
                  </w:pPr>
                </w:p>
              </w:tc>
              <w:tc>
                <w:tcPr>
                  <w:tcW w:w="200" w:type="pct"/>
                  <w:vMerge w:val="continue"/>
                  <w:tcMar>
                    <w:left w:w="28" w:type="dxa"/>
                    <w:right w:w="28" w:type="dxa"/>
                  </w:tcMar>
                  <w:vAlign w:val="center"/>
                </w:tcPr>
                <w:p w14:paraId="70CFD828">
                  <w:pPr>
                    <w:adjustRightInd w:val="0"/>
                    <w:snapToGrid w:val="0"/>
                    <w:jc w:val="center"/>
                    <w:rPr>
                      <w:rFonts w:hint="eastAsia"/>
                      <w:color w:val="auto"/>
                      <w:kern w:val="0"/>
                      <w:sz w:val="18"/>
                      <w:szCs w:val="18"/>
                    </w:rPr>
                  </w:pPr>
                </w:p>
              </w:tc>
              <w:tc>
                <w:tcPr>
                  <w:tcW w:w="900" w:type="dxa"/>
                  <w:tcMar>
                    <w:left w:w="28" w:type="dxa"/>
                    <w:right w:w="28" w:type="dxa"/>
                  </w:tcMar>
                  <w:vAlign w:val="center"/>
                </w:tcPr>
                <w:p w14:paraId="67465197">
                  <w:pPr>
                    <w:adjustRightInd w:val="0"/>
                    <w:snapToGrid w:val="0"/>
                    <w:jc w:val="center"/>
                    <w:rPr>
                      <w:rFonts w:hint="eastAsia"/>
                      <w:color w:val="auto"/>
                      <w:kern w:val="0"/>
                      <w:sz w:val="18"/>
                      <w:szCs w:val="18"/>
                      <w:lang w:val="en-US" w:eastAsia="zh-CN"/>
                    </w:rPr>
                  </w:pPr>
                  <w:r>
                    <w:rPr>
                      <w:rFonts w:hint="eastAsia"/>
                      <w:color w:val="auto"/>
                      <w:kern w:val="0"/>
                      <w:sz w:val="18"/>
                      <w:szCs w:val="18"/>
                      <w:lang w:val="en-US" w:eastAsia="zh-CN"/>
                    </w:rPr>
                    <w:t>65</w:t>
                  </w:r>
                  <w:r>
                    <w:rPr>
                      <w:rFonts w:hint="eastAsia"/>
                      <w:color w:val="auto"/>
                      <w:kern w:val="0"/>
                      <w:sz w:val="18"/>
                      <w:szCs w:val="18"/>
                      <w:lang w:eastAsia="zh-CN"/>
                    </w:rPr>
                    <w:t>（</w:t>
                  </w:r>
                  <w:r>
                    <w:rPr>
                      <w:rFonts w:hint="eastAsia"/>
                      <w:color w:val="auto"/>
                      <w:kern w:val="0"/>
                      <w:sz w:val="18"/>
                      <w:szCs w:val="18"/>
                      <w:lang w:val="en-US" w:eastAsia="zh-CN"/>
                    </w:rPr>
                    <w:t>N</w:t>
                  </w:r>
                  <w:r>
                    <w:rPr>
                      <w:rFonts w:hint="eastAsia"/>
                      <w:color w:val="auto"/>
                      <w:kern w:val="0"/>
                      <w:sz w:val="18"/>
                      <w:szCs w:val="18"/>
                      <w:lang w:eastAsia="zh-CN"/>
                    </w:rPr>
                    <w:t>）</w:t>
                  </w:r>
                </w:p>
              </w:tc>
              <w:tc>
                <w:tcPr>
                  <w:tcW w:w="482" w:type="pct"/>
                  <w:tcMar>
                    <w:left w:w="28" w:type="dxa"/>
                    <w:right w:w="28" w:type="dxa"/>
                  </w:tcMar>
                  <w:vAlign w:val="center"/>
                </w:tcPr>
                <w:p w14:paraId="427349CE">
                  <w:pPr>
                    <w:adjustRightInd w:val="0"/>
                    <w:snapToGrid w:val="0"/>
                    <w:jc w:val="center"/>
                    <w:rPr>
                      <w:rFonts w:hint="default"/>
                      <w:color w:val="auto"/>
                      <w:kern w:val="0"/>
                      <w:sz w:val="18"/>
                      <w:szCs w:val="18"/>
                      <w:lang w:val="en-US" w:eastAsia="zh-CN"/>
                    </w:rPr>
                  </w:pPr>
                  <w:r>
                    <w:rPr>
                      <w:rFonts w:hint="eastAsia"/>
                      <w:color w:val="auto"/>
                      <w:kern w:val="0"/>
                      <w:sz w:val="18"/>
                      <w:szCs w:val="18"/>
                      <w:lang w:val="en-US" w:eastAsia="zh-CN"/>
                    </w:rPr>
                    <w:t>47.9</w:t>
                  </w:r>
                </w:p>
              </w:tc>
              <w:tc>
                <w:tcPr>
                  <w:tcW w:w="491" w:type="pct"/>
                  <w:tcMar>
                    <w:left w:w="28" w:type="dxa"/>
                    <w:right w:w="28" w:type="dxa"/>
                  </w:tcMar>
                  <w:vAlign w:val="center"/>
                </w:tcPr>
                <w:p w14:paraId="010B28FC">
                  <w:pPr>
                    <w:adjustRightInd w:val="0"/>
                    <w:snapToGrid w:val="0"/>
                    <w:jc w:val="center"/>
                    <w:rPr>
                      <w:rFonts w:hint="eastAsia"/>
                      <w:color w:val="auto"/>
                      <w:kern w:val="0"/>
                      <w:sz w:val="18"/>
                      <w:szCs w:val="18"/>
                    </w:rPr>
                  </w:pPr>
                  <w:r>
                    <w:rPr>
                      <w:rFonts w:hint="eastAsia"/>
                      <w:color w:val="auto"/>
                      <w:kern w:val="0"/>
                      <w:sz w:val="18"/>
                      <w:szCs w:val="18"/>
                    </w:rPr>
                    <w:t>25</w:t>
                  </w:r>
                </w:p>
              </w:tc>
              <w:tc>
                <w:tcPr>
                  <w:tcW w:w="968" w:type="dxa"/>
                  <w:tcMar>
                    <w:left w:w="28" w:type="dxa"/>
                    <w:right w:w="28" w:type="dxa"/>
                  </w:tcMar>
                  <w:vAlign w:val="center"/>
                </w:tcPr>
                <w:p w14:paraId="03C741EE">
                  <w:pPr>
                    <w:adjustRightInd w:val="0"/>
                    <w:snapToGrid w:val="0"/>
                    <w:jc w:val="center"/>
                    <w:rPr>
                      <w:rFonts w:hint="eastAsia"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22.9</w:t>
                  </w:r>
                </w:p>
              </w:tc>
              <w:tc>
                <w:tcPr>
                  <w:tcW w:w="496" w:type="pct"/>
                  <w:tcMar>
                    <w:left w:w="28" w:type="dxa"/>
                    <w:right w:w="28" w:type="dxa"/>
                  </w:tcMar>
                  <w:vAlign w:val="center"/>
                </w:tcPr>
                <w:p w14:paraId="2145EA27">
                  <w:pPr>
                    <w:adjustRightInd w:val="0"/>
                    <w:snapToGrid w:val="0"/>
                    <w:jc w:val="center"/>
                    <w:rPr>
                      <w:rFonts w:hint="eastAsia"/>
                      <w:color w:val="auto"/>
                      <w:kern w:val="0"/>
                      <w:sz w:val="18"/>
                      <w:szCs w:val="18"/>
                    </w:rPr>
                  </w:pPr>
                  <w:r>
                    <w:rPr>
                      <w:rFonts w:hint="eastAsia"/>
                      <w:color w:val="auto"/>
                      <w:kern w:val="0"/>
                      <w:sz w:val="18"/>
                      <w:szCs w:val="18"/>
                    </w:rPr>
                    <w:t>1</w:t>
                  </w:r>
                </w:p>
              </w:tc>
            </w:tr>
            <w:tr w14:paraId="0188C947">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34" w:hRule="atLeast"/>
              </w:trPr>
              <w:tc>
                <w:tcPr>
                  <w:tcW w:w="5000" w:type="pct"/>
                  <w:gridSpan w:val="13"/>
                  <w:tcMar>
                    <w:left w:w="28" w:type="dxa"/>
                    <w:right w:w="28" w:type="dxa"/>
                  </w:tcMar>
                  <w:vAlign w:val="center"/>
                </w:tcPr>
                <w:p w14:paraId="26B9DC39">
                  <w:pPr>
                    <w:adjustRightInd w:val="0"/>
                    <w:snapToGrid w:val="0"/>
                    <w:jc w:val="left"/>
                    <w:rPr>
                      <w:color w:val="auto"/>
                      <w:kern w:val="0"/>
                      <w:sz w:val="18"/>
                      <w:szCs w:val="18"/>
                    </w:rPr>
                  </w:pPr>
                  <w:r>
                    <w:rPr>
                      <w:rFonts w:hint="eastAsia"/>
                      <w:color w:val="auto"/>
                      <w:kern w:val="0"/>
                      <w:sz w:val="18"/>
                      <w:szCs w:val="18"/>
                    </w:rPr>
                    <w:t>注：①本项目以厂区中心为坐标原点；②为距室内边界距离；③“声压级</w:t>
                  </w:r>
                  <w:r>
                    <w:rPr>
                      <w:color w:val="auto"/>
                      <w:kern w:val="0"/>
                      <w:sz w:val="18"/>
                      <w:szCs w:val="18"/>
                    </w:rPr>
                    <w:t>/</w:t>
                  </w:r>
                  <w:r>
                    <w:rPr>
                      <w:rFonts w:hint="eastAsia"/>
                      <w:color w:val="auto"/>
                      <w:kern w:val="0"/>
                      <w:sz w:val="18"/>
                      <w:szCs w:val="18"/>
                    </w:rPr>
                    <w:t>距声源距离</w:t>
                  </w:r>
                  <w:r>
                    <w:rPr>
                      <w:color w:val="auto"/>
                      <w:kern w:val="0"/>
                      <w:sz w:val="18"/>
                      <w:szCs w:val="18"/>
                    </w:rPr>
                    <w:t>/dB</w:t>
                  </w:r>
                  <w:r>
                    <w:rPr>
                      <w:rFonts w:hint="eastAsia"/>
                      <w:color w:val="auto"/>
                      <w:kern w:val="0"/>
                      <w:sz w:val="18"/>
                      <w:szCs w:val="18"/>
                    </w:rPr>
                    <w:t>（</w:t>
                  </w:r>
                  <w:r>
                    <w:rPr>
                      <w:color w:val="auto"/>
                      <w:kern w:val="0"/>
                      <w:sz w:val="18"/>
                      <w:szCs w:val="18"/>
                    </w:rPr>
                    <w:t>A</w:t>
                  </w:r>
                  <w:r>
                    <w:rPr>
                      <w:rFonts w:hint="eastAsia"/>
                      <w:color w:val="auto"/>
                      <w:kern w:val="0"/>
                      <w:sz w:val="18"/>
                      <w:szCs w:val="18"/>
                    </w:rPr>
                    <w:t>）</w:t>
                  </w:r>
                  <w:r>
                    <w:rPr>
                      <w:color w:val="auto"/>
                      <w:kern w:val="0"/>
                      <w:sz w:val="18"/>
                      <w:szCs w:val="18"/>
                    </w:rPr>
                    <w:t>/m</w:t>
                  </w:r>
                  <w:r>
                    <w:rPr>
                      <w:rFonts w:hint="eastAsia"/>
                      <w:color w:val="auto"/>
                      <w:kern w:val="0"/>
                      <w:sz w:val="18"/>
                      <w:szCs w:val="18"/>
                    </w:rPr>
                    <w:t>”中“声压级”为单台设备的声压级；④建筑物外最近距离。</w:t>
                  </w:r>
                </w:p>
              </w:tc>
            </w:tr>
          </w:tbl>
          <w:p w14:paraId="2F63A4A3">
            <w:pPr>
              <w:jc w:val="center"/>
              <w:rPr>
                <w:b/>
                <w:color w:val="auto"/>
                <w:kern w:val="0"/>
              </w:rPr>
            </w:pPr>
            <w:r>
              <w:rPr>
                <w:b/>
                <w:color w:val="auto"/>
                <w:kern w:val="0"/>
              </w:rPr>
              <w:t>表</w:t>
            </w:r>
            <w:r>
              <w:rPr>
                <w:rFonts w:hint="eastAsia"/>
                <w:b/>
                <w:color w:val="auto"/>
                <w:kern w:val="0"/>
              </w:rPr>
              <w:t>4-</w:t>
            </w:r>
            <w:r>
              <w:rPr>
                <w:rFonts w:hint="eastAsia"/>
                <w:b/>
                <w:color w:val="auto"/>
                <w:kern w:val="0"/>
                <w:lang w:val="en-US" w:eastAsia="zh-CN"/>
              </w:rPr>
              <w:t xml:space="preserve">19 </w:t>
            </w:r>
            <w:r>
              <w:rPr>
                <w:b/>
                <w:color w:val="auto"/>
                <w:kern w:val="0"/>
              </w:rPr>
              <w:t xml:space="preserve">  本项目噪声源强调查清单（室外声源）</w:t>
            </w:r>
          </w:p>
          <w:tbl>
            <w:tblPr>
              <w:tblStyle w:val="59"/>
              <w:tblW w:w="4997"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1600"/>
              <w:gridCol w:w="1200"/>
              <w:gridCol w:w="2174"/>
              <w:gridCol w:w="2419"/>
              <w:gridCol w:w="1463"/>
            </w:tblGrid>
            <w:tr w14:paraId="5486947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903" w:type="pct"/>
                  <w:tcBorders>
                    <w:tl2br w:val="nil"/>
                    <w:tr2bl w:val="nil"/>
                  </w:tcBorders>
                  <w:vAlign w:val="center"/>
                </w:tcPr>
                <w:p w14:paraId="575A9B3A">
                  <w:pPr>
                    <w:jc w:val="center"/>
                    <w:rPr>
                      <w:b/>
                      <w:color w:val="auto"/>
                      <w:kern w:val="0"/>
                    </w:rPr>
                  </w:pPr>
                  <w:r>
                    <w:rPr>
                      <w:b/>
                      <w:color w:val="auto"/>
                      <w:kern w:val="0"/>
                    </w:rPr>
                    <w:t>声源名称</w:t>
                  </w:r>
                </w:p>
              </w:tc>
              <w:tc>
                <w:tcPr>
                  <w:tcW w:w="677" w:type="pct"/>
                  <w:tcBorders>
                    <w:tl2br w:val="nil"/>
                    <w:tr2bl w:val="nil"/>
                  </w:tcBorders>
                  <w:vAlign w:val="center"/>
                </w:tcPr>
                <w:p w14:paraId="1F935D7F">
                  <w:pPr>
                    <w:jc w:val="center"/>
                    <w:rPr>
                      <w:b/>
                      <w:color w:val="auto"/>
                      <w:kern w:val="0"/>
                    </w:rPr>
                  </w:pPr>
                  <w:r>
                    <w:rPr>
                      <w:b/>
                      <w:color w:val="auto"/>
                      <w:kern w:val="0"/>
                    </w:rPr>
                    <w:t>型号</w:t>
                  </w:r>
                </w:p>
              </w:tc>
              <w:tc>
                <w:tcPr>
                  <w:tcW w:w="1227" w:type="pct"/>
                  <w:tcBorders>
                    <w:tl2br w:val="nil"/>
                    <w:tr2bl w:val="nil"/>
                  </w:tcBorders>
                  <w:vAlign w:val="center"/>
                </w:tcPr>
                <w:p w14:paraId="692C8725">
                  <w:pPr>
                    <w:jc w:val="center"/>
                    <w:rPr>
                      <w:b/>
                      <w:color w:val="auto"/>
                      <w:kern w:val="0"/>
                    </w:rPr>
                  </w:pPr>
                  <w:r>
                    <w:rPr>
                      <w:b/>
                      <w:color w:val="auto"/>
                      <w:kern w:val="0"/>
                    </w:rPr>
                    <w:t>声源源强（声功率级）/dB</w:t>
                  </w:r>
                  <w:r>
                    <w:rPr>
                      <w:rFonts w:hint="eastAsia"/>
                      <w:b/>
                      <w:color w:val="auto"/>
                      <w:kern w:val="0"/>
                    </w:rPr>
                    <w:t>（</w:t>
                  </w:r>
                  <w:r>
                    <w:rPr>
                      <w:b/>
                      <w:color w:val="auto"/>
                      <w:kern w:val="0"/>
                    </w:rPr>
                    <w:t>A</w:t>
                  </w:r>
                  <w:r>
                    <w:rPr>
                      <w:rFonts w:hint="eastAsia"/>
                      <w:b/>
                      <w:color w:val="auto"/>
                      <w:kern w:val="0"/>
                    </w:rPr>
                    <w:t>）</w:t>
                  </w:r>
                </w:p>
              </w:tc>
              <w:tc>
                <w:tcPr>
                  <w:tcW w:w="1365" w:type="pct"/>
                  <w:tcBorders>
                    <w:tl2br w:val="nil"/>
                    <w:tr2bl w:val="nil"/>
                  </w:tcBorders>
                  <w:vAlign w:val="center"/>
                </w:tcPr>
                <w:p w14:paraId="55C40C16">
                  <w:pPr>
                    <w:jc w:val="center"/>
                    <w:rPr>
                      <w:b/>
                      <w:color w:val="auto"/>
                      <w:kern w:val="0"/>
                    </w:rPr>
                  </w:pPr>
                  <w:r>
                    <w:rPr>
                      <w:b/>
                      <w:color w:val="auto"/>
                      <w:kern w:val="0"/>
                    </w:rPr>
                    <w:t>声源控制措施</w:t>
                  </w:r>
                </w:p>
              </w:tc>
              <w:tc>
                <w:tcPr>
                  <w:tcW w:w="825" w:type="pct"/>
                  <w:tcBorders>
                    <w:tl2br w:val="nil"/>
                    <w:tr2bl w:val="nil"/>
                  </w:tcBorders>
                  <w:vAlign w:val="center"/>
                </w:tcPr>
                <w:p w14:paraId="752532DD">
                  <w:pPr>
                    <w:jc w:val="center"/>
                    <w:rPr>
                      <w:b/>
                      <w:color w:val="auto"/>
                      <w:kern w:val="0"/>
                    </w:rPr>
                  </w:pPr>
                  <w:r>
                    <w:rPr>
                      <w:b/>
                      <w:color w:val="auto"/>
                      <w:kern w:val="0"/>
                    </w:rPr>
                    <w:t>运行时段</w:t>
                  </w:r>
                </w:p>
              </w:tc>
            </w:tr>
            <w:tr w14:paraId="07AE58F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903" w:type="pct"/>
                  <w:tcBorders>
                    <w:tl2br w:val="nil"/>
                    <w:tr2bl w:val="nil"/>
                  </w:tcBorders>
                  <w:vAlign w:val="center"/>
                </w:tcPr>
                <w:p w14:paraId="1EB08626">
                  <w:pPr>
                    <w:jc w:val="center"/>
                    <w:rPr>
                      <w:color w:val="auto"/>
                      <w:kern w:val="0"/>
                    </w:rPr>
                  </w:pPr>
                  <w:r>
                    <w:rPr>
                      <w:color w:val="auto"/>
                      <w:kern w:val="0"/>
                    </w:rPr>
                    <w:t>风机（</w:t>
                  </w:r>
                  <w:r>
                    <w:rPr>
                      <w:rFonts w:hint="eastAsia"/>
                      <w:color w:val="auto"/>
                      <w:kern w:val="0"/>
                      <w:lang w:val="en-US" w:eastAsia="zh-CN"/>
                    </w:rPr>
                    <w:t>2</w:t>
                  </w:r>
                  <w:r>
                    <w:rPr>
                      <w:color w:val="auto"/>
                      <w:kern w:val="0"/>
                    </w:rPr>
                    <w:t>台）</w:t>
                  </w:r>
                </w:p>
              </w:tc>
              <w:tc>
                <w:tcPr>
                  <w:tcW w:w="677" w:type="pct"/>
                  <w:tcBorders>
                    <w:tl2br w:val="nil"/>
                    <w:tr2bl w:val="nil"/>
                  </w:tcBorders>
                  <w:vAlign w:val="center"/>
                </w:tcPr>
                <w:p w14:paraId="11A14A93">
                  <w:pPr>
                    <w:jc w:val="center"/>
                    <w:rPr>
                      <w:color w:val="auto"/>
                      <w:kern w:val="0"/>
                    </w:rPr>
                  </w:pPr>
                  <w:r>
                    <w:rPr>
                      <w:color w:val="auto"/>
                      <w:kern w:val="0"/>
                    </w:rPr>
                    <w:t>/</w:t>
                  </w:r>
                </w:p>
              </w:tc>
              <w:tc>
                <w:tcPr>
                  <w:tcW w:w="1227" w:type="pct"/>
                  <w:tcBorders>
                    <w:tl2br w:val="nil"/>
                    <w:tr2bl w:val="nil"/>
                  </w:tcBorders>
                  <w:vAlign w:val="center"/>
                </w:tcPr>
                <w:p w14:paraId="535B43B0">
                  <w:pPr>
                    <w:pStyle w:val="704"/>
                    <w:contextualSpacing/>
                    <w:rPr>
                      <w:color w:val="auto"/>
                      <w:kern w:val="0"/>
                      <w:szCs w:val="21"/>
                    </w:rPr>
                  </w:pPr>
                  <w:r>
                    <w:rPr>
                      <w:color w:val="auto"/>
                      <w:kern w:val="0"/>
                      <w:szCs w:val="21"/>
                    </w:rPr>
                    <w:t>90</w:t>
                  </w:r>
                </w:p>
              </w:tc>
              <w:tc>
                <w:tcPr>
                  <w:tcW w:w="1365" w:type="pct"/>
                  <w:tcBorders>
                    <w:tl2br w:val="nil"/>
                    <w:tr2bl w:val="nil"/>
                  </w:tcBorders>
                  <w:vAlign w:val="center"/>
                </w:tcPr>
                <w:p w14:paraId="77A1D475">
                  <w:pPr>
                    <w:jc w:val="center"/>
                    <w:rPr>
                      <w:color w:val="auto"/>
                      <w:kern w:val="0"/>
                    </w:rPr>
                  </w:pPr>
                  <w:r>
                    <w:rPr>
                      <w:color w:val="auto"/>
                      <w:kern w:val="0"/>
                    </w:rPr>
                    <w:t>隔声、减震、安装隔声垫、消声器</w:t>
                  </w:r>
                </w:p>
              </w:tc>
              <w:tc>
                <w:tcPr>
                  <w:tcW w:w="825" w:type="pct"/>
                  <w:tcBorders>
                    <w:tl2br w:val="nil"/>
                    <w:tr2bl w:val="nil"/>
                  </w:tcBorders>
                  <w:vAlign w:val="center"/>
                </w:tcPr>
                <w:p w14:paraId="73296DBB">
                  <w:pPr>
                    <w:jc w:val="center"/>
                    <w:rPr>
                      <w:color w:val="auto"/>
                      <w:kern w:val="0"/>
                    </w:rPr>
                  </w:pPr>
                  <w:r>
                    <w:rPr>
                      <w:rFonts w:hint="eastAsia"/>
                      <w:color w:val="auto"/>
                      <w:kern w:val="0"/>
                      <w:lang w:val="en-US" w:eastAsia="zh-CN"/>
                    </w:rPr>
                    <w:t>8</w:t>
                  </w:r>
                  <w:r>
                    <w:rPr>
                      <w:color w:val="auto"/>
                      <w:kern w:val="0"/>
                    </w:rPr>
                    <w:t>:</w:t>
                  </w:r>
                  <w:r>
                    <w:rPr>
                      <w:rFonts w:hint="eastAsia"/>
                      <w:color w:val="auto"/>
                      <w:kern w:val="0"/>
                      <w:lang w:val="en-US" w:eastAsia="zh-CN"/>
                    </w:rPr>
                    <w:t>3</w:t>
                  </w:r>
                  <w:r>
                    <w:rPr>
                      <w:color w:val="auto"/>
                      <w:kern w:val="0"/>
                    </w:rPr>
                    <w:t>0</w:t>
                  </w:r>
                  <w:r>
                    <w:rPr>
                      <w:rFonts w:hint="eastAsia"/>
                      <w:color w:val="auto"/>
                      <w:kern w:val="0"/>
                    </w:rPr>
                    <w:t>~</w:t>
                  </w:r>
                  <w:r>
                    <w:rPr>
                      <w:rFonts w:hint="eastAsia"/>
                      <w:color w:val="auto"/>
                      <w:kern w:val="0"/>
                      <w:lang w:val="en-US" w:eastAsia="zh-CN"/>
                    </w:rPr>
                    <w:t>18</w:t>
                  </w:r>
                  <w:r>
                    <w:rPr>
                      <w:color w:val="auto"/>
                      <w:kern w:val="0"/>
                    </w:rPr>
                    <w:t>:</w:t>
                  </w:r>
                  <w:r>
                    <w:rPr>
                      <w:rFonts w:hint="eastAsia"/>
                      <w:color w:val="auto"/>
                      <w:kern w:val="0"/>
                      <w:lang w:val="en-US" w:eastAsia="zh-CN"/>
                    </w:rPr>
                    <w:t>3</w:t>
                  </w:r>
                  <w:r>
                    <w:rPr>
                      <w:color w:val="auto"/>
                      <w:kern w:val="0"/>
                    </w:rPr>
                    <w:t>0</w:t>
                  </w:r>
                </w:p>
              </w:tc>
            </w:tr>
          </w:tbl>
          <w:p w14:paraId="7B5A0758">
            <w:pPr>
              <w:widowControl/>
              <w:adjustRightInd w:val="0"/>
              <w:snapToGrid w:val="0"/>
              <w:spacing w:line="360" w:lineRule="auto"/>
              <w:ind w:firstLine="420" w:firstLineChars="200"/>
              <w:rPr>
                <w:b/>
                <w:bCs/>
                <w:color w:val="auto"/>
                <w:kern w:val="0"/>
              </w:rPr>
            </w:pPr>
            <w:r>
              <w:rPr>
                <w:rFonts w:hint="eastAsia"/>
                <w:color w:val="auto"/>
                <w:kern w:val="0"/>
              </w:rPr>
              <w:t>通过选用低噪声设备、吸声、隔声、合理布局、减振等措施，可使项目产生的噪声源强削减25dB（A），以减轻噪声对周围环境的影响。上述措施到位时，项目地周围噪声可达标排放。</w:t>
            </w:r>
          </w:p>
          <w:p w14:paraId="1BE8173C">
            <w:pPr>
              <w:adjustRightInd w:val="0"/>
              <w:snapToGrid w:val="0"/>
              <w:spacing w:line="360" w:lineRule="auto"/>
              <w:ind w:firstLine="422" w:firstLineChars="200"/>
              <w:rPr>
                <w:b/>
                <w:bCs/>
                <w:color w:val="auto"/>
                <w:kern w:val="0"/>
              </w:rPr>
            </w:pPr>
            <w:r>
              <w:rPr>
                <w:rFonts w:hint="eastAsia"/>
                <w:b/>
                <w:bCs/>
                <w:color w:val="auto"/>
                <w:kern w:val="0"/>
              </w:rPr>
              <w:t>（2）噪声污染防治措施</w:t>
            </w:r>
          </w:p>
          <w:p w14:paraId="627675DD">
            <w:pPr>
              <w:adjustRightInd w:val="0"/>
              <w:snapToGrid w:val="0"/>
              <w:spacing w:line="360" w:lineRule="auto"/>
              <w:ind w:firstLine="420" w:firstLineChars="200"/>
              <w:rPr>
                <w:color w:val="auto"/>
                <w:kern w:val="0"/>
              </w:rPr>
            </w:pPr>
            <w:r>
              <w:rPr>
                <w:color w:val="auto"/>
                <w:kern w:val="0"/>
              </w:rPr>
              <w:t>①企业在选购设备时购置符合国家颁布的各类机械噪声标准的低噪声设备，保证运行时能符合工业企业车间噪声卫生标准，同时能保证达到厂界噪声控制值。</w:t>
            </w:r>
          </w:p>
          <w:p w14:paraId="0380A347">
            <w:pPr>
              <w:adjustRightInd w:val="0"/>
              <w:snapToGrid w:val="0"/>
              <w:spacing w:line="360" w:lineRule="auto"/>
              <w:ind w:firstLine="420" w:firstLineChars="200"/>
              <w:rPr>
                <w:color w:val="auto"/>
                <w:kern w:val="0"/>
              </w:rPr>
            </w:pPr>
            <w:r>
              <w:rPr>
                <w:color w:val="auto"/>
                <w:kern w:val="0"/>
              </w:rPr>
              <w:t>②对噪声污染大的设备，如风机等须配置减振装置，安装隔声罩或消声器。</w:t>
            </w:r>
          </w:p>
          <w:p w14:paraId="5D476CC0">
            <w:pPr>
              <w:adjustRightInd w:val="0"/>
              <w:snapToGrid w:val="0"/>
              <w:spacing w:line="360" w:lineRule="auto"/>
              <w:ind w:firstLine="420" w:firstLineChars="200"/>
              <w:rPr>
                <w:color w:val="auto"/>
                <w:kern w:val="0"/>
              </w:rPr>
            </w:pPr>
            <w:r>
              <w:rPr>
                <w:color w:val="auto"/>
                <w:kern w:val="0"/>
              </w:rPr>
              <w:t>③在噪声传播途径上采取措施加以控制，如强噪声源车间的建筑围护结构均以封闭为主，同时采取车间外及厂界的绿化，利用建筑物与树木阻隔声音的传播。</w:t>
            </w:r>
          </w:p>
          <w:p w14:paraId="5D4624DA">
            <w:pPr>
              <w:adjustRightInd w:val="0"/>
              <w:snapToGrid w:val="0"/>
              <w:spacing w:line="360" w:lineRule="auto"/>
              <w:ind w:firstLine="420" w:firstLineChars="200"/>
              <w:rPr>
                <w:color w:val="auto"/>
                <w:kern w:val="0"/>
              </w:rPr>
            </w:pPr>
            <w:r>
              <w:rPr>
                <w:color w:val="auto"/>
                <w:kern w:val="0"/>
              </w:rPr>
              <w:fldChar w:fldCharType="begin"/>
            </w:r>
            <w:r>
              <w:rPr>
                <w:color w:val="auto"/>
                <w:kern w:val="0"/>
              </w:rPr>
              <w:instrText xml:space="preserve"> = 4 \* GB3 \* MERGEFORMAT </w:instrText>
            </w:r>
            <w:r>
              <w:rPr>
                <w:color w:val="auto"/>
                <w:kern w:val="0"/>
              </w:rPr>
              <w:fldChar w:fldCharType="separate"/>
            </w:r>
            <w:r>
              <w:rPr>
                <w:color w:val="auto"/>
                <w:kern w:val="0"/>
              </w:rPr>
              <w:t>④</w:t>
            </w:r>
            <w:r>
              <w:rPr>
                <w:color w:val="auto"/>
                <w:kern w:val="0"/>
              </w:rPr>
              <w:fldChar w:fldCharType="end"/>
            </w:r>
            <w:r>
              <w:rPr>
                <w:color w:val="auto"/>
                <w:kern w:val="0"/>
              </w:rPr>
              <w:t>项目噪声污染防治工作执行</w:t>
            </w:r>
            <w:r>
              <w:rPr>
                <w:rFonts w:hint="eastAsia"/>
                <w:color w:val="auto"/>
                <w:kern w:val="0"/>
              </w:rPr>
              <w:t>“</w:t>
            </w:r>
            <w:r>
              <w:rPr>
                <w:color w:val="auto"/>
                <w:kern w:val="0"/>
              </w:rPr>
              <w:t>三同时</w:t>
            </w:r>
            <w:r>
              <w:rPr>
                <w:rFonts w:hint="eastAsia"/>
                <w:color w:val="auto"/>
                <w:kern w:val="0"/>
              </w:rPr>
              <w:t>”</w:t>
            </w:r>
            <w:r>
              <w:rPr>
                <w:color w:val="auto"/>
                <w:kern w:val="0"/>
              </w:rPr>
              <w:t>制度。对防振垫、隔声、吸声、消声器等降噪设备应进行定期检查、维修，对不符合要求的及时更换，防止机械噪声的升高。</w:t>
            </w:r>
          </w:p>
          <w:p w14:paraId="380141A5">
            <w:pPr>
              <w:adjustRightInd w:val="0"/>
              <w:snapToGrid w:val="0"/>
              <w:spacing w:line="360" w:lineRule="auto"/>
              <w:ind w:firstLine="420" w:firstLineChars="200"/>
              <w:rPr>
                <w:color w:val="auto"/>
                <w:kern w:val="0"/>
              </w:rPr>
            </w:pPr>
            <w:r>
              <w:rPr>
                <w:color w:val="auto"/>
                <w:kern w:val="0"/>
              </w:rPr>
              <w:fldChar w:fldCharType="begin"/>
            </w:r>
            <w:r>
              <w:rPr>
                <w:color w:val="auto"/>
                <w:kern w:val="0"/>
              </w:rPr>
              <w:instrText xml:space="preserve"> = 5 \* GB3 \* MERGEFORMAT </w:instrText>
            </w:r>
            <w:r>
              <w:rPr>
                <w:color w:val="auto"/>
                <w:kern w:val="0"/>
              </w:rPr>
              <w:fldChar w:fldCharType="separate"/>
            </w:r>
            <w:r>
              <w:rPr>
                <w:color w:val="auto"/>
                <w:kern w:val="0"/>
              </w:rPr>
              <w:t>⑤</w:t>
            </w:r>
            <w:r>
              <w:rPr>
                <w:color w:val="auto"/>
                <w:kern w:val="0"/>
              </w:rPr>
              <w:fldChar w:fldCharType="end"/>
            </w:r>
            <w:r>
              <w:rPr>
                <w:color w:val="auto"/>
                <w:kern w:val="0"/>
              </w:rPr>
              <w:t>加强设备的维修保养，使设备处于最佳工作状态。</w:t>
            </w:r>
          </w:p>
          <w:p w14:paraId="6CD13382">
            <w:pPr>
              <w:widowControl/>
              <w:snapToGrid w:val="0"/>
              <w:spacing w:line="360" w:lineRule="auto"/>
              <w:ind w:firstLine="422" w:firstLineChars="200"/>
              <w:rPr>
                <w:b/>
                <w:bCs/>
                <w:color w:val="auto"/>
                <w:kern w:val="0"/>
              </w:rPr>
            </w:pPr>
            <w:r>
              <w:rPr>
                <w:rFonts w:hint="eastAsia"/>
                <w:b/>
                <w:bCs/>
                <w:color w:val="auto"/>
                <w:kern w:val="0"/>
              </w:rPr>
              <w:t>（3）达标排放分析</w:t>
            </w:r>
          </w:p>
          <w:p w14:paraId="0F82FA52">
            <w:pPr>
              <w:adjustRightInd w:val="0"/>
              <w:snapToGrid w:val="0"/>
              <w:spacing w:line="360" w:lineRule="auto"/>
              <w:ind w:firstLine="420" w:firstLineChars="200"/>
              <w:rPr>
                <w:color w:val="auto"/>
                <w:kern w:val="0"/>
              </w:rPr>
            </w:pPr>
            <w:r>
              <w:rPr>
                <w:rFonts w:hint="eastAsia" w:cs="宋体"/>
                <w:color w:val="auto"/>
                <w:kern w:val="0"/>
              </w:rPr>
              <w:t>本次环评声环境影响预测方法采用《环境影响评价技术导则声环境》（HJ2.4-2021）中工业噪声预测计算模式。预测模式如下：</w:t>
            </w:r>
          </w:p>
          <w:p w14:paraId="24791FE4">
            <w:pPr>
              <w:adjustRightInd w:val="0"/>
              <w:snapToGrid w:val="0"/>
              <w:spacing w:line="360" w:lineRule="auto"/>
              <w:ind w:firstLine="420" w:firstLineChars="200"/>
              <w:rPr>
                <w:color w:val="auto"/>
                <w:kern w:val="0"/>
              </w:rPr>
            </w:pPr>
            <w:r>
              <w:rPr>
                <w:rFonts w:hint="eastAsia" w:cs="宋体"/>
                <w:color w:val="auto"/>
                <w:kern w:val="0"/>
              </w:rPr>
              <w:t>①</w:t>
            </w:r>
            <w:r>
              <w:rPr>
                <w:color w:val="auto"/>
                <w:kern w:val="0"/>
              </w:rPr>
              <w:t>室外声源</w:t>
            </w:r>
          </w:p>
          <w:p w14:paraId="632A72A6">
            <w:pPr>
              <w:overflowPunct w:val="0"/>
              <w:adjustRightInd w:val="0"/>
              <w:snapToGrid w:val="0"/>
              <w:spacing w:line="360" w:lineRule="auto"/>
              <w:ind w:firstLine="420" w:firstLineChars="200"/>
              <w:rPr>
                <w:color w:val="auto"/>
                <w:kern w:val="0"/>
              </w:rPr>
            </w:pPr>
            <w:r>
              <w:rPr>
                <w:color w:val="auto"/>
                <w:kern w:val="0"/>
              </w:rPr>
              <w:t>户外声传播衰减包括几何发散（</w:t>
            </w:r>
            <w:r>
              <w:rPr>
                <w:i/>
                <w:iCs/>
                <w:color w:val="auto"/>
                <w:kern w:val="0"/>
              </w:rPr>
              <w:t>A</w:t>
            </w:r>
            <w:r>
              <w:rPr>
                <w:color w:val="auto"/>
                <w:kern w:val="0"/>
                <w:vertAlign w:val="subscript"/>
              </w:rPr>
              <w:t>div</w:t>
            </w:r>
            <w:r>
              <w:rPr>
                <w:color w:val="auto"/>
                <w:kern w:val="0"/>
              </w:rPr>
              <w:t>）、大气吸收（</w:t>
            </w:r>
            <w:r>
              <w:rPr>
                <w:i/>
                <w:iCs/>
                <w:color w:val="auto"/>
                <w:kern w:val="0"/>
              </w:rPr>
              <w:t>A</w:t>
            </w:r>
            <w:r>
              <w:rPr>
                <w:color w:val="auto"/>
                <w:kern w:val="0"/>
                <w:vertAlign w:val="subscript"/>
              </w:rPr>
              <w:t>atm</w:t>
            </w:r>
            <w:r>
              <w:rPr>
                <w:color w:val="auto"/>
                <w:kern w:val="0"/>
              </w:rPr>
              <w:t>）、地面效应（</w:t>
            </w:r>
            <w:r>
              <w:rPr>
                <w:i/>
                <w:iCs/>
                <w:color w:val="auto"/>
                <w:kern w:val="0"/>
              </w:rPr>
              <w:t>A</w:t>
            </w:r>
            <w:r>
              <w:rPr>
                <w:color w:val="auto"/>
                <w:kern w:val="0"/>
                <w:vertAlign w:val="subscript"/>
              </w:rPr>
              <w:t>gr</w:t>
            </w:r>
            <w:r>
              <w:rPr>
                <w:color w:val="auto"/>
                <w:kern w:val="0"/>
              </w:rPr>
              <w:t>）、障碍物屏蔽（</w:t>
            </w:r>
            <w:r>
              <w:rPr>
                <w:i/>
                <w:iCs/>
                <w:color w:val="auto"/>
                <w:kern w:val="0"/>
              </w:rPr>
              <w:t>A</w:t>
            </w:r>
            <w:r>
              <w:rPr>
                <w:color w:val="auto"/>
                <w:kern w:val="0"/>
                <w:vertAlign w:val="subscript"/>
              </w:rPr>
              <w:t>bar</w:t>
            </w:r>
            <w:r>
              <w:rPr>
                <w:color w:val="auto"/>
                <w:kern w:val="0"/>
              </w:rPr>
              <w:t>）、其他多方面效应（</w:t>
            </w:r>
            <w:r>
              <w:rPr>
                <w:i/>
                <w:iCs/>
                <w:color w:val="auto"/>
                <w:kern w:val="0"/>
              </w:rPr>
              <w:t>A</w:t>
            </w:r>
            <w:r>
              <w:rPr>
                <w:color w:val="auto"/>
                <w:kern w:val="0"/>
                <w:vertAlign w:val="subscript"/>
              </w:rPr>
              <w:t>misc</w:t>
            </w:r>
            <w:r>
              <w:rPr>
                <w:color w:val="auto"/>
                <w:kern w:val="0"/>
              </w:rPr>
              <w:t>）引起的衰减。</w:t>
            </w:r>
          </w:p>
          <w:p w14:paraId="31F27ECD">
            <w:pPr>
              <w:overflowPunct w:val="0"/>
              <w:adjustRightInd w:val="0"/>
              <w:snapToGrid w:val="0"/>
              <w:spacing w:line="360" w:lineRule="auto"/>
              <w:ind w:firstLine="420" w:firstLineChars="200"/>
              <w:rPr>
                <w:color w:val="auto"/>
                <w:kern w:val="0"/>
              </w:rPr>
            </w:pPr>
            <w:r>
              <w:rPr>
                <w:color w:val="auto"/>
                <w:kern w:val="0"/>
              </w:rPr>
              <w:t>a）在环境影响评价中，应根据声源声功率级或参考位置处的声压级、户外声传播衰减，计算预测点的声级，分别按式（A.1）或式（A.2）计算。</w:t>
            </w:r>
          </w:p>
          <w:p w14:paraId="6484F489">
            <w:pPr>
              <w:overflowPunct w:val="0"/>
              <w:adjustRightInd w:val="0"/>
              <w:snapToGrid w:val="0"/>
              <w:spacing w:line="360" w:lineRule="auto"/>
              <w:ind w:firstLine="420" w:firstLineChars="200"/>
              <w:jc w:val="center"/>
              <w:rPr>
                <w:color w:val="auto"/>
                <w:kern w:val="0"/>
              </w:rPr>
            </w:pPr>
            <w:r>
              <w:rPr>
                <w:i/>
                <w:iCs/>
                <w:color w:val="auto"/>
                <w:kern w:val="0"/>
              </w:rPr>
              <w:t>Lp</w:t>
            </w:r>
            <w:r>
              <w:rPr>
                <w:color w:val="auto"/>
                <w:kern w:val="0"/>
              </w:rPr>
              <w:t>(</w:t>
            </w:r>
            <w:r>
              <w:rPr>
                <w:i/>
                <w:iCs/>
                <w:color w:val="auto"/>
                <w:kern w:val="0"/>
              </w:rPr>
              <w:t>r</w:t>
            </w:r>
            <w:r>
              <w:rPr>
                <w:color w:val="auto"/>
                <w:kern w:val="0"/>
              </w:rPr>
              <w:t>)＝</w:t>
            </w:r>
            <w:r>
              <w:rPr>
                <w:i/>
                <w:iCs/>
                <w:color w:val="auto"/>
                <w:kern w:val="0"/>
              </w:rPr>
              <w:t>Lw</w:t>
            </w:r>
            <w:r>
              <w:rPr>
                <w:color w:val="auto"/>
                <w:kern w:val="0"/>
              </w:rPr>
              <w:t>+</w:t>
            </w:r>
            <w:r>
              <w:rPr>
                <w:i/>
                <w:iCs/>
                <w:color w:val="auto"/>
                <w:kern w:val="0"/>
              </w:rPr>
              <w:t>D</w:t>
            </w:r>
            <w:r>
              <w:rPr>
                <w:color w:val="auto"/>
                <w:kern w:val="0"/>
                <w:vertAlign w:val="subscript"/>
              </w:rPr>
              <w:t>C</w:t>
            </w:r>
            <w:r>
              <w:rPr>
                <w:color w:val="auto"/>
                <w:kern w:val="0"/>
              </w:rPr>
              <w:t>－</w:t>
            </w:r>
            <w:r>
              <w:rPr>
                <w:rFonts w:hint="eastAsia"/>
                <w:color w:val="auto"/>
                <w:kern w:val="0"/>
              </w:rPr>
              <w:t>（</w:t>
            </w:r>
            <w:r>
              <w:rPr>
                <w:i/>
                <w:iCs/>
                <w:color w:val="auto"/>
                <w:kern w:val="0"/>
              </w:rPr>
              <w:t>A</w:t>
            </w:r>
            <w:r>
              <w:rPr>
                <w:color w:val="auto"/>
                <w:kern w:val="0"/>
                <w:vertAlign w:val="subscript"/>
              </w:rPr>
              <w:t>div</w:t>
            </w:r>
            <w:r>
              <w:rPr>
                <w:color w:val="auto"/>
                <w:kern w:val="0"/>
              </w:rPr>
              <w:t>＋</w:t>
            </w:r>
            <w:r>
              <w:rPr>
                <w:i/>
                <w:iCs/>
                <w:color w:val="auto"/>
                <w:kern w:val="0"/>
              </w:rPr>
              <w:t>A</w:t>
            </w:r>
            <w:r>
              <w:rPr>
                <w:color w:val="auto"/>
                <w:kern w:val="0"/>
                <w:vertAlign w:val="subscript"/>
              </w:rPr>
              <w:t>atm</w:t>
            </w:r>
            <w:r>
              <w:rPr>
                <w:color w:val="auto"/>
                <w:kern w:val="0"/>
              </w:rPr>
              <w:t>＋</w:t>
            </w:r>
            <w:r>
              <w:rPr>
                <w:i/>
                <w:iCs/>
                <w:color w:val="auto"/>
                <w:kern w:val="0"/>
              </w:rPr>
              <w:t>A</w:t>
            </w:r>
            <w:r>
              <w:rPr>
                <w:color w:val="auto"/>
                <w:kern w:val="0"/>
                <w:vertAlign w:val="subscript"/>
              </w:rPr>
              <w:t>gr</w:t>
            </w:r>
            <w:r>
              <w:rPr>
                <w:color w:val="auto"/>
                <w:kern w:val="0"/>
              </w:rPr>
              <w:t>＋</w:t>
            </w:r>
            <w:r>
              <w:rPr>
                <w:i/>
                <w:iCs/>
                <w:color w:val="auto"/>
                <w:kern w:val="0"/>
              </w:rPr>
              <w:t>A</w:t>
            </w:r>
            <w:r>
              <w:rPr>
                <w:color w:val="auto"/>
                <w:kern w:val="0"/>
                <w:vertAlign w:val="subscript"/>
              </w:rPr>
              <w:t>bar</w:t>
            </w:r>
            <w:r>
              <w:rPr>
                <w:color w:val="auto"/>
                <w:kern w:val="0"/>
              </w:rPr>
              <w:t>＋</w:t>
            </w:r>
            <w:r>
              <w:rPr>
                <w:i/>
                <w:iCs/>
                <w:color w:val="auto"/>
                <w:kern w:val="0"/>
              </w:rPr>
              <w:t>A</w:t>
            </w:r>
            <w:r>
              <w:rPr>
                <w:color w:val="auto"/>
                <w:kern w:val="0"/>
                <w:vertAlign w:val="subscript"/>
              </w:rPr>
              <w:t>misc</w:t>
            </w:r>
            <w:r>
              <w:rPr>
                <w:rFonts w:hint="eastAsia"/>
                <w:color w:val="auto"/>
                <w:kern w:val="0"/>
              </w:rPr>
              <w:t>）</w:t>
            </w:r>
            <w:r>
              <w:rPr>
                <w:color w:val="auto"/>
                <w:kern w:val="0"/>
              </w:rPr>
              <w:t xml:space="preserve">  （A.1）</w:t>
            </w:r>
          </w:p>
          <w:p w14:paraId="6A0979B4">
            <w:pPr>
              <w:overflowPunct w:val="0"/>
              <w:adjustRightInd w:val="0"/>
              <w:snapToGrid w:val="0"/>
              <w:spacing w:line="360" w:lineRule="auto"/>
              <w:ind w:firstLine="420" w:firstLineChars="200"/>
              <w:jc w:val="center"/>
              <w:rPr>
                <w:color w:val="auto"/>
                <w:kern w:val="0"/>
              </w:rPr>
            </w:pPr>
            <w:r>
              <w:rPr>
                <w:i/>
                <w:iCs/>
                <w:color w:val="auto"/>
                <w:kern w:val="0"/>
              </w:rPr>
              <w:t>Lp</w:t>
            </w:r>
            <w:r>
              <w:rPr>
                <w:color w:val="auto"/>
                <w:kern w:val="0"/>
              </w:rPr>
              <w:t>(</w:t>
            </w:r>
            <w:r>
              <w:rPr>
                <w:i/>
                <w:iCs/>
                <w:color w:val="auto"/>
                <w:kern w:val="0"/>
              </w:rPr>
              <w:t>r</w:t>
            </w:r>
            <w:r>
              <w:rPr>
                <w:color w:val="auto"/>
                <w:kern w:val="0"/>
              </w:rPr>
              <w:t>)＝</w:t>
            </w:r>
            <w:r>
              <w:rPr>
                <w:i/>
                <w:iCs/>
                <w:color w:val="auto"/>
                <w:kern w:val="0"/>
              </w:rPr>
              <w:t>Lp</w:t>
            </w:r>
            <w:r>
              <w:rPr>
                <w:color w:val="auto"/>
                <w:kern w:val="0"/>
              </w:rPr>
              <w:t>(</w:t>
            </w:r>
            <w:r>
              <w:rPr>
                <w:i/>
                <w:iCs/>
                <w:color w:val="auto"/>
                <w:kern w:val="0"/>
              </w:rPr>
              <w:t>r</w:t>
            </w:r>
            <w:r>
              <w:rPr>
                <w:color w:val="auto"/>
                <w:kern w:val="0"/>
              </w:rPr>
              <w:t>0)+</w:t>
            </w:r>
            <w:r>
              <w:rPr>
                <w:i/>
                <w:iCs/>
                <w:color w:val="auto"/>
                <w:kern w:val="0"/>
              </w:rPr>
              <w:t>D</w:t>
            </w:r>
            <w:r>
              <w:rPr>
                <w:color w:val="auto"/>
                <w:kern w:val="0"/>
              </w:rPr>
              <w:t>C－</w:t>
            </w:r>
            <w:r>
              <w:rPr>
                <w:rFonts w:hint="eastAsia"/>
                <w:color w:val="auto"/>
                <w:kern w:val="0"/>
              </w:rPr>
              <w:t>（</w:t>
            </w:r>
            <w:r>
              <w:rPr>
                <w:i/>
                <w:iCs/>
                <w:color w:val="auto"/>
                <w:kern w:val="0"/>
              </w:rPr>
              <w:t>A</w:t>
            </w:r>
            <w:r>
              <w:rPr>
                <w:color w:val="auto"/>
                <w:kern w:val="0"/>
              </w:rPr>
              <w:t>div＋</w:t>
            </w:r>
            <w:r>
              <w:rPr>
                <w:i/>
                <w:iCs/>
                <w:color w:val="auto"/>
                <w:kern w:val="0"/>
              </w:rPr>
              <w:t>A</w:t>
            </w:r>
            <w:r>
              <w:rPr>
                <w:color w:val="auto"/>
                <w:kern w:val="0"/>
              </w:rPr>
              <w:t>atm＋</w:t>
            </w:r>
            <w:r>
              <w:rPr>
                <w:i/>
                <w:iCs/>
                <w:color w:val="auto"/>
                <w:kern w:val="0"/>
              </w:rPr>
              <w:t>A</w:t>
            </w:r>
            <w:r>
              <w:rPr>
                <w:color w:val="auto"/>
                <w:kern w:val="0"/>
              </w:rPr>
              <w:t>gr＋</w:t>
            </w:r>
            <w:r>
              <w:rPr>
                <w:i/>
                <w:iCs/>
                <w:color w:val="auto"/>
                <w:kern w:val="0"/>
              </w:rPr>
              <w:t>A</w:t>
            </w:r>
            <w:r>
              <w:rPr>
                <w:color w:val="auto"/>
                <w:kern w:val="0"/>
              </w:rPr>
              <w:t>bar＋</w:t>
            </w:r>
            <w:r>
              <w:rPr>
                <w:i/>
                <w:iCs/>
                <w:color w:val="auto"/>
                <w:kern w:val="0"/>
              </w:rPr>
              <w:t>A</w:t>
            </w:r>
            <w:r>
              <w:rPr>
                <w:color w:val="auto"/>
                <w:kern w:val="0"/>
              </w:rPr>
              <w:t>misc</w:t>
            </w:r>
            <w:r>
              <w:rPr>
                <w:rFonts w:hint="eastAsia"/>
                <w:color w:val="auto"/>
                <w:kern w:val="0"/>
              </w:rPr>
              <w:t>）</w:t>
            </w:r>
            <w:r>
              <w:rPr>
                <w:color w:val="auto"/>
                <w:kern w:val="0"/>
              </w:rPr>
              <w:t xml:space="preserve">  （A.2）</w:t>
            </w:r>
          </w:p>
          <w:p w14:paraId="379A3044">
            <w:pPr>
              <w:overflowPunct w:val="0"/>
              <w:adjustRightInd w:val="0"/>
              <w:snapToGrid w:val="0"/>
              <w:spacing w:line="360" w:lineRule="auto"/>
              <w:ind w:firstLine="420" w:firstLineChars="200"/>
              <w:rPr>
                <w:color w:val="auto"/>
                <w:kern w:val="0"/>
              </w:rPr>
            </w:pPr>
            <w:r>
              <w:rPr>
                <w:color w:val="auto"/>
                <w:kern w:val="0"/>
              </w:rPr>
              <w:t>b）预测点的A声级</w:t>
            </w:r>
            <w:r>
              <w:rPr>
                <w:i/>
                <w:iCs/>
                <w:color w:val="auto"/>
                <w:kern w:val="0"/>
              </w:rPr>
              <w:t>L</w:t>
            </w:r>
            <w:r>
              <w:rPr>
                <w:color w:val="auto"/>
                <w:kern w:val="0"/>
              </w:rPr>
              <w:t>A</w:t>
            </w:r>
            <w:r>
              <w:rPr>
                <w:rFonts w:hint="eastAsia"/>
                <w:color w:val="auto"/>
                <w:kern w:val="0"/>
              </w:rPr>
              <w:t>（</w:t>
            </w:r>
            <w:r>
              <w:rPr>
                <w:i/>
                <w:iCs/>
                <w:color w:val="auto"/>
                <w:kern w:val="0"/>
              </w:rPr>
              <w:t>r</w:t>
            </w:r>
            <w:r>
              <w:rPr>
                <w:rFonts w:hint="eastAsia"/>
                <w:color w:val="auto"/>
                <w:kern w:val="0"/>
              </w:rPr>
              <w:t>）</w:t>
            </w:r>
            <w:r>
              <w:rPr>
                <w:color w:val="auto"/>
                <w:kern w:val="0"/>
              </w:rPr>
              <w:t>可按式（A.3）计算，即将8个倍频带声压级合成，计算出预测点的A声级[</w:t>
            </w:r>
            <w:r>
              <w:rPr>
                <w:i/>
                <w:iCs/>
                <w:color w:val="auto"/>
                <w:kern w:val="0"/>
              </w:rPr>
              <w:t>L</w:t>
            </w:r>
            <w:r>
              <w:rPr>
                <w:color w:val="auto"/>
                <w:kern w:val="0"/>
              </w:rPr>
              <w:t>A</w:t>
            </w:r>
            <w:r>
              <w:rPr>
                <w:rFonts w:hint="eastAsia"/>
                <w:color w:val="auto"/>
                <w:kern w:val="0"/>
              </w:rPr>
              <w:t>（</w:t>
            </w:r>
            <w:r>
              <w:rPr>
                <w:i/>
                <w:iCs/>
                <w:color w:val="auto"/>
                <w:kern w:val="0"/>
              </w:rPr>
              <w:t>r</w:t>
            </w:r>
            <w:r>
              <w:rPr>
                <w:rFonts w:hint="eastAsia"/>
                <w:color w:val="auto"/>
                <w:kern w:val="0"/>
              </w:rPr>
              <w:t>）</w:t>
            </w:r>
            <w:r>
              <w:rPr>
                <w:color w:val="auto"/>
                <w:kern w:val="0"/>
              </w:rPr>
              <w:t>]。</w:t>
            </w:r>
          </w:p>
          <w:p w14:paraId="6FFFDB35">
            <w:pPr>
              <w:pStyle w:val="23"/>
              <w:jc w:val="center"/>
              <w:rPr>
                <w:color w:val="auto"/>
                <w:sz w:val="21"/>
                <w:szCs w:val="21"/>
              </w:rPr>
            </w:pPr>
            <w:r>
              <w:rPr>
                <w:color w:val="auto"/>
                <w:sz w:val="21"/>
                <w:szCs w:val="21"/>
              </w:rPr>
              <w:drawing>
                <wp:inline distT="0" distB="0" distL="114300" distR="114300">
                  <wp:extent cx="4229100" cy="581025"/>
                  <wp:effectExtent l="0" t="0" r="0" b="9525"/>
                  <wp:docPr id="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1"/>
                          <pic:cNvPicPr>
                            <a:picLocks noChangeAspect="1"/>
                          </pic:cNvPicPr>
                        </pic:nvPicPr>
                        <pic:blipFill>
                          <a:blip r:embed="rId27"/>
                          <a:stretch>
                            <a:fillRect/>
                          </a:stretch>
                        </pic:blipFill>
                        <pic:spPr>
                          <a:xfrm>
                            <a:off x="0" y="0"/>
                            <a:ext cx="4229100" cy="581025"/>
                          </a:xfrm>
                          <a:prstGeom prst="rect">
                            <a:avLst/>
                          </a:prstGeom>
                          <a:noFill/>
                          <a:ln>
                            <a:noFill/>
                          </a:ln>
                        </pic:spPr>
                      </pic:pic>
                    </a:graphicData>
                  </a:graphic>
                </wp:inline>
              </w:drawing>
            </w:r>
          </w:p>
          <w:p w14:paraId="4162D0B1">
            <w:pPr>
              <w:overflowPunct w:val="0"/>
              <w:adjustRightInd w:val="0"/>
              <w:snapToGrid w:val="0"/>
              <w:spacing w:line="360" w:lineRule="auto"/>
              <w:ind w:firstLine="420" w:firstLineChars="200"/>
              <w:rPr>
                <w:color w:val="auto"/>
                <w:kern w:val="0"/>
              </w:rPr>
            </w:pPr>
            <w:r>
              <w:rPr>
                <w:color w:val="auto"/>
                <w:kern w:val="0"/>
              </w:rPr>
              <w:t>c）在只考虑几何发散衰减时，可按式（A.4）计算。</w:t>
            </w:r>
          </w:p>
          <w:p w14:paraId="75FD8B11">
            <w:pPr>
              <w:overflowPunct w:val="0"/>
              <w:adjustRightInd w:val="0"/>
              <w:snapToGrid w:val="0"/>
              <w:spacing w:line="360" w:lineRule="auto"/>
              <w:jc w:val="center"/>
              <w:rPr>
                <w:color w:val="auto"/>
                <w:kern w:val="0"/>
              </w:rPr>
            </w:pPr>
            <w:r>
              <w:rPr>
                <w:color w:val="auto"/>
                <w:kern w:val="0"/>
              </w:rPr>
              <w:drawing>
                <wp:inline distT="0" distB="0" distL="114300" distR="114300">
                  <wp:extent cx="3810000" cy="304800"/>
                  <wp:effectExtent l="0" t="0" r="0" b="0"/>
                  <wp:docPr id="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2"/>
                          <pic:cNvPicPr>
                            <a:picLocks noChangeAspect="1"/>
                          </pic:cNvPicPr>
                        </pic:nvPicPr>
                        <pic:blipFill>
                          <a:blip r:embed="rId28"/>
                          <a:stretch>
                            <a:fillRect/>
                          </a:stretch>
                        </pic:blipFill>
                        <pic:spPr>
                          <a:xfrm>
                            <a:off x="0" y="0"/>
                            <a:ext cx="3810000" cy="304800"/>
                          </a:xfrm>
                          <a:prstGeom prst="rect">
                            <a:avLst/>
                          </a:prstGeom>
                          <a:noFill/>
                          <a:ln>
                            <a:noFill/>
                          </a:ln>
                        </pic:spPr>
                      </pic:pic>
                    </a:graphicData>
                  </a:graphic>
                </wp:inline>
              </w:drawing>
            </w:r>
          </w:p>
          <w:p w14:paraId="232EE15D">
            <w:pPr>
              <w:adjustRightInd w:val="0"/>
              <w:snapToGrid w:val="0"/>
              <w:spacing w:line="360" w:lineRule="auto"/>
              <w:ind w:firstLine="420" w:firstLineChars="200"/>
              <w:rPr>
                <w:color w:val="auto"/>
                <w:kern w:val="0"/>
              </w:rPr>
            </w:pPr>
            <w:r>
              <w:rPr>
                <w:rFonts w:hint="eastAsia" w:cs="宋体"/>
                <w:color w:val="auto"/>
                <w:kern w:val="0"/>
              </w:rPr>
              <w:t>②</w:t>
            </w:r>
            <w:r>
              <w:rPr>
                <w:color w:val="auto"/>
                <w:kern w:val="0"/>
              </w:rPr>
              <w:t>室内点声源</w:t>
            </w:r>
          </w:p>
          <w:p w14:paraId="78311A3F">
            <w:pPr>
              <w:overflowPunct w:val="0"/>
              <w:adjustRightInd w:val="0"/>
              <w:snapToGrid w:val="0"/>
              <w:spacing w:line="360" w:lineRule="auto"/>
              <w:ind w:firstLine="420" w:firstLineChars="200"/>
              <w:rPr>
                <w:color w:val="auto"/>
                <w:kern w:val="0"/>
              </w:rPr>
            </w:pPr>
            <w:r>
              <w:rPr>
                <w:color w:val="auto"/>
                <w:kern w:val="0"/>
              </w:rPr>
              <w:t>声源位于室内，室内声源可采用等效室外声源声功率级法进行计算。设靠近开口处（或窗户）室内、室外某倍频带的声压级或A声级分别为</w:t>
            </w:r>
            <w:r>
              <w:rPr>
                <w:i/>
                <w:iCs/>
                <w:color w:val="auto"/>
                <w:kern w:val="0"/>
              </w:rPr>
              <w:t>Lp1</w:t>
            </w:r>
            <w:r>
              <w:rPr>
                <w:color w:val="auto"/>
                <w:kern w:val="0"/>
              </w:rPr>
              <w:t>和</w:t>
            </w:r>
            <w:r>
              <w:rPr>
                <w:i/>
                <w:iCs/>
                <w:color w:val="auto"/>
                <w:kern w:val="0"/>
              </w:rPr>
              <w:t>Lp2</w:t>
            </w:r>
            <w:r>
              <w:rPr>
                <w:color w:val="auto"/>
                <w:kern w:val="0"/>
              </w:rPr>
              <w:t>。若声源所在室内声场为近似扩散声场，则室外的倍频带声压级可按式（B.1）近似求出：</w:t>
            </w:r>
          </w:p>
          <w:p w14:paraId="68FFC056">
            <w:pPr>
              <w:overflowPunct w:val="0"/>
              <w:adjustRightInd w:val="0"/>
              <w:snapToGrid w:val="0"/>
              <w:spacing w:line="360" w:lineRule="auto"/>
              <w:jc w:val="center"/>
              <w:rPr>
                <w:color w:val="auto"/>
                <w:kern w:val="0"/>
              </w:rPr>
            </w:pPr>
            <w:r>
              <w:rPr>
                <w:color w:val="auto"/>
                <w:kern w:val="0"/>
              </w:rPr>
              <w:drawing>
                <wp:inline distT="0" distB="0" distL="114300" distR="114300">
                  <wp:extent cx="3790950" cy="390525"/>
                  <wp:effectExtent l="0" t="0" r="0" b="9525"/>
                  <wp:docPr id="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3"/>
                          <pic:cNvPicPr>
                            <a:picLocks noChangeAspect="1"/>
                          </pic:cNvPicPr>
                        </pic:nvPicPr>
                        <pic:blipFill>
                          <a:blip r:embed="rId29"/>
                          <a:stretch>
                            <a:fillRect/>
                          </a:stretch>
                        </pic:blipFill>
                        <pic:spPr>
                          <a:xfrm>
                            <a:off x="0" y="0"/>
                            <a:ext cx="3790950" cy="390525"/>
                          </a:xfrm>
                          <a:prstGeom prst="rect">
                            <a:avLst/>
                          </a:prstGeom>
                          <a:noFill/>
                          <a:ln>
                            <a:noFill/>
                          </a:ln>
                        </pic:spPr>
                      </pic:pic>
                    </a:graphicData>
                  </a:graphic>
                </wp:inline>
              </w:drawing>
            </w:r>
          </w:p>
          <w:p w14:paraId="3F8FF332">
            <w:pPr>
              <w:overflowPunct w:val="0"/>
              <w:adjustRightInd w:val="0"/>
              <w:snapToGrid w:val="0"/>
              <w:spacing w:line="360" w:lineRule="auto"/>
              <w:ind w:firstLine="420" w:firstLineChars="200"/>
              <w:rPr>
                <w:color w:val="auto"/>
                <w:kern w:val="0"/>
              </w:rPr>
            </w:pPr>
            <w:r>
              <w:rPr>
                <w:color w:val="auto"/>
                <w:kern w:val="0"/>
              </w:rPr>
              <w:t>也可按式（B.2）计算某一室内声源靠近围护结构处产生的倍频带声压级或A声级：</w:t>
            </w:r>
          </w:p>
          <w:p w14:paraId="542D8E0F">
            <w:pPr>
              <w:pStyle w:val="23"/>
              <w:jc w:val="center"/>
              <w:rPr>
                <w:color w:val="auto"/>
                <w:sz w:val="21"/>
                <w:szCs w:val="21"/>
              </w:rPr>
            </w:pPr>
            <w:r>
              <w:rPr>
                <w:color w:val="auto"/>
                <w:sz w:val="21"/>
                <w:szCs w:val="21"/>
              </w:rPr>
              <w:drawing>
                <wp:inline distT="0" distB="0" distL="114300" distR="114300">
                  <wp:extent cx="3810000" cy="428625"/>
                  <wp:effectExtent l="0" t="0" r="0" b="9525"/>
                  <wp:docPr id="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4"/>
                          <pic:cNvPicPr>
                            <a:picLocks noChangeAspect="1"/>
                          </pic:cNvPicPr>
                        </pic:nvPicPr>
                        <pic:blipFill>
                          <a:blip r:embed="rId30"/>
                          <a:stretch>
                            <a:fillRect/>
                          </a:stretch>
                        </pic:blipFill>
                        <pic:spPr>
                          <a:xfrm>
                            <a:off x="0" y="0"/>
                            <a:ext cx="3810000" cy="428625"/>
                          </a:xfrm>
                          <a:prstGeom prst="rect">
                            <a:avLst/>
                          </a:prstGeom>
                          <a:noFill/>
                          <a:ln>
                            <a:noFill/>
                          </a:ln>
                        </pic:spPr>
                      </pic:pic>
                    </a:graphicData>
                  </a:graphic>
                </wp:inline>
              </w:drawing>
            </w:r>
          </w:p>
          <w:p w14:paraId="57D1F310">
            <w:pPr>
              <w:overflowPunct w:val="0"/>
              <w:adjustRightInd w:val="0"/>
              <w:snapToGrid w:val="0"/>
              <w:spacing w:line="360" w:lineRule="auto"/>
              <w:ind w:firstLine="420" w:firstLineChars="200"/>
              <w:rPr>
                <w:color w:val="auto"/>
                <w:kern w:val="0"/>
              </w:rPr>
            </w:pPr>
            <w:r>
              <w:rPr>
                <w:color w:val="auto"/>
                <w:kern w:val="0"/>
              </w:rPr>
              <w:t>然后按式（B.3）计算出所有室内声源在围护结构处产生的</w:t>
            </w:r>
            <w:r>
              <w:rPr>
                <w:i/>
                <w:iCs/>
                <w:color w:val="auto"/>
                <w:kern w:val="0"/>
              </w:rPr>
              <w:t>i</w:t>
            </w:r>
            <w:r>
              <w:rPr>
                <w:color w:val="auto"/>
                <w:kern w:val="0"/>
              </w:rPr>
              <w:t>倍频带叠加声压级：</w:t>
            </w:r>
          </w:p>
          <w:p w14:paraId="5B0119AA">
            <w:pPr>
              <w:pStyle w:val="23"/>
              <w:jc w:val="center"/>
              <w:rPr>
                <w:color w:val="auto"/>
                <w:sz w:val="21"/>
                <w:szCs w:val="21"/>
              </w:rPr>
            </w:pPr>
            <w:r>
              <w:rPr>
                <w:color w:val="auto"/>
                <w:sz w:val="21"/>
                <w:szCs w:val="21"/>
              </w:rPr>
              <w:drawing>
                <wp:inline distT="0" distB="0" distL="114300" distR="114300">
                  <wp:extent cx="3790950" cy="466725"/>
                  <wp:effectExtent l="0" t="0" r="0" b="9525"/>
                  <wp:docPr id="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5"/>
                          <pic:cNvPicPr>
                            <a:picLocks noChangeAspect="1"/>
                          </pic:cNvPicPr>
                        </pic:nvPicPr>
                        <pic:blipFill>
                          <a:blip r:embed="rId31"/>
                          <a:stretch>
                            <a:fillRect/>
                          </a:stretch>
                        </pic:blipFill>
                        <pic:spPr>
                          <a:xfrm>
                            <a:off x="0" y="0"/>
                            <a:ext cx="3790950" cy="466725"/>
                          </a:xfrm>
                          <a:prstGeom prst="rect">
                            <a:avLst/>
                          </a:prstGeom>
                          <a:noFill/>
                          <a:ln>
                            <a:noFill/>
                          </a:ln>
                        </pic:spPr>
                      </pic:pic>
                    </a:graphicData>
                  </a:graphic>
                </wp:inline>
              </w:drawing>
            </w:r>
          </w:p>
          <w:p w14:paraId="407D4346">
            <w:pPr>
              <w:overflowPunct w:val="0"/>
              <w:adjustRightInd w:val="0"/>
              <w:snapToGrid w:val="0"/>
              <w:spacing w:line="360" w:lineRule="auto"/>
              <w:ind w:firstLine="420" w:firstLineChars="200"/>
              <w:rPr>
                <w:color w:val="auto"/>
                <w:kern w:val="0"/>
              </w:rPr>
            </w:pPr>
            <w:r>
              <w:rPr>
                <w:color w:val="auto"/>
                <w:kern w:val="0"/>
              </w:rPr>
              <w:t>在室内近似为扩散声场时，按式（B.4）计算出靠近室外围护结构处的声压级：</w:t>
            </w:r>
          </w:p>
          <w:p w14:paraId="3959BB67">
            <w:pPr>
              <w:pStyle w:val="23"/>
              <w:jc w:val="center"/>
              <w:rPr>
                <w:color w:val="auto"/>
                <w:sz w:val="21"/>
                <w:szCs w:val="21"/>
              </w:rPr>
            </w:pPr>
            <w:r>
              <w:rPr>
                <w:color w:val="auto"/>
                <w:sz w:val="21"/>
                <w:szCs w:val="21"/>
              </w:rPr>
              <w:drawing>
                <wp:inline distT="0" distB="0" distL="114300" distR="114300">
                  <wp:extent cx="4057650" cy="381000"/>
                  <wp:effectExtent l="0" t="0" r="0" b="0"/>
                  <wp:docPr id="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6"/>
                          <pic:cNvPicPr>
                            <a:picLocks noChangeAspect="1"/>
                          </pic:cNvPicPr>
                        </pic:nvPicPr>
                        <pic:blipFill>
                          <a:blip r:embed="rId32"/>
                          <a:stretch>
                            <a:fillRect/>
                          </a:stretch>
                        </pic:blipFill>
                        <pic:spPr>
                          <a:xfrm>
                            <a:off x="0" y="0"/>
                            <a:ext cx="4057650" cy="381000"/>
                          </a:xfrm>
                          <a:prstGeom prst="rect">
                            <a:avLst/>
                          </a:prstGeom>
                          <a:noFill/>
                          <a:ln>
                            <a:noFill/>
                          </a:ln>
                        </pic:spPr>
                      </pic:pic>
                    </a:graphicData>
                  </a:graphic>
                </wp:inline>
              </w:drawing>
            </w:r>
          </w:p>
          <w:p w14:paraId="30AD2AA7">
            <w:pPr>
              <w:overflowPunct w:val="0"/>
              <w:adjustRightInd w:val="0"/>
              <w:snapToGrid w:val="0"/>
              <w:spacing w:line="360" w:lineRule="auto"/>
              <w:ind w:firstLine="420" w:firstLineChars="200"/>
              <w:rPr>
                <w:color w:val="auto"/>
                <w:kern w:val="0"/>
              </w:rPr>
            </w:pPr>
            <w:r>
              <w:rPr>
                <w:color w:val="auto"/>
                <w:kern w:val="0"/>
              </w:rPr>
              <w:t>然后按式（B.5）将室外声源的声压级和透过面积换算成等效的室外声源，计算出中心位置位于透声面积（</w:t>
            </w:r>
            <w:r>
              <w:rPr>
                <w:i/>
                <w:iCs/>
                <w:color w:val="auto"/>
                <w:kern w:val="0"/>
              </w:rPr>
              <w:t>S</w:t>
            </w:r>
            <w:r>
              <w:rPr>
                <w:color w:val="auto"/>
                <w:kern w:val="0"/>
              </w:rPr>
              <w:t>）处的等效声源的倍频带声功率级。</w:t>
            </w:r>
          </w:p>
          <w:p w14:paraId="1CFE0A88">
            <w:pPr>
              <w:pStyle w:val="23"/>
              <w:jc w:val="center"/>
              <w:rPr>
                <w:color w:val="auto"/>
                <w:sz w:val="21"/>
                <w:szCs w:val="21"/>
              </w:rPr>
            </w:pPr>
            <w:r>
              <w:rPr>
                <w:color w:val="auto"/>
                <w:sz w:val="21"/>
                <w:szCs w:val="21"/>
              </w:rPr>
              <w:drawing>
                <wp:inline distT="0" distB="0" distL="114300" distR="114300">
                  <wp:extent cx="4038600" cy="295275"/>
                  <wp:effectExtent l="0" t="0" r="0" b="9525"/>
                  <wp:docPr id="1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7"/>
                          <pic:cNvPicPr>
                            <a:picLocks noChangeAspect="1"/>
                          </pic:cNvPicPr>
                        </pic:nvPicPr>
                        <pic:blipFill>
                          <a:blip r:embed="rId33"/>
                          <a:stretch>
                            <a:fillRect/>
                          </a:stretch>
                        </pic:blipFill>
                        <pic:spPr>
                          <a:xfrm>
                            <a:off x="0" y="0"/>
                            <a:ext cx="4038600" cy="295275"/>
                          </a:xfrm>
                          <a:prstGeom prst="rect">
                            <a:avLst/>
                          </a:prstGeom>
                          <a:noFill/>
                          <a:ln>
                            <a:noFill/>
                          </a:ln>
                        </pic:spPr>
                      </pic:pic>
                    </a:graphicData>
                  </a:graphic>
                </wp:inline>
              </w:drawing>
            </w:r>
          </w:p>
          <w:p w14:paraId="72DC927D">
            <w:pPr>
              <w:adjustRightInd w:val="0"/>
              <w:snapToGrid w:val="0"/>
              <w:spacing w:line="360" w:lineRule="auto"/>
              <w:ind w:firstLine="420" w:firstLineChars="200"/>
              <w:rPr>
                <w:color w:val="auto"/>
                <w:kern w:val="0"/>
              </w:rPr>
            </w:pPr>
            <w:r>
              <w:rPr>
                <w:color w:val="auto"/>
                <w:kern w:val="0"/>
              </w:rPr>
              <w:t>然后按室外声源预测方法计算预测点处的A声级。</w:t>
            </w:r>
          </w:p>
          <w:p w14:paraId="33E46326">
            <w:pPr>
              <w:adjustRightInd w:val="0"/>
              <w:snapToGrid w:val="0"/>
              <w:spacing w:line="360" w:lineRule="auto"/>
              <w:ind w:firstLine="420" w:firstLineChars="200"/>
              <w:rPr>
                <w:color w:val="auto"/>
                <w:kern w:val="0"/>
              </w:rPr>
            </w:pPr>
            <w:r>
              <w:rPr>
                <w:rFonts w:hint="eastAsia" w:cs="宋体"/>
                <w:color w:val="auto"/>
                <w:kern w:val="0"/>
              </w:rPr>
              <w:t>③</w:t>
            </w:r>
            <w:r>
              <w:rPr>
                <w:color w:val="auto"/>
                <w:kern w:val="0"/>
              </w:rPr>
              <w:t>噪声贡献值计算</w:t>
            </w:r>
          </w:p>
          <w:p w14:paraId="7F46D992">
            <w:pPr>
              <w:adjustRightInd w:val="0"/>
              <w:snapToGrid w:val="0"/>
              <w:spacing w:line="360" w:lineRule="auto"/>
              <w:ind w:firstLine="420" w:firstLineChars="200"/>
              <w:rPr>
                <w:color w:val="auto"/>
                <w:kern w:val="0"/>
              </w:rPr>
            </w:pPr>
            <w:r>
              <w:rPr>
                <w:color w:val="auto"/>
                <w:kern w:val="0"/>
              </w:rPr>
              <w:t>设第</w:t>
            </w:r>
            <w:r>
              <w:rPr>
                <w:i/>
                <w:color w:val="auto"/>
                <w:kern w:val="0"/>
              </w:rPr>
              <w:t>i</w:t>
            </w:r>
            <w:r>
              <w:rPr>
                <w:color w:val="auto"/>
                <w:kern w:val="0"/>
              </w:rPr>
              <w:t>个室外声源在预测点产生的A声级为</w:t>
            </w:r>
            <w:r>
              <w:rPr>
                <w:i/>
                <w:color w:val="auto"/>
                <w:kern w:val="0"/>
              </w:rPr>
              <w:t>L</w:t>
            </w:r>
            <w:r>
              <w:rPr>
                <w:i/>
                <w:color w:val="auto"/>
                <w:kern w:val="0"/>
                <w:vertAlign w:val="subscript"/>
              </w:rPr>
              <w:t>Ai</w:t>
            </w:r>
            <w:r>
              <w:rPr>
                <w:color w:val="auto"/>
                <w:kern w:val="0"/>
              </w:rPr>
              <w:t>，在</w:t>
            </w:r>
            <w:r>
              <w:rPr>
                <w:i/>
                <w:color w:val="auto"/>
                <w:kern w:val="0"/>
              </w:rPr>
              <w:t>T</w:t>
            </w:r>
            <w:r>
              <w:rPr>
                <w:color w:val="auto"/>
                <w:kern w:val="0"/>
              </w:rPr>
              <w:t>时间内该声源工作时间为</w:t>
            </w:r>
            <w:r>
              <w:rPr>
                <w:i/>
                <w:color w:val="auto"/>
                <w:kern w:val="0"/>
              </w:rPr>
              <w:t>t</w:t>
            </w:r>
            <w:r>
              <w:rPr>
                <w:i/>
                <w:color w:val="auto"/>
                <w:kern w:val="0"/>
                <w:vertAlign w:val="subscript"/>
              </w:rPr>
              <w:t>i</w:t>
            </w:r>
            <w:r>
              <w:rPr>
                <w:color w:val="auto"/>
                <w:kern w:val="0"/>
              </w:rPr>
              <w:t>；第</w:t>
            </w:r>
            <w:r>
              <w:rPr>
                <w:i/>
                <w:color w:val="auto"/>
                <w:kern w:val="0"/>
              </w:rPr>
              <w:t>j</w:t>
            </w:r>
            <w:r>
              <w:rPr>
                <w:color w:val="auto"/>
                <w:kern w:val="0"/>
              </w:rPr>
              <w:t>个等效室外声源在预测点产生的A声级为L</w:t>
            </w:r>
            <w:r>
              <w:rPr>
                <w:i/>
                <w:color w:val="auto"/>
                <w:kern w:val="0"/>
                <w:vertAlign w:val="subscript"/>
              </w:rPr>
              <w:t>Aj</w:t>
            </w:r>
            <w:r>
              <w:rPr>
                <w:color w:val="auto"/>
                <w:kern w:val="0"/>
              </w:rPr>
              <w:t>，在</w:t>
            </w:r>
            <w:r>
              <w:rPr>
                <w:i/>
                <w:color w:val="auto"/>
                <w:kern w:val="0"/>
              </w:rPr>
              <w:t>T</w:t>
            </w:r>
            <w:r>
              <w:rPr>
                <w:color w:val="auto"/>
                <w:kern w:val="0"/>
              </w:rPr>
              <w:t>时间内该声源工作时间为</w:t>
            </w:r>
            <w:r>
              <w:rPr>
                <w:i/>
                <w:color w:val="auto"/>
                <w:kern w:val="0"/>
              </w:rPr>
              <w:t>t</w:t>
            </w:r>
            <w:r>
              <w:rPr>
                <w:i/>
                <w:color w:val="auto"/>
                <w:kern w:val="0"/>
                <w:vertAlign w:val="subscript"/>
              </w:rPr>
              <w:t>j</w:t>
            </w:r>
            <w:r>
              <w:rPr>
                <w:color w:val="auto"/>
                <w:kern w:val="0"/>
              </w:rPr>
              <w:t>，则拟建工程声源对预测点产生的贡献值为：</w:t>
            </w:r>
          </w:p>
          <w:p w14:paraId="64359288">
            <w:pPr>
              <w:autoSpaceDE w:val="0"/>
              <w:autoSpaceDN w:val="0"/>
              <w:adjustRightInd w:val="0"/>
              <w:snapToGrid w:val="0"/>
              <w:spacing w:line="360" w:lineRule="auto"/>
              <w:jc w:val="center"/>
              <w:rPr>
                <w:color w:val="auto"/>
                <w:kern w:val="0"/>
              </w:rPr>
            </w:pPr>
            <w:r>
              <w:rPr>
                <w:color w:val="auto"/>
                <w:kern w:val="0"/>
              </w:rPr>
              <w:object>
                <v:shape id="_x0000_i1033" o:spt="75" type="#_x0000_t75" style="height:39.75pt;width:206.25pt;" o:ole="t" filled="f" o:preferrelative="t" stroked="f" coordsize="21600,21600">
                  <v:path/>
                  <v:fill on="f" focussize="0,0"/>
                  <v:stroke on="f" joinstyle="miter"/>
                  <v:imagedata r:id="rId35" o:title=""/>
                  <o:lock v:ext="edit" aspectratio="t"/>
                  <w10:wrap type="none"/>
                  <w10:anchorlock/>
                </v:shape>
                <o:OLEObject Type="Embed" ProgID="Equation.DSMT4" ShapeID="_x0000_i1033" DrawAspect="Content" ObjectID="_1468075733" r:id="rId34">
                  <o:LockedField>false</o:LockedField>
                </o:OLEObject>
              </w:object>
            </w:r>
          </w:p>
          <w:p w14:paraId="374EE4B2">
            <w:pPr>
              <w:adjustRightInd w:val="0"/>
              <w:snapToGrid w:val="0"/>
              <w:spacing w:line="360" w:lineRule="auto"/>
              <w:ind w:firstLine="420" w:firstLineChars="200"/>
              <w:rPr>
                <w:color w:val="auto"/>
                <w:kern w:val="0"/>
              </w:rPr>
            </w:pPr>
            <w:r>
              <w:rPr>
                <w:rFonts w:hint="eastAsia" w:cs="宋体"/>
                <w:color w:val="auto"/>
                <w:kern w:val="0"/>
              </w:rPr>
              <w:t>④</w:t>
            </w:r>
            <w:r>
              <w:rPr>
                <w:color w:val="auto"/>
                <w:kern w:val="0"/>
              </w:rPr>
              <w:t>预测值计算</w:t>
            </w:r>
          </w:p>
          <w:p w14:paraId="054602A4">
            <w:pPr>
              <w:adjustRightInd w:val="0"/>
              <w:snapToGrid w:val="0"/>
              <w:spacing w:line="360" w:lineRule="auto"/>
              <w:ind w:firstLine="420" w:firstLineChars="200"/>
              <w:rPr>
                <w:color w:val="auto"/>
                <w:kern w:val="0"/>
              </w:rPr>
            </w:pPr>
            <w:r>
              <w:rPr>
                <w:color w:val="auto"/>
                <w:kern w:val="0"/>
              </w:rPr>
              <w:t>预测点的预测等效声级为：</w:t>
            </w:r>
          </w:p>
          <w:p w14:paraId="70CCA739">
            <w:pPr>
              <w:autoSpaceDE w:val="0"/>
              <w:autoSpaceDN w:val="0"/>
              <w:adjustRightInd w:val="0"/>
              <w:snapToGrid w:val="0"/>
              <w:spacing w:line="360" w:lineRule="auto"/>
              <w:jc w:val="center"/>
              <w:rPr>
                <w:color w:val="auto"/>
                <w:kern w:val="0"/>
              </w:rPr>
            </w:pPr>
            <w:r>
              <w:rPr>
                <w:color w:val="auto"/>
                <w:kern w:val="0"/>
              </w:rPr>
              <w:object>
                <v:shape id="_x0000_i1034" o:spt="75" type="#_x0000_t75" style="height:24pt;width:138.75pt;" o:ole="t" filled="f" o:preferrelative="t" stroked="f" coordsize="21600,21600">
                  <v:path/>
                  <v:fill on="f" focussize="0,0"/>
                  <v:stroke on="f" joinstyle="miter"/>
                  <v:imagedata r:id="rId37" o:title=""/>
                  <o:lock v:ext="edit" aspectratio="t"/>
                  <w10:wrap type="none"/>
                  <w10:anchorlock/>
                </v:shape>
                <o:OLEObject Type="Embed" ProgID="Equation.DSMT4" ShapeID="_x0000_i1034" DrawAspect="Content" ObjectID="_1468075734" r:id="rId36">
                  <o:LockedField>false</o:LockedField>
                </o:OLEObject>
              </w:object>
            </w:r>
          </w:p>
          <w:p w14:paraId="4E7BBD1F">
            <w:pPr>
              <w:adjustRightInd w:val="0"/>
              <w:snapToGrid w:val="0"/>
              <w:spacing w:line="360" w:lineRule="auto"/>
              <w:ind w:firstLine="420" w:firstLineChars="200"/>
              <w:rPr>
                <w:color w:val="auto"/>
                <w:kern w:val="0"/>
              </w:rPr>
            </w:pPr>
            <w:r>
              <w:rPr>
                <w:color w:val="auto"/>
                <w:kern w:val="0"/>
              </w:rPr>
              <w:t>上式中各符号的意义和单位见HJ2.4-2021。</w:t>
            </w:r>
          </w:p>
          <w:p w14:paraId="29ECE628">
            <w:pPr>
              <w:adjustRightInd w:val="0"/>
              <w:snapToGrid w:val="0"/>
              <w:spacing w:line="360" w:lineRule="auto"/>
              <w:ind w:firstLine="420" w:firstLineChars="200"/>
              <w:jc w:val="left"/>
              <w:rPr>
                <w:color w:val="auto"/>
                <w:kern w:val="0"/>
              </w:rPr>
            </w:pPr>
            <w:r>
              <w:rPr>
                <w:color w:val="auto"/>
                <w:kern w:val="0"/>
              </w:rPr>
              <w:t>在采取相应降噪措施后，本项目噪声源强分析如下表所示。</w:t>
            </w:r>
          </w:p>
          <w:p w14:paraId="74F76D18">
            <w:pPr>
              <w:pStyle w:val="674"/>
              <w:snapToGrid w:val="0"/>
              <w:jc w:val="both"/>
              <w:rPr>
                <w:rFonts w:ascii="Times New Roman" w:hAnsi="Times New Roman" w:cs="Times New Roman"/>
                <w:b/>
                <w:bCs/>
                <w:color w:val="auto"/>
                <w:sz w:val="21"/>
                <w:szCs w:val="21"/>
              </w:rPr>
            </w:pPr>
          </w:p>
          <w:p w14:paraId="7D726B3F">
            <w:pPr>
              <w:pStyle w:val="674"/>
              <w:snapToGrid w:val="0"/>
              <w:jc w:val="center"/>
              <w:rPr>
                <w:rFonts w:ascii="Times New Roman" w:hAnsi="Times New Roman" w:cs="Times New Roman"/>
                <w:bCs/>
                <w:color w:val="auto"/>
                <w:sz w:val="21"/>
                <w:szCs w:val="21"/>
              </w:rPr>
            </w:pPr>
            <w:r>
              <w:rPr>
                <w:rFonts w:ascii="Times New Roman" w:hAnsi="Times New Roman" w:cs="Times New Roman"/>
                <w:b/>
                <w:bCs/>
                <w:color w:val="auto"/>
                <w:sz w:val="21"/>
                <w:szCs w:val="21"/>
              </w:rPr>
              <w:t>表4-</w:t>
            </w:r>
            <w:r>
              <w:rPr>
                <w:rFonts w:hint="eastAsia" w:ascii="Times New Roman" w:hAnsi="Times New Roman" w:cs="Times New Roman"/>
                <w:b/>
                <w:bCs/>
                <w:color w:val="auto"/>
                <w:sz w:val="21"/>
                <w:szCs w:val="21"/>
              </w:rPr>
              <w:t>2</w:t>
            </w:r>
            <w:r>
              <w:rPr>
                <w:rFonts w:hint="eastAsia" w:ascii="Times New Roman" w:hAnsi="Times New Roman" w:cs="Times New Roman"/>
                <w:b/>
                <w:bCs/>
                <w:color w:val="auto"/>
                <w:sz w:val="21"/>
                <w:szCs w:val="21"/>
                <w:lang w:val="en-US" w:eastAsia="zh-CN"/>
              </w:rPr>
              <w:t>0</w:t>
            </w:r>
            <w:r>
              <w:rPr>
                <w:rFonts w:ascii="Times New Roman" w:hAnsi="Times New Roman" w:cs="Times New Roman"/>
                <w:b/>
                <w:bCs/>
                <w:color w:val="auto"/>
                <w:sz w:val="21"/>
                <w:szCs w:val="21"/>
              </w:rPr>
              <w:t xml:space="preserve">   本项目噪声</w:t>
            </w:r>
            <w:r>
              <w:rPr>
                <w:rFonts w:hint="eastAsia" w:ascii="Times New Roman" w:hAnsi="Times New Roman" w:cs="Times New Roman"/>
                <w:b/>
                <w:bCs/>
                <w:color w:val="auto"/>
                <w:sz w:val="21"/>
                <w:szCs w:val="21"/>
              </w:rPr>
              <w:t>预测结果</w:t>
            </w:r>
            <w:r>
              <w:rPr>
                <w:rFonts w:ascii="Times New Roman" w:hAnsi="Times New Roman" w:cs="Times New Roman"/>
                <w:b/>
                <w:bCs/>
                <w:color w:val="auto"/>
                <w:sz w:val="21"/>
                <w:szCs w:val="21"/>
              </w:rPr>
              <w:t>表</w:t>
            </w:r>
          </w:p>
          <w:tbl>
            <w:tblPr>
              <w:tblStyle w:val="59"/>
              <w:tblW w:w="4997" w:type="pct"/>
              <w:tblInd w:w="0" w:type="dxa"/>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725"/>
              <w:gridCol w:w="2128"/>
              <w:gridCol w:w="1139"/>
              <w:gridCol w:w="989"/>
              <w:gridCol w:w="955"/>
              <w:gridCol w:w="955"/>
              <w:gridCol w:w="955"/>
              <w:gridCol w:w="1010"/>
            </w:tblGrid>
            <w:tr w14:paraId="207218E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13" w:hRule="atLeast"/>
              </w:trPr>
              <w:tc>
                <w:tcPr>
                  <w:tcW w:w="409" w:type="pct"/>
                  <w:vMerge w:val="restart"/>
                  <w:vAlign w:val="center"/>
                </w:tcPr>
                <w:p w14:paraId="17B38000">
                  <w:pPr>
                    <w:pStyle w:val="6"/>
                    <w:snapToGrid w:val="0"/>
                    <w:spacing w:before="0" w:after="0"/>
                    <w:jc w:val="center"/>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序号</w:t>
                  </w:r>
                </w:p>
              </w:tc>
              <w:tc>
                <w:tcPr>
                  <w:tcW w:w="1201" w:type="pct"/>
                  <w:vMerge w:val="restart"/>
                  <w:vAlign w:val="center"/>
                </w:tcPr>
                <w:p w14:paraId="7FF5AEE4">
                  <w:pPr>
                    <w:pStyle w:val="6"/>
                    <w:snapToGrid w:val="0"/>
                    <w:spacing w:before="0" w:after="0"/>
                    <w:jc w:val="center"/>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噪声源</w:t>
                  </w:r>
                </w:p>
              </w:tc>
              <w:tc>
                <w:tcPr>
                  <w:tcW w:w="643" w:type="pct"/>
                  <w:vMerge w:val="restart"/>
                  <w:vAlign w:val="center"/>
                </w:tcPr>
                <w:p w14:paraId="238679E8">
                  <w:pPr>
                    <w:pStyle w:val="6"/>
                    <w:snapToGrid w:val="0"/>
                    <w:spacing w:before="0" w:after="0"/>
                    <w:jc w:val="center"/>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等效源强dB（A）</w:t>
                  </w:r>
                </w:p>
              </w:tc>
              <w:tc>
                <w:tcPr>
                  <w:tcW w:w="558" w:type="pct"/>
                  <w:vMerge w:val="restart"/>
                  <w:vAlign w:val="center"/>
                </w:tcPr>
                <w:p w14:paraId="0D958F2E">
                  <w:pPr>
                    <w:pStyle w:val="6"/>
                    <w:snapToGrid w:val="0"/>
                    <w:spacing w:before="0" w:after="0"/>
                    <w:jc w:val="center"/>
                    <w:rPr>
                      <w:rStyle w:val="71"/>
                      <w:rFonts w:hint="default" w:ascii="Times New Roman" w:hAnsi="Times New Roman" w:cs="Times New Roman"/>
                      <w:b/>
                      <w:bCs/>
                      <w:color w:val="auto"/>
                      <w:kern w:val="0"/>
                      <w:sz w:val="21"/>
                      <w:szCs w:val="21"/>
                    </w:rPr>
                  </w:pPr>
                  <w:r>
                    <w:rPr>
                      <w:rStyle w:val="71"/>
                      <w:rFonts w:hint="default" w:ascii="Times New Roman" w:hAnsi="Times New Roman" w:cs="Times New Roman"/>
                      <w:b/>
                      <w:bCs/>
                      <w:color w:val="auto"/>
                      <w:kern w:val="0"/>
                      <w:sz w:val="21"/>
                      <w:szCs w:val="21"/>
                    </w:rPr>
                    <w:t>降噪量</w:t>
                  </w:r>
                  <w:r>
                    <w:rPr>
                      <w:rFonts w:hint="default" w:ascii="Times New Roman" w:hAnsi="Times New Roman" w:cs="Times New Roman"/>
                      <w:b/>
                      <w:bCs/>
                      <w:color w:val="auto"/>
                      <w:kern w:val="0"/>
                      <w:sz w:val="21"/>
                      <w:szCs w:val="21"/>
                    </w:rPr>
                    <w:t>dB（A）</w:t>
                  </w:r>
                </w:p>
              </w:tc>
              <w:tc>
                <w:tcPr>
                  <w:tcW w:w="2187" w:type="pct"/>
                  <w:gridSpan w:val="4"/>
                  <w:vAlign w:val="center"/>
                </w:tcPr>
                <w:p w14:paraId="5BC4EE70">
                  <w:pPr>
                    <w:pStyle w:val="601"/>
                    <w:adjustRightInd w:val="0"/>
                    <w:snapToGrid w:val="0"/>
                    <w:spacing w:line="240" w:lineRule="auto"/>
                    <w:ind w:firstLine="0" w:firstLineChars="0"/>
                    <w:jc w:val="center"/>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降噪+距离衰减后预测点贡献值dB（A）</w:t>
                  </w:r>
                </w:p>
              </w:tc>
            </w:tr>
            <w:tr w14:paraId="0835E987">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13" w:hRule="atLeast"/>
              </w:trPr>
              <w:tc>
                <w:tcPr>
                  <w:tcW w:w="409" w:type="pct"/>
                  <w:vMerge w:val="continue"/>
                  <w:vAlign w:val="center"/>
                </w:tcPr>
                <w:p w14:paraId="6DD74F0F">
                  <w:pPr>
                    <w:pStyle w:val="6"/>
                    <w:snapToGrid w:val="0"/>
                    <w:spacing w:before="0" w:after="0"/>
                    <w:jc w:val="center"/>
                    <w:rPr>
                      <w:rFonts w:hint="default" w:ascii="Times New Roman" w:hAnsi="Times New Roman" w:cs="Times New Roman"/>
                      <w:b/>
                      <w:bCs/>
                      <w:color w:val="auto"/>
                      <w:kern w:val="0"/>
                      <w:sz w:val="21"/>
                      <w:szCs w:val="21"/>
                    </w:rPr>
                  </w:pPr>
                </w:p>
              </w:tc>
              <w:tc>
                <w:tcPr>
                  <w:tcW w:w="1201" w:type="pct"/>
                  <w:vMerge w:val="continue"/>
                  <w:vAlign w:val="center"/>
                </w:tcPr>
                <w:p w14:paraId="7AE4AEBF">
                  <w:pPr>
                    <w:pStyle w:val="6"/>
                    <w:snapToGrid w:val="0"/>
                    <w:spacing w:before="0" w:after="0"/>
                    <w:jc w:val="center"/>
                    <w:rPr>
                      <w:rFonts w:hint="default" w:ascii="Times New Roman" w:hAnsi="Times New Roman" w:cs="Times New Roman"/>
                      <w:b/>
                      <w:bCs/>
                      <w:color w:val="auto"/>
                      <w:kern w:val="0"/>
                      <w:sz w:val="21"/>
                      <w:szCs w:val="21"/>
                    </w:rPr>
                  </w:pPr>
                </w:p>
              </w:tc>
              <w:tc>
                <w:tcPr>
                  <w:tcW w:w="643" w:type="pct"/>
                  <w:vMerge w:val="continue"/>
                  <w:vAlign w:val="center"/>
                </w:tcPr>
                <w:p w14:paraId="18E3F435">
                  <w:pPr>
                    <w:pStyle w:val="6"/>
                    <w:snapToGrid w:val="0"/>
                    <w:spacing w:before="0" w:after="0"/>
                    <w:jc w:val="center"/>
                    <w:rPr>
                      <w:rFonts w:hint="default" w:ascii="Times New Roman" w:hAnsi="Times New Roman" w:cs="Times New Roman"/>
                      <w:b/>
                      <w:bCs/>
                      <w:color w:val="auto"/>
                      <w:kern w:val="0"/>
                      <w:sz w:val="21"/>
                      <w:szCs w:val="21"/>
                    </w:rPr>
                  </w:pPr>
                </w:p>
              </w:tc>
              <w:tc>
                <w:tcPr>
                  <w:tcW w:w="558" w:type="pct"/>
                  <w:vMerge w:val="continue"/>
                  <w:vAlign w:val="center"/>
                </w:tcPr>
                <w:p w14:paraId="25FEADC0">
                  <w:pPr>
                    <w:pStyle w:val="6"/>
                    <w:snapToGrid w:val="0"/>
                    <w:spacing w:before="0" w:after="0"/>
                    <w:jc w:val="center"/>
                    <w:rPr>
                      <w:rFonts w:hint="default" w:ascii="Times New Roman" w:hAnsi="Times New Roman" w:cs="Times New Roman"/>
                      <w:b/>
                      <w:bCs/>
                      <w:color w:val="auto"/>
                      <w:kern w:val="0"/>
                      <w:sz w:val="21"/>
                      <w:szCs w:val="21"/>
                    </w:rPr>
                  </w:pPr>
                </w:p>
              </w:tc>
              <w:tc>
                <w:tcPr>
                  <w:tcW w:w="539" w:type="pct"/>
                  <w:vAlign w:val="center"/>
                </w:tcPr>
                <w:p w14:paraId="65FB81DD">
                  <w:pPr>
                    <w:pStyle w:val="601"/>
                    <w:adjustRightInd w:val="0"/>
                    <w:snapToGrid w:val="0"/>
                    <w:spacing w:line="240" w:lineRule="auto"/>
                    <w:ind w:firstLine="0" w:firstLineChars="0"/>
                    <w:jc w:val="center"/>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东厂界</w:t>
                  </w:r>
                </w:p>
              </w:tc>
              <w:tc>
                <w:tcPr>
                  <w:tcW w:w="539" w:type="pct"/>
                  <w:vAlign w:val="center"/>
                </w:tcPr>
                <w:p w14:paraId="53457703">
                  <w:pPr>
                    <w:pStyle w:val="601"/>
                    <w:adjustRightInd w:val="0"/>
                    <w:snapToGrid w:val="0"/>
                    <w:spacing w:line="240" w:lineRule="auto"/>
                    <w:ind w:firstLine="0" w:firstLineChars="0"/>
                    <w:jc w:val="center"/>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南厂界</w:t>
                  </w:r>
                </w:p>
              </w:tc>
              <w:tc>
                <w:tcPr>
                  <w:tcW w:w="539" w:type="pct"/>
                  <w:vAlign w:val="center"/>
                </w:tcPr>
                <w:p w14:paraId="54208056">
                  <w:pPr>
                    <w:pStyle w:val="601"/>
                    <w:adjustRightInd w:val="0"/>
                    <w:snapToGrid w:val="0"/>
                    <w:spacing w:line="240" w:lineRule="auto"/>
                    <w:ind w:firstLine="0" w:firstLineChars="0"/>
                    <w:jc w:val="center"/>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西厂界</w:t>
                  </w:r>
                </w:p>
              </w:tc>
              <w:tc>
                <w:tcPr>
                  <w:tcW w:w="570" w:type="pct"/>
                  <w:vAlign w:val="center"/>
                </w:tcPr>
                <w:p w14:paraId="2A808119">
                  <w:pPr>
                    <w:pStyle w:val="601"/>
                    <w:adjustRightInd w:val="0"/>
                    <w:snapToGrid w:val="0"/>
                    <w:spacing w:line="240" w:lineRule="auto"/>
                    <w:ind w:firstLine="0" w:firstLineChars="0"/>
                    <w:jc w:val="center"/>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北厂界</w:t>
                  </w:r>
                </w:p>
              </w:tc>
            </w:tr>
            <w:tr w14:paraId="091F2DF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13" w:hRule="atLeast"/>
              </w:trPr>
              <w:tc>
                <w:tcPr>
                  <w:tcW w:w="409" w:type="pct"/>
                  <w:vAlign w:val="center"/>
                </w:tcPr>
                <w:p w14:paraId="7FB12EEB">
                  <w:pPr>
                    <w:pStyle w:val="6"/>
                    <w:snapToGrid w:val="0"/>
                    <w:spacing w:before="0" w:after="0"/>
                    <w:jc w:val="center"/>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sz w:val="21"/>
                      <w:szCs w:val="21"/>
                    </w:rPr>
                    <w:t>1</w:t>
                  </w:r>
                </w:p>
              </w:tc>
              <w:tc>
                <w:tcPr>
                  <w:tcW w:w="2128" w:type="dxa"/>
                  <w:vAlign w:val="center"/>
                </w:tcPr>
                <w:p w14:paraId="7E388C3D">
                  <w:pPr>
                    <w:adjustRightInd w:val="0"/>
                    <w:snapToGrid w:val="0"/>
                    <w:jc w:val="center"/>
                    <w:rPr>
                      <w:rFonts w:hint="default" w:ascii="Times New Roman" w:hAnsi="Times New Roman" w:cs="Times New Roman"/>
                      <w:bCs/>
                      <w:color w:val="auto"/>
                      <w:kern w:val="0"/>
                      <w:sz w:val="21"/>
                      <w:szCs w:val="21"/>
                    </w:rPr>
                  </w:pPr>
                  <w:r>
                    <w:rPr>
                      <w:rFonts w:hint="eastAsia"/>
                      <w:color w:val="auto"/>
                      <w:kern w:val="0"/>
                      <w:sz w:val="21"/>
                      <w:szCs w:val="21"/>
                      <w:lang w:val="en-US" w:eastAsia="zh-CN"/>
                    </w:rPr>
                    <w:t>龙门铣床</w:t>
                  </w:r>
                </w:p>
              </w:tc>
              <w:tc>
                <w:tcPr>
                  <w:tcW w:w="1139" w:type="dxa"/>
                  <w:vAlign w:val="bottom"/>
                </w:tcPr>
                <w:p w14:paraId="04F254A5">
                  <w:pPr>
                    <w:pStyle w:val="6"/>
                    <w:snapToGrid w:val="0"/>
                    <w:spacing w:before="0" w:after="0"/>
                    <w:jc w:val="center"/>
                    <w:rPr>
                      <w:rFonts w:hint="default" w:ascii="Times New Roman" w:hAnsi="Times New Roman" w:eastAsia="宋体" w:cs="Times New Roman"/>
                      <w:bCs/>
                      <w:color w:val="auto"/>
                      <w:kern w:val="0"/>
                      <w:sz w:val="21"/>
                      <w:szCs w:val="21"/>
                    </w:rPr>
                  </w:pPr>
                  <w:r>
                    <w:rPr>
                      <w:rFonts w:hint="eastAsia" w:ascii="Times New Roman" w:hAnsi="Times New Roman" w:eastAsia="宋体" w:cs="Times New Roman"/>
                      <w:bCs/>
                      <w:color w:val="auto"/>
                      <w:kern w:val="0"/>
                      <w:sz w:val="21"/>
                      <w:szCs w:val="21"/>
                      <w:lang w:val="en-US" w:eastAsia="zh-CN"/>
                    </w:rPr>
                    <w:t>80.0</w:t>
                  </w:r>
                </w:p>
              </w:tc>
              <w:tc>
                <w:tcPr>
                  <w:tcW w:w="558" w:type="pct"/>
                  <w:vAlign w:val="center"/>
                </w:tcPr>
                <w:p w14:paraId="395D6C2C">
                  <w:pPr>
                    <w:pStyle w:val="6"/>
                    <w:snapToGrid w:val="0"/>
                    <w:spacing w:before="0" w:after="0"/>
                    <w:jc w:val="center"/>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sz w:val="21"/>
                      <w:szCs w:val="21"/>
                    </w:rPr>
                    <w:t>25</w:t>
                  </w:r>
                </w:p>
              </w:tc>
              <w:tc>
                <w:tcPr>
                  <w:tcW w:w="539" w:type="pct"/>
                  <w:vAlign w:val="bottom"/>
                </w:tcPr>
                <w:p w14:paraId="30E9D525">
                  <w:pPr>
                    <w:pStyle w:val="6"/>
                    <w:snapToGrid w:val="0"/>
                    <w:spacing w:before="0" w:after="0"/>
                    <w:jc w:val="center"/>
                    <w:rPr>
                      <w:rFonts w:hint="default" w:ascii="Times New Roman" w:hAnsi="Times New Roman" w:eastAsia="宋体" w:cs="Times New Roman"/>
                      <w:bCs/>
                      <w:color w:val="auto"/>
                      <w:kern w:val="0"/>
                      <w:sz w:val="21"/>
                      <w:szCs w:val="21"/>
                      <w:lang w:val="en-US" w:eastAsia="zh-CN"/>
                    </w:rPr>
                  </w:pPr>
                  <w:r>
                    <w:rPr>
                      <w:rFonts w:hint="eastAsia" w:ascii="Times New Roman" w:hAnsi="Times New Roman" w:cs="Times New Roman"/>
                      <w:bCs/>
                      <w:color w:val="auto"/>
                      <w:kern w:val="0"/>
                      <w:sz w:val="21"/>
                      <w:szCs w:val="21"/>
                      <w:lang w:val="en-US" w:eastAsia="zh-CN"/>
                    </w:rPr>
                    <w:t>12.4</w:t>
                  </w:r>
                </w:p>
              </w:tc>
              <w:tc>
                <w:tcPr>
                  <w:tcW w:w="539" w:type="pct"/>
                  <w:vAlign w:val="bottom"/>
                </w:tcPr>
                <w:p w14:paraId="37291B2D">
                  <w:pPr>
                    <w:pStyle w:val="6"/>
                    <w:snapToGrid w:val="0"/>
                    <w:spacing w:before="0" w:after="0"/>
                    <w:jc w:val="center"/>
                    <w:rPr>
                      <w:rFonts w:hint="default" w:ascii="Times New Roman" w:hAnsi="Times New Roman" w:eastAsia="宋体" w:cs="Times New Roman"/>
                      <w:bCs/>
                      <w:color w:val="auto"/>
                      <w:kern w:val="0"/>
                      <w:sz w:val="21"/>
                      <w:szCs w:val="21"/>
                      <w:lang w:val="en-US" w:eastAsia="zh-CN"/>
                    </w:rPr>
                  </w:pPr>
                  <w:r>
                    <w:rPr>
                      <w:rFonts w:hint="eastAsia" w:ascii="Times New Roman" w:hAnsi="Times New Roman" w:cs="Times New Roman"/>
                      <w:bCs/>
                      <w:color w:val="auto"/>
                      <w:kern w:val="0"/>
                      <w:sz w:val="21"/>
                      <w:szCs w:val="21"/>
                      <w:lang w:val="en-US" w:eastAsia="zh-CN"/>
                    </w:rPr>
                    <w:t>26.5</w:t>
                  </w:r>
                </w:p>
              </w:tc>
              <w:tc>
                <w:tcPr>
                  <w:tcW w:w="539" w:type="pct"/>
                  <w:vAlign w:val="bottom"/>
                </w:tcPr>
                <w:p w14:paraId="3F9F01E7">
                  <w:pPr>
                    <w:pStyle w:val="6"/>
                    <w:snapToGrid w:val="0"/>
                    <w:spacing w:before="0" w:after="0"/>
                    <w:jc w:val="center"/>
                    <w:rPr>
                      <w:rFonts w:hint="default" w:ascii="Times New Roman" w:hAnsi="Times New Roman" w:eastAsia="宋体" w:cs="Times New Roman"/>
                      <w:bCs/>
                      <w:color w:val="auto"/>
                      <w:kern w:val="0"/>
                      <w:sz w:val="21"/>
                      <w:szCs w:val="21"/>
                      <w:lang w:val="en-US" w:eastAsia="zh-CN"/>
                    </w:rPr>
                  </w:pPr>
                  <w:r>
                    <w:rPr>
                      <w:rFonts w:hint="eastAsia" w:ascii="Times New Roman" w:hAnsi="Times New Roman" w:cs="Times New Roman"/>
                      <w:bCs/>
                      <w:color w:val="auto"/>
                      <w:kern w:val="0"/>
                      <w:sz w:val="21"/>
                      <w:szCs w:val="21"/>
                      <w:lang w:val="en-US" w:eastAsia="zh-CN"/>
                    </w:rPr>
                    <w:t>20.7</w:t>
                  </w:r>
                </w:p>
              </w:tc>
              <w:tc>
                <w:tcPr>
                  <w:tcW w:w="570" w:type="pct"/>
                  <w:vAlign w:val="center"/>
                </w:tcPr>
                <w:p w14:paraId="3DB50AC3">
                  <w:pPr>
                    <w:pStyle w:val="6"/>
                    <w:snapToGrid w:val="0"/>
                    <w:spacing w:before="0" w:after="0"/>
                    <w:jc w:val="center"/>
                    <w:rPr>
                      <w:rFonts w:hint="default" w:ascii="Times New Roman" w:hAnsi="Times New Roman" w:eastAsia="宋体" w:cs="Times New Roman"/>
                      <w:bCs/>
                      <w:color w:val="auto"/>
                      <w:kern w:val="0"/>
                      <w:sz w:val="21"/>
                      <w:szCs w:val="21"/>
                      <w:lang w:val="en-US" w:eastAsia="zh-CN"/>
                    </w:rPr>
                  </w:pPr>
                  <w:r>
                    <w:rPr>
                      <w:rFonts w:hint="eastAsia" w:ascii="Times New Roman" w:hAnsi="Times New Roman" w:cs="Times New Roman"/>
                      <w:bCs/>
                      <w:color w:val="auto"/>
                      <w:kern w:val="0"/>
                      <w:sz w:val="21"/>
                      <w:szCs w:val="21"/>
                      <w:lang w:val="en-US" w:eastAsia="zh-CN"/>
                    </w:rPr>
                    <w:t>21</w:t>
                  </w:r>
                </w:p>
              </w:tc>
            </w:tr>
            <w:tr w14:paraId="5FB1F68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13" w:hRule="atLeast"/>
              </w:trPr>
              <w:tc>
                <w:tcPr>
                  <w:tcW w:w="409" w:type="pct"/>
                  <w:vAlign w:val="center"/>
                </w:tcPr>
                <w:p w14:paraId="3539453C">
                  <w:pPr>
                    <w:pStyle w:val="6"/>
                    <w:snapToGrid w:val="0"/>
                    <w:spacing w:before="0" w:after="0"/>
                    <w:jc w:val="center"/>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sz w:val="21"/>
                      <w:szCs w:val="21"/>
                    </w:rPr>
                    <w:t>2</w:t>
                  </w:r>
                </w:p>
              </w:tc>
              <w:tc>
                <w:tcPr>
                  <w:tcW w:w="2128" w:type="dxa"/>
                  <w:vAlign w:val="center"/>
                </w:tcPr>
                <w:p w14:paraId="19BDC7E5">
                  <w:pPr>
                    <w:adjustRightInd w:val="0"/>
                    <w:snapToGrid w:val="0"/>
                    <w:jc w:val="center"/>
                    <w:rPr>
                      <w:rFonts w:hint="default" w:ascii="Times New Roman" w:hAnsi="Times New Roman" w:cs="Times New Roman"/>
                      <w:bCs/>
                      <w:color w:val="auto"/>
                      <w:kern w:val="0"/>
                      <w:sz w:val="21"/>
                      <w:szCs w:val="21"/>
                    </w:rPr>
                  </w:pPr>
                  <w:r>
                    <w:rPr>
                      <w:rFonts w:hint="eastAsia"/>
                      <w:color w:val="auto"/>
                      <w:kern w:val="0"/>
                      <w:sz w:val="21"/>
                      <w:szCs w:val="21"/>
                      <w:lang w:val="en-US" w:eastAsia="zh-CN"/>
                    </w:rPr>
                    <w:t>高温蒸汽清洗机</w:t>
                  </w:r>
                </w:p>
              </w:tc>
              <w:tc>
                <w:tcPr>
                  <w:tcW w:w="1139" w:type="dxa"/>
                  <w:vAlign w:val="bottom"/>
                </w:tcPr>
                <w:p w14:paraId="795D4431">
                  <w:pPr>
                    <w:pStyle w:val="6"/>
                    <w:snapToGrid w:val="0"/>
                    <w:spacing w:before="0" w:after="0"/>
                    <w:jc w:val="center"/>
                    <w:rPr>
                      <w:rFonts w:hint="default" w:ascii="Times New Roman" w:hAnsi="Times New Roman" w:eastAsia="宋体" w:cs="Times New Roman"/>
                      <w:bCs/>
                      <w:color w:val="auto"/>
                      <w:kern w:val="0"/>
                      <w:sz w:val="21"/>
                      <w:szCs w:val="21"/>
                    </w:rPr>
                  </w:pPr>
                  <w:r>
                    <w:rPr>
                      <w:rFonts w:hint="eastAsia" w:ascii="Times New Roman" w:hAnsi="Times New Roman" w:eastAsia="宋体" w:cs="Times New Roman"/>
                      <w:bCs/>
                      <w:color w:val="auto"/>
                      <w:kern w:val="0"/>
                      <w:sz w:val="21"/>
                      <w:szCs w:val="21"/>
                      <w:lang w:val="en-US" w:eastAsia="zh-CN"/>
                    </w:rPr>
                    <w:t>75.0</w:t>
                  </w:r>
                </w:p>
              </w:tc>
              <w:tc>
                <w:tcPr>
                  <w:tcW w:w="558" w:type="pct"/>
                  <w:vAlign w:val="center"/>
                </w:tcPr>
                <w:p w14:paraId="21526123">
                  <w:pPr>
                    <w:pStyle w:val="6"/>
                    <w:snapToGrid w:val="0"/>
                    <w:spacing w:before="0" w:after="0"/>
                    <w:jc w:val="center"/>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sz w:val="21"/>
                      <w:szCs w:val="21"/>
                    </w:rPr>
                    <w:t>25</w:t>
                  </w:r>
                </w:p>
              </w:tc>
              <w:tc>
                <w:tcPr>
                  <w:tcW w:w="955" w:type="dxa"/>
                  <w:vAlign w:val="bottom"/>
                </w:tcPr>
                <w:p w14:paraId="6E0B496A">
                  <w:pPr>
                    <w:pStyle w:val="6"/>
                    <w:snapToGrid w:val="0"/>
                    <w:spacing w:before="0" w:after="0"/>
                    <w:jc w:val="center"/>
                    <w:rPr>
                      <w:rFonts w:hint="default" w:ascii="Times New Roman" w:hAnsi="Times New Roman" w:eastAsia="宋体" w:cs="Times New Roman"/>
                      <w:bCs/>
                      <w:color w:val="auto"/>
                      <w:kern w:val="0"/>
                      <w:sz w:val="21"/>
                      <w:szCs w:val="21"/>
                      <w:lang w:val="en-US" w:eastAsia="zh-CN"/>
                    </w:rPr>
                  </w:pPr>
                  <w:r>
                    <w:rPr>
                      <w:rFonts w:hint="eastAsia" w:ascii="Times New Roman" w:hAnsi="Times New Roman" w:cs="Times New Roman"/>
                      <w:bCs/>
                      <w:color w:val="auto"/>
                      <w:kern w:val="0"/>
                      <w:sz w:val="21"/>
                      <w:szCs w:val="21"/>
                      <w:lang w:val="en-US" w:eastAsia="zh-CN"/>
                    </w:rPr>
                    <w:t>13.5</w:t>
                  </w:r>
                </w:p>
              </w:tc>
              <w:tc>
                <w:tcPr>
                  <w:tcW w:w="955" w:type="dxa"/>
                  <w:vAlign w:val="bottom"/>
                </w:tcPr>
                <w:p w14:paraId="123C6622">
                  <w:pPr>
                    <w:pStyle w:val="6"/>
                    <w:snapToGrid w:val="0"/>
                    <w:spacing w:before="0" w:after="0"/>
                    <w:jc w:val="center"/>
                    <w:rPr>
                      <w:rFonts w:hint="default" w:ascii="Times New Roman" w:hAnsi="Times New Roman" w:eastAsia="宋体" w:cs="Times New Roman"/>
                      <w:bCs/>
                      <w:color w:val="auto"/>
                      <w:kern w:val="0"/>
                      <w:sz w:val="21"/>
                      <w:szCs w:val="21"/>
                      <w:lang w:val="en-US" w:eastAsia="zh-CN"/>
                    </w:rPr>
                  </w:pPr>
                  <w:r>
                    <w:rPr>
                      <w:rFonts w:hint="eastAsia" w:ascii="Times New Roman" w:hAnsi="Times New Roman" w:cs="Times New Roman"/>
                      <w:bCs/>
                      <w:color w:val="auto"/>
                      <w:kern w:val="0"/>
                      <w:sz w:val="21"/>
                      <w:szCs w:val="21"/>
                      <w:lang w:val="en-US" w:eastAsia="zh-CN"/>
                    </w:rPr>
                    <w:t>30.6</w:t>
                  </w:r>
                </w:p>
              </w:tc>
              <w:tc>
                <w:tcPr>
                  <w:tcW w:w="955" w:type="dxa"/>
                  <w:vAlign w:val="bottom"/>
                </w:tcPr>
                <w:p w14:paraId="2DC92195">
                  <w:pPr>
                    <w:pStyle w:val="6"/>
                    <w:snapToGrid w:val="0"/>
                    <w:spacing w:before="0" w:after="0"/>
                    <w:jc w:val="center"/>
                    <w:rPr>
                      <w:rFonts w:hint="default" w:ascii="Times New Roman" w:hAnsi="Times New Roman" w:eastAsia="宋体" w:cs="Times New Roman"/>
                      <w:bCs/>
                      <w:color w:val="auto"/>
                      <w:kern w:val="0"/>
                      <w:sz w:val="21"/>
                      <w:szCs w:val="21"/>
                      <w:lang w:val="en-US" w:eastAsia="zh-CN"/>
                    </w:rPr>
                  </w:pPr>
                  <w:r>
                    <w:rPr>
                      <w:rFonts w:hint="eastAsia" w:ascii="Times New Roman" w:hAnsi="Times New Roman" w:cs="Times New Roman"/>
                      <w:bCs/>
                      <w:color w:val="auto"/>
                      <w:kern w:val="0"/>
                      <w:sz w:val="21"/>
                      <w:szCs w:val="21"/>
                      <w:lang w:val="en-US" w:eastAsia="zh-CN"/>
                    </w:rPr>
                    <w:t>22.2</w:t>
                  </w:r>
                </w:p>
              </w:tc>
              <w:tc>
                <w:tcPr>
                  <w:tcW w:w="1010" w:type="dxa"/>
                  <w:vAlign w:val="center"/>
                </w:tcPr>
                <w:p w14:paraId="2E4B2B41">
                  <w:pPr>
                    <w:pStyle w:val="6"/>
                    <w:snapToGrid w:val="0"/>
                    <w:spacing w:before="0" w:after="0"/>
                    <w:jc w:val="center"/>
                    <w:rPr>
                      <w:rFonts w:hint="default" w:ascii="Times New Roman" w:hAnsi="Times New Roman" w:eastAsia="宋体" w:cs="Times New Roman"/>
                      <w:bCs/>
                      <w:color w:val="auto"/>
                      <w:kern w:val="0"/>
                      <w:sz w:val="21"/>
                      <w:szCs w:val="21"/>
                      <w:lang w:val="en-US" w:eastAsia="zh-CN"/>
                    </w:rPr>
                  </w:pPr>
                  <w:r>
                    <w:rPr>
                      <w:rFonts w:hint="eastAsia" w:ascii="Times New Roman" w:hAnsi="Times New Roman" w:cs="Times New Roman"/>
                      <w:bCs/>
                      <w:color w:val="auto"/>
                      <w:kern w:val="0"/>
                      <w:sz w:val="21"/>
                      <w:szCs w:val="21"/>
                      <w:lang w:val="en-US" w:eastAsia="zh-CN"/>
                    </w:rPr>
                    <w:t>21.8</w:t>
                  </w:r>
                </w:p>
              </w:tc>
            </w:tr>
            <w:tr w14:paraId="79C549D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13" w:hRule="atLeast"/>
              </w:trPr>
              <w:tc>
                <w:tcPr>
                  <w:tcW w:w="409" w:type="pct"/>
                  <w:vAlign w:val="center"/>
                </w:tcPr>
                <w:p w14:paraId="4AD07EA8">
                  <w:pPr>
                    <w:pStyle w:val="6"/>
                    <w:snapToGrid w:val="0"/>
                    <w:spacing w:before="0" w:after="0"/>
                    <w:jc w:val="center"/>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sz w:val="21"/>
                      <w:szCs w:val="21"/>
                    </w:rPr>
                    <w:t>3</w:t>
                  </w:r>
                </w:p>
              </w:tc>
              <w:tc>
                <w:tcPr>
                  <w:tcW w:w="2128" w:type="dxa"/>
                  <w:vAlign w:val="center"/>
                </w:tcPr>
                <w:p w14:paraId="59351E0D">
                  <w:pPr>
                    <w:adjustRightInd w:val="0"/>
                    <w:snapToGrid w:val="0"/>
                    <w:jc w:val="center"/>
                    <w:rPr>
                      <w:rFonts w:hint="default" w:ascii="Times New Roman" w:hAnsi="Times New Roman" w:cs="Times New Roman"/>
                      <w:bCs/>
                      <w:color w:val="auto"/>
                      <w:kern w:val="0"/>
                      <w:sz w:val="21"/>
                      <w:szCs w:val="21"/>
                    </w:rPr>
                  </w:pPr>
                  <w:r>
                    <w:rPr>
                      <w:rFonts w:hint="eastAsia"/>
                      <w:color w:val="auto"/>
                      <w:kern w:val="0"/>
                      <w:sz w:val="21"/>
                      <w:szCs w:val="21"/>
                      <w:lang w:val="en-US" w:eastAsia="zh-CN"/>
                    </w:rPr>
                    <w:t>喷砂房</w:t>
                  </w:r>
                </w:p>
              </w:tc>
              <w:tc>
                <w:tcPr>
                  <w:tcW w:w="1139" w:type="dxa"/>
                  <w:vAlign w:val="bottom"/>
                </w:tcPr>
                <w:p w14:paraId="06C03C60">
                  <w:pPr>
                    <w:pStyle w:val="6"/>
                    <w:snapToGrid w:val="0"/>
                    <w:spacing w:before="0" w:after="0"/>
                    <w:jc w:val="center"/>
                    <w:rPr>
                      <w:rFonts w:hint="default" w:ascii="Times New Roman" w:hAnsi="Times New Roman" w:eastAsia="宋体" w:cs="Times New Roman"/>
                      <w:bCs/>
                      <w:color w:val="auto"/>
                      <w:kern w:val="0"/>
                      <w:sz w:val="21"/>
                      <w:szCs w:val="21"/>
                    </w:rPr>
                  </w:pPr>
                  <w:r>
                    <w:rPr>
                      <w:rFonts w:hint="eastAsia" w:ascii="Times New Roman" w:hAnsi="Times New Roman" w:eastAsia="宋体" w:cs="Times New Roman"/>
                      <w:bCs/>
                      <w:color w:val="auto"/>
                      <w:kern w:val="0"/>
                      <w:sz w:val="21"/>
                      <w:szCs w:val="21"/>
                      <w:lang w:val="en-US" w:eastAsia="zh-CN"/>
                    </w:rPr>
                    <w:t>70.0</w:t>
                  </w:r>
                </w:p>
              </w:tc>
              <w:tc>
                <w:tcPr>
                  <w:tcW w:w="558" w:type="pct"/>
                  <w:vAlign w:val="center"/>
                </w:tcPr>
                <w:p w14:paraId="7B82AAA2">
                  <w:pPr>
                    <w:pStyle w:val="6"/>
                    <w:snapToGrid w:val="0"/>
                    <w:spacing w:before="0" w:after="0"/>
                    <w:jc w:val="center"/>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sz w:val="21"/>
                      <w:szCs w:val="21"/>
                    </w:rPr>
                    <w:t>25</w:t>
                  </w:r>
                </w:p>
              </w:tc>
              <w:tc>
                <w:tcPr>
                  <w:tcW w:w="955" w:type="dxa"/>
                  <w:vAlign w:val="bottom"/>
                </w:tcPr>
                <w:p w14:paraId="3B207317">
                  <w:pPr>
                    <w:pStyle w:val="6"/>
                    <w:snapToGrid w:val="0"/>
                    <w:spacing w:before="0" w:after="0"/>
                    <w:jc w:val="center"/>
                    <w:rPr>
                      <w:rFonts w:hint="default" w:ascii="Times New Roman" w:hAnsi="Times New Roman" w:eastAsia="宋体" w:cs="Times New Roman"/>
                      <w:bCs/>
                      <w:color w:val="auto"/>
                      <w:kern w:val="0"/>
                      <w:sz w:val="21"/>
                      <w:szCs w:val="21"/>
                      <w:lang w:val="en-US" w:eastAsia="zh-CN"/>
                    </w:rPr>
                  </w:pPr>
                  <w:r>
                    <w:rPr>
                      <w:rFonts w:hint="eastAsia" w:ascii="Times New Roman" w:hAnsi="Times New Roman" w:cs="Times New Roman"/>
                      <w:bCs/>
                      <w:color w:val="auto"/>
                      <w:kern w:val="0"/>
                      <w:sz w:val="21"/>
                      <w:szCs w:val="21"/>
                      <w:lang w:val="en-US" w:eastAsia="zh-CN"/>
                    </w:rPr>
                    <w:t>13.9</w:t>
                  </w:r>
                </w:p>
              </w:tc>
              <w:tc>
                <w:tcPr>
                  <w:tcW w:w="955" w:type="dxa"/>
                  <w:vAlign w:val="bottom"/>
                </w:tcPr>
                <w:p w14:paraId="12848CCE">
                  <w:pPr>
                    <w:pStyle w:val="6"/>
                    <w:snapToGrid w:val="0"/>
                    <w:spacing w:before="0" w:after="0"/>
                    <w:jc w:val="center"/>
                    <w:rPr>
                      <w:rFonts w:hint="default" w:ascii="Times New Roman" w:hAnsi="Times New Roman" w:eastAsia="宋体" w:cs="Times New Roman"/>
                      <w:bCs/>
                      <w:color w:val="auto"/>
                      <w:kern w:val="0"/>
                      <w:sz w:val="21"/>
                      <w:szCs w:val="21"/>
                      <w:lang w:val="en-US" w:eastAsia="zh-CN"/>
                    </w:rPr>
                  </w:pPr>
                  <w:r>
                    <w:rPr>
                      <w:rFonts w:hint="eastAsia" w:ascii="Times New Roman" w:hAnsi="Times New Roman" w:cs="Times New Roman"/>
                      <w:bCs/>
                      <w:color w:val="auto"/>
                      <w:kern w:val="0"/>
                      <w:sz w:val="21"/>
                      <w:szCs w:val="21"/>
                      <w:lang w:val="en-US" w:eastAsia="zh-CN"/>
                    </w:rPr>
                    <w:t>45.2</w:t>
                  </w:r>
                </w:p>
              </w:tc>
              <w:tc>
                <w:tcPr>
                  <w:tcW w:w="955" w:type="dxa"/>
                  <w:vAlign w:val="bottom"/>
                </w:tcPr>
                <w:p w14:paraId="5D9F6A7C">
                  <w:pPr>
                    <w:pStyle w:val="6"/>
                    <w:snapToGrid w:val="0"/>
                    <w:spacing w:before="0" w:after="0"/>
                    <w:jc w:val="center"/>
                    <w:rPr>
                      <w:rFonts w:hint="default" w:ascii="Times New Roman" w:hAnsi="Times New Roman" w:eastAsia="宋体" w:cs="Times New Roman"/>
                      <w:bCs/>
                      <w:color w:val="auto"/>
                      <w:kern w:val="0"/>
                      <w:sz w:val="21"/>
                      <w:szCs w:val="21"/>
                      <w:lang w:val="en-US" w:eastAsia="zh-CN"/>
                    </w:rPr>
                  </w:pPr>
                  <w:r>
                    <w:rPr>
                      <w:rFonts w:hint="eastAsia" w:ascii="Times New Roman" w:hAnsi="Times New Roman" w:cs="Times New Roman"/>
                      <w:bCs/>
                      <w:color w:val="auto"/>
                      <w:kern w:val="0"/>
                      <w:sz w:val="21"/>
                      <w:szCs w:val="21"/>
                      <w:lang w:val="en-US" w:eastAsia="zh-CN"/>
                    </w:rPr>
                    <w:t>22.4</w:t>
                  </w:r>
                </w:p>
              </w:tc>
              <w:tc>
                <w:tcPr>
                  <w:tcW w:w="1010" w:type="dxa"/>
                  <w:vAlign w:val="center"/>
                </w:tcPr>
                <w:p w14:paraId="17515E9B">
                  <w:pPr>
                    <w:pStyle w:val="6"/>
                    <w:snapToGrid w:val="0"/>
                    <w:spacing w:before="0" w:after="0"/>
                    <w:jc w:val="center"/>
                    <w:rPr>
                      <w:rFonts w:hint="default" w:ascii="Times New Roman" w:hAnsi="Times New Roman" w:eastAsia="宋体" w:cs="Times New Roman"/>
                      <w:bCs/>
                      <w:color w:val="auto"/>
                      <w:kern w:val="0"/>
                      <w:sz w:val="21"/>
                      <w:szCs w:val="21"/>
                      <w:lang w:val="en-US" w:eastAsia="zh-CN"/>
                    </w:rPr>
                  </w:pPr>
                  <w:r>
                    <w:rPr>
                      <w:rFonts w:hint="eastAsia" w:ascii="Times New Roman" w:hAnsi="Times New Roman" w:cs="Times New Roman"/>
                      <w:bCs/>
                      <w:color w:val="auto"/>
                      <w:kern w:val="0"/>
                      <w:sz w:val="21"/>
                      <w:szCs w:val="21"/>
                      <w:lang w:val="en-US" w:eastAsia="zh-CN"/>
                    </w:rPr>
                    <w:t>22</w:t>
                  </w:r>
                </w:p>
              </w:tc>
            </w:tr>
            <w:tr w14:paraId="049567A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13" w:hRule="atLeast"/>
              </w:trPr>
              <w:tc>
                <w:tcPr>
                  <w:tcW w:w="409" w:type="pct"/>
                  <w:vAlign w:val="center"/>
                </w:tcPr>
                <w:p w14:paraId="07D310F9">
                  <w:pPr>
                    <w:pStyle w:val="6"/>
                    <w:snapToGrid w:val="0"/>
                    <w:spacing w:before="0" w:after="0"/>
                    <w:jc w:val="center"/>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sz w:val="21"/>
                      <w:szCs w:val="21"/>
                    </w:rPr>
                    <w:t>4</w:t>
                  </w:r>
                </w:p>
              </w:tc>
              <w:tc>
                <w:tcPr>
                  <w:tcW w:w="2128" w:type="dxa"/>
                  <w:vAlign w:val="center"/>
                </w:tcPr>
                <w:p w14:paraId="44DEA2F1">
                  <w:pPr>
                    <w:adjustRightInd w:val="0"/>
                    <w:snapToGrid w:val="0"/>
                    <w:jc w:val="center"/>
                    <w:rPr>
                      <w:rFonts w:hint="default" w:ascii="Times New Roman" w:hAnsi="Times New Roman" w:cs="Times New Roman"/>
                      <w:bCs/>
                      <w:color w:val="auto"/>
                      <w:kern w:val="0"/>
                      <w:sz w:val="21"/>
                      <w:szCs w:val="21"/>
                    </w:rPr>
                  </w:pPr>
                  <w:r>
                    <w:rPr>
                      <w:rFonts w:hint="eastAsia"/>
                      <w:color w:val="auto"/>
                      <w:kern w:val="0"/>
                      <w:sz w:val="21"/>
                      <w:szCs w:val="21"/>
                      <w:lang w:val="en-US" w:eastAsia="zh-CN"/>
                    </w:rPr>
                    <w:t>喷锌房</w:t>
                  </w:r>
                </w:p>
              </w:tc>
              <w:tc>
                <w:tcPr>
                  <w:tcW w:w="1139" w:type="dxa"/>
                  <w:vAlign w:val="bottom"/>
                </w:tcPr>
                <w:p w14:paraId="549B0311">
                  <w:pPr>
                    <w:pStyle w:val="6"/>
                    <w:snapToGrid w:val="0"/>
                    <w:spacing w:before="0" w:after="0"/>
                    <w:jc w:val="center"/>
                    <w:rPr>
                      <w:rFonts w:hint="default" w:ascii="Times New Roman" w:hAnsi="Times New Roman" w:eastAsia="宋体" w:cs="Times New Roman"/>
                      <w:bCs/>
                      <w:color w:val="auto"/>
                      <w:kern w:val="0"/>
                      <w:sz w:val="21"/>
                      <w:szCs w:val="21"/>
                    </w:rPr>
                  </w:pPr>
                  <w:r>
                    <w:rPr>
                      <w:rFonts w:hint="eastAsia" w:ascii="Times New Roman" w:hAnsi="Times New Roman" w:eastAsia="宋体" w:cs="Times New Roman"/>
                      <w:bCs/>
                      <w:color w:val="auto"/>
                      <w:kern w:val="0"/>
                      <w:sz w:val="21"/>
                      <w:szCs w:val="21"/>
                      <w:lang w:val="en-US" w:eastAsia="zh-CN"/>
                    </w:rPr>
                    <w:t>70.0</w:t>
                  </w:r>
                </w:p>
              </w:tc>
              <w:tc>
                <w:tcPr>
                  <w:tcW w:w="558" w:type="pct"/>
                  <w:vAlign w:val="center"/>
                </w:tcPr>
                <w:p w14:paraId="12275C68">
                  <w:pPr>
                    <w:pStyle w:val="6"/>
                    <w:snapToGrid w:val="0"/>
                    <w:spacing w:before="0" w:after="0"/>
                    <w:jc w:val="center"/>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sz w:val="21"/>
                      <w:szCs w:val="21"/>
                    </w:rPr>
                    <w:t>25</w:t>
                  </w:r>
                </w:p>
              </w:tc>
              <w:tc>
                <w:tcPr>
                  <w:tcW w:w="955" w:type="dxa"/>
                  <w:vAlign w:val="bottom"/>
                </w:tcPr>
                <w:p w14:paraId="3EA4AA7B">
                  <w:pPr>
                    <w:pStyle w:val="6"/>
                    <w:snapToGrid w:val="0"/>
                    <w:spacing w:before="0" w:after="0"/>
                    <w:jc w:val="center"/>
                    <w:rPr>
                      <w:rFonts w:hint="default" w:ascii="Times New Roman" w:hAnsi="Times New Roman" w:eastAsia="宋体" w:cs="Times New Roman"/>
                      <w:bCs/>
                      <w:color w:val="auto"/>
                      <w:kern w:val="0"/>
                      <w:sz w:val="21"/>
                      <w:szCs w:val="21"/>
                      <w:lang w:val="en-US" w:eastAsia="zh-CN"/>
                    </w:rPr>
                  </w:pPr>
                  <w:r>
                    <w:rPr>
                      <w:rFonts w:hint="eastAsia" w:ascii="Times New Roman" w:hAnsi="Times New Roman" w:cs="Times New Roman"/>
                      <w:bCs/>
                      <w:color w:val="auto"/>
                      <w:kern w:val="0"/>
                      <w:sz w:val="21"/>
                      <w:szCs w:val="21"/>
                      <w:lang w:val="en-US" w:eastAsia="zh-CN"/>
                    </w:rPr>
                    <w:t>14.1</w:t>
                  </w:r>
                </w:p>
              </w:tc>
              <w:tc>
                <w:tcPr>
                  <w:tcW w:w="955" w:type="dxa"/>
                  <w:vAlign w:val="bottom"/>
                </w:tcPr>
                <w:p w14:paraId="3BD940B0">
                  <w:pPr>
                    <w:pStyle w:val="6"/>
                    <w:snapToGrid w:val="0"/>
                    <w:spacing w:before="0" w:after="0"/>
                    <w:jc w:val="center"/>
                    <w:rPr>
                      <w:rFonts w:hint="default" w:ascii="Times New Roman" w:hAnsi="Times New Roman" w:eastAsia="宋体" w:cs="Times New Roman"/>
                      <w:bCs/>
                      <w:color w:val="auto"/>
                      <w:kern w:val="0"/>
                      <w:sz w:val="21"/>
                      <w:szCs w:val="21"/>
                      <w:lang w:val="en-US" w:eastAsia="zh-CN"/>
                    </w:rPr>
                  </w:pPr>
                  <w:r>
                    <w:rPr>
                      <w:rFonts w:hint="eastAsia" w:ascii="Times New Roman" w:hAnsi="Times New Roman" w:cs="Times New Roman"/>
                      <w:bCs/>
                      <w:color w:val="auto"/>
                      <w:kern w:val="0"/>
                      <w:sz w:val="21"/>
                      <w:szCs w:val="21"/>
                      <w:lang w:val="en-US" w:eastAsia="zh-CN"/>
                    </w:rPr>
                    <w:t>48.1</w:t>
                  </w:r>
                </w:p>
              </w:tc>
              <w:tc>
                <w:tcPr>
                  <w:tcW w:w="955" w:type="dxa"/>
                  <w:vAlign w:val="bottom"/>
                </w:tcPr>
                <w:p w14:paraId="25BC8988">
                  <w:pPr>
                    <w:pStyle w:val="6"/>
                    <w:snapToGrid w:val="0"/>
                    <w:spacing w:before="0" w:after="0"/>
                    <w:jc w:val="center"/>
                    <w:rPr>
                      <w:rFonts w:hint="default" w:ascii="Times New Roman" w:hAnsi="Times New Roman" w:eastAsia="宋体" w:cs="Times New Roman"/>
                      <w:bCs/>
                      <w:color w:val="auto"/>
                      <w:kern w:val="0"/>
                      <w:sz w:val="21"/>
                      <w:szCs w:val="21"/>
                      <w:lang w:val="en-US" w:eastAsia="zh-CN"/>
                    </w:rPr>
                  </w:pPr>
                  <w:r>
                    <w:rPr>
                      <w:rFonts w:hint="eastAsia" w:ascii="Times New Roman" w:hAnsi="Times New Roman" w:cs="Times New Roman"/>
                      <w:bCs/>
                      <w:color w:val="auto"/>
                      <w:kern w:val="0"/>
                      <w:sz w:val="21"/>
                      <w:szCs w:val="21"/>
                      <w:lang w:val="en-US" w:eastAsia="zh-CN"/>
                    </w:rPr>
                    <w:t>22.5</w:t>
                  </w:r>
                </w:p>
              </w:tc>
              <w:tc>
                <w:tcPr>
                  <w:tcW w:w="1010" w:type="dxa"/>
                  <w:vAlign w:val="center"/>
                </w:tcPr>
                <w:p w14:paraId="3856D6E7">
                  <w:pPr>
                    <w:pStyle w:val="6"/>
                    <w:snapToGrid w:val="0"/>
                    <w:spacing w:before="0" w:after="0"/>
                    <w:jc w:val="center"/>
                    <w:rPr>
                      <w:rFonts w:hint="default" w:ascii="Times New Roman" w:hAnsi="Times New Roman" w:eastAsia="宋体" w:cs="Times New Roman"/>
                      <w:bCs/>
                      <w:color w:val="auto"/>
                      <w:kern w:val="0"/>
                      <w:sz w:val="21"/>
                      <w:szCs w:val="21"/>
                      <w:lang w:val="en-US" w:eastAsia="zh-CN"/>
                    </w:rPr>
                  </w:pPr>
                  <w:r>
                    <w:rPr>
                      <w:rFonts w:hint="eastAsia" w:ascii="Times New Roman" w:hAnsi="Times New Roman" w:cs="Times New Roman"/>
                      <w:bCs/>
                      <w:color w:val="auto"/>
                      <w:kern w:val="0"/>
                      <w:sz w:val="21"/>
                      <w:szCs w:val="21"/>
                      <w:lang w:val="en-US" w:eastAsia="zh-CN"/>
                    </w:rPr>
                    <w:t>22.2</w:t>
                  </w:r>
                </w:p>
              </w:tc>
            </w:tr>
            <w:tr w14:paraId="77B6E1C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13" w:hRule="atLeast"/>
              </w:trPr>
              <w:tc>
                <w:tcPr>
                  <w:tcW w:w="409" w:type="pct"/>
                  <w:vAlign w:val="center"/>
                </w:tcPr>
                <w:p w14:paraId="78A7EC27">
                  <w:pPr>
                    <w:pStyle w:val="6"/>
                    <w:snapToGrid w:val="0"/>
                    <w:spacing w:before="0" w:after="0"/>
                    <w:jc w:val="center"/>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sz w:val="21"/>
                      <w:szCs w:val="21"/>
                    </w:rPr>
                    <w:t>5</w:t>
                  </w:r>
                </w:p>
              </w:tc>
              <w:tc>
                <w:tcPr>
                  <w:tcW w:w="2128" w:type="dxa"/>
                  <w:vAlign w:val="center"/>
                </w:tcPr>
                <w:p w14:paraId="1197BBAB">
                  <w:pPr>
                    <w:adjustRightInd w:val="0"/>
                    <w:snapToGrid w:val="0"/>
                    <w:jc w:val="center"/>
                    <w:rPr>
                      <w:rFonts w:hint="default" w:ascii="Times New Roman" w:hAnsi="Times New Roman" w:cs="Times New Roman"/>
                      <w:bCs/>
                      <w:color w:val="auto"/>
                      <w:kern w:val="0"/>
                      <w:sz w:val="21"/>
                      <w:szCs w:val="21"/>
                    </w:rPr>
                  </w:pPr>
                  <w:r>
                    <w:rPr>
                      <w:rFonts w:hint="eastAsia"/>
                      <w:color w:val="auto"/>
                      <w:kern w:val="0"/>
                      <w:sz w:val="21"/>
                      <w:szCs w:val="21"/>
                      <w:lang w:val="en-US" w:eastAsia="zh-CN"/>
                    </w:rPr>
                    <w:t>喷漆房</w:t>
                  </w:r>
                </w:p>
              </w:tc>
              <w:tc>
                <w:tcPr>
                  <w:tcW w:w="1139" w:type="dxa"/>
                  <w:vAlign w:val="bottom"/>
                </w:tcPr>
                <w:p w14:paraId="55C87CBB">
                  <w:pPr>
                    <w:pStyle w:val="6"/>
                    <w:snapToGrid w:val="0"/>
                    <w:spacing w:before="0" w:after="0"/>
                    <w:jc w:val="center"/>
                    <w:rPr>
                      <w:rFonts w:hint="default" w:ascii="Times New Roman" w:hAnsi="Times New Roman" w:eastAsia="宋体" w:cs="Times New Roman"/>
                      <w:bCs/>
                      <w:color w:val="auto"/>
                      <w:kern w:val="0"/>
                      <w:sz w:val="21"/>
                      <w:szCs w:val="21"/>
                    </w:rPr>
                  </w:pPr>
                  <w:r>
                    <w:rPr>
                      <w:rFonts w:hint="eastAsia" w:ascii="Times New Roman" w:hAnsi="Times New Roman" w:eastAsia="宋体" w:cs="Times New Roman"/>
                      <w:bCs/>
                      <w:color w:val="auto"/>
                      <w:kern w:val="0"/>
                      <w:sz w:val="21"/>
                      <w:szCs w:val="21"/>
                      <w:lang w:val="en-US" w:eastAsia="zh-CN"/>
                    </w:rPr>
                    <w:t>76.0</w:t>
                  </w:r>
                </w:p>
              </w:tc>
              <w:tc>
                <w:tcPr>
                  <w:tcW w:w="558" w:type="pct"/>
                  <w:vAlign w:val="center"/>
                </w:tcPr>
                <w:p w14:paraId="6915A975">
                  <w:pPr>
                    <w:pStyle w:val="6"/>
                    <w:snapToGrid w:val="0"/>
                    <w:spacing w:before="0" w:after="0"/>
                    <w:jc w:val="center"/>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sz w:val="21"/>
                      <w:szCs w:val="21"/>
                    </w:rPr>
                    <w:t>25</w:t>
                  </w:r>
                </w:p>
              </w:tc>
              <w:tc>
                <w:tcPr>
                  <w:tcW w:w="955" w:type="dxa"/>
                  <w:vAlign w:val="bottom"/>
                </w:tcPr>
                <w:p w14:paraId="7D13E427">
                  <w:pPr>
                    <w:pStyle w:val="6"/>
                    <w:snapToGrid w:val="0"/>
                    <w:spacing w:before="0" w:after="0"/>
                    <w:jc w:val="center"/>
                    <w:rPr>
                      <w:rFonts w:hint="default" w:ascii="Times New Roman" w:hAnsi="Times New Roman" w:eastAsia="宋体" w:cs="Times New Roman"/>
                      <w:bCs/>
                      <w:color w:val="auto"/>
                      <w:kern w:val="0"/>
                      <w:sz w:val="21"/>
                      <w:szCs w:val="21"/>
                      <w:lang w:val="en-US" w:eastAsia="zh-CN"/>
                    </w:rPr>
                  </w:pPr>
                  <w:r>
                    <w:rPr>
                      <w:rFonts w:hint="eastAsia" w:ascii="Times New Roman" w:hAnsi="Times New Roman" w:cs="Times New Roman"/>
                      <w:bCs/>
                      <w:color w:val="auto"/>
                      <w:kern w:val="0"/>
                      <w:sz w:val="21"/>
                      <w:szCs w:val="21"/>
                      <w:lang w:val="en-US" w:eastAsia="zh-CN"/>
                    </w:rPr>
                    <w:t>17.5</w:t>
                  </w:r>
                </w:p>
              </w:tc>
              <w:tc>
                <w:tcPr>
                  <w:tcW w:w="955" w:type="dxa"/>
                  <w:vAlign w:val="bottom"/>
                </w:tcPr>
                <w:p w14:paraId="573EE726">
                  <w:pPr>
                    <w:pStyle w:val="6"/>
                    <w:snapToGrid w:val="0"/>
                    <w:spacing w:before="0" w:after="0"/>
                    <w:jc w:val="center"/>
                    <w:rPr>
                      <w:rFonts w:hint="default" w:ascii="Times New Roman" w:hAnsi="Times New Roman" w:eastAsia="宋体" w:cs="Times New Roman"/>
                      <w:bCs/>
                      <w:color w:val="auto"/>
                      <w:kern w:val="0"/>
                      <w:sz w:val="21"/>
                      <w:szCs w:val="21"/>
                      <w:lang w:val="en-US" w:eastAsia="zh-CN"/>
                    </w:rPr>
                  </w:pPr>
                  <w:r>
                    <w:rPr>
                      <w:rFonts w:hint="eastAsia" w:ascii="Times New Roman" w:hAnsi="Times New Roman" w:cs="Times New Roman"/>
                      <w:bCs/>
                      <w:color w:val="auto"/>
                      <w:kern w:val="0"/>
                      <w:sz w:val="21"/>
                      <w:szCs w:val="21"/>
                      <w:lang w:val="en-US" w:eastAsia="zh-CN"/>
                    </w:rPr>
                    <w:t>52.8</w:t>
                  </w:r>
                </w:p>
              </w:tc>
              <w:tc>
                <w:tcPr>
                  <w:tcW w:w="955" w:type="dxa"/>
                  <w:vAlign w:val="bottom"/>
                </w:tcPr>
                <w:p w14:paraId="498D513C">
                  <w:pPr>
                    <w:pStyle w:val="6"/>
                    <w:snapToGrid w:val="0"/>
                    <w:spacing w:before="0" w:after="0"/>
                    <w:jc w:val="center"/>
                    <w:rPr>
                      <w:rFonts w:hint="default" w:ascii="Times New Roman" w:hAnsi="Times New Roman" w:eastAsia="宋体" w:cs="Times New Roman"/>
                      <w:bCs/>
                      <w:color w:val="auto"/>
                      <w:kern w:val="0"/>
                      <w:sz w:val="21"/>
                      <w:szCs w:val="21"/>
                      <w:lang w:val="en-US" w:eastAsia="zh-CN"/>
                    </w:rPr>
                  </w:pPr>
                  <w:r>
                    <w:rPr>
                      <w:rFonts w:hint="eastAsia" w:ascii="Times New Roman" w:hAnsi="Times New Roman" w:cs="Times New Roman"/>
                      <w:bCs/>
                      <w:color w:val="auto"/>
                      <w:kern w:val="0"/>
                      <w:sz w:val="21"/>
                      <w:szCs w:val="21"/>
                      <w:lang w:val="en-US" w:eastAsia="zh-CN"/>
                    </w:rPr>
                    <w:t>22.7</w:t>
                  </w:r>
                </w:p>
              </w:tc>
              <w:tc>
                <w:tcPr>
                  <w:tcW w:w="1010" w:type="dxa"/>
                  <w:vAlign w:val="center"/>
                </w:tcPr>
                <w:p w14:paraId="0204313C">
                  <w:pPr>
                    <w:pStyle w:val="6"/>
                    <w:snapToGrid w:val="0"/>
                    <w:spacing w:before="0" w:after="0"/>
                    <w:jc w:val="center"/>
                    <w:rPr>
                      <w:rFonts w:hint="default" w:ascii="Times New Roman" w:hAnsi="Times New Roman" w:eastAsia="宋体" w:cs="Times New Roman"/>
                      <w:bCs/>
                      <w:color w:val="auto"/>
                      <w:kern w:val="0"/>
                      <w:sz w:val="21"/>
                      <w:szCs w:val="21"/>
                      <w:lang w:val="en-US" w:eastAsia="zh-CN"/>
                    </w:rPr>
                  </w:pPr>
                  <w:r>
                    <w:rPr>
                      <w:rFonts w:hint="eastAsia" w:ascii="Times New Roman" w:hAnsi="Times New Roman" w:cs="Times New Roman"/>
                      <w:bCs/>
                      <w:color w:val="auto"/>
                      <w:kern w:val="0"/>
                      <w:sz w:val="21"/>
                      <w:szCs w:val="21"/>
                      <w:lang w:val="en-US" w:eastAsia="zh-CN"/>
                    </w:rPr>
                    <w:t>22.9</w:t>
                  </w:r>
                </w:p>
              </w:tc>
            </w:tr>
            <w:tr w14:paraId="338B561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13" w:hRule="atLeast"/>
              </w:trPr>
              <w:tc>
                <w:tcPr>
                  <w:tcW w:w="2812" w:type="pct"/>
                  <w:gridSpan w:val="4"/>
                  <w:vAlign w:val="center"/>
                </w:tcPr>
                <w:p w14:paraId="538393DC">
                  <w:pPr>
                    <w:pStyle w:val="601"/>
                    <w:adjustRightInd w:val="0"/>
                    <w:snapToGrid w:val="0"/>
                    <w:spacing w:line="240" w:lineRule="auto"/>
                    <w:ind w:firstLine="0" w:firstLineChars="0"/>
                    <w:jc w:val="center"/>
                    <w:rPr>
                      <w:rFonts w:hint="default" w:ascii="Times New Roman" w:hAnsi="Times New Roman" w:cs="Times New Roman"/>
                      <w:bCs/>
                      <w:color w:val="auto"/>
                      <w:kern w:val="0"/>
                      <w:sz w:val="21"/>
                      <w:szCs w:val="21"/>
                    </w:rPr>
                  </w:pPr>
                  <w:r>
                    <w:rPr>
                      <w:rFonts w:hint="default" w:ascii="Times New Roman" w:hAnsi="Times New Roman" w:cs="Times New Roman"/>
                      <w:color w:val="auto"/>
                      <w:kern w:val="0"/>
                      <w:sz w:val="21"/>
                      <w:szCs w:val="21"/>
                    </w:rPr>
                    <w:t>贡献值</w:t>
                  </w:r>
                </w:p>
              </w:tc>
              <w:tc>
                <w:tcPr>
                  <w:tcW w:w="955" w:type="dxa"/>
                  <w:vAlign w:val="center"/>
                </w:tcPr>
                <w:p w14:paraId="7BCD99EF">
                  <w:pPr>
                    <w:keepNext w:val="0"/>
                    <w:keepLines w:val="0"/>
                    <w:widowControl/>
                    <w:suppressLineNumbers w:val="0"/>
                    <w:jc w:val="center"/>
                    <w:textAlignment w:val="center"/>
                    <w:rPr>
                      <w:rFonts w:hint="default" w:ascii="Times New Roman" w:hAnsi="Times New Roman" w:cs="Times New Roman"/>
                      <w:bCs/>
                      <w:color w:val="auto"/>
                      <w:kern w:val="0"/>
                      <w:sz w:val="21"/>
                      <w:szCs w:val="21"/>
                      <w:lang w:val="en-US" w:eastAsia="zh-CN"/>
                    </w:rPr>
                  </w:pPr>
                  <w:r>
                    <w:rPr>
                      <w:rFonts w:hint="eastAsia" w:cs="Times New Roman"/>
                      <w:i w:val="0"/>
                      <w:iCs w:val="0"/>
                      <w:snapToGrid w:val="0"/>
                      <w:color w:val="auto"/>
                      <w:kern w:val="0"/>
                      <w:sz w:val="21"/>
                      <w:szCs w:val="21"/>
                      <w:u w:val="none"/>
                      <w:lang w:val="en-US" w:eastAsia="zh-CN" w:bidi="ar"/>
                    </w:rPr>
                    <w:t>21.65</w:t>
                  </w:r>
                </w:p>
              </w:tc>
              <w:tc>
                <w:tcPr>
                  <w:tcW w:w="955" w:type="dxa"/>
                  <w:vAlign w:val="center"/>
                </w:tcPr>
                <w:p w14:paraId="3A96EDA0">
                  <w:pPr>
                    <w:keepNext w:val="0"/>
                    <w:keepLines w:val="0"/>
                    <w:widowControl/>
                    <w:suppressLineNumbers w:val="0"/>
                    <w:jc w:val="center"/>
                    <w:textAlignment w:val="center"/>
                    <w:rPr>
                      <w:rFonts w:hint="default" w:ascii="Times New Roman" w:hAnsi="Times New Roman" w:cs="Times New Roman"/>
                      <w:bCs/>
                      <w:color w:val="auto"/>
                      <w:kern w:val="0"/>
                      <w:sz w:val="21"/>
                      <w:szCs w:val="21"/>
                      <w:lang w:val="en-US" w:eastAsia="zh-CN"/>
                    </w:rPr>
                  </w:pPr>
                  <w:r>
                    <w:rPr>
                      <w:rFonts w:hint="eastAsia" w:cs="Times New Roman"/>
                      <w:i w:val="0"/>
                      <w:iCs w:val="0"/>
                      <w:snapToGrid w:val="0"/>
                      <w:color w:val="auto"/>
                      <w:kern w:val="0"/>
                      <w:sz w:val="21"/>
                      <w:szCs w:val="21"/>
                      <w:u w:val="none"/>
                      <w:lang w:val="en-US" w:eastAsia="zh-CN" w:bidi="ar"/>
                    </w:rPr>
                    <w:t>54.62</w:t>
                  </w:r>
                </w:p>
              </w:tc>
              <w:tc>
                <w:tcPr>
                  <w:tcW w:w="955" w:type="dxa"/>
                  <w:vAlign w:val="center"/>
                </w:tcPr>
                <w:p w14:paraId="0B3906FE">
                  <w:pPr>
                    <w:keepNext w:val="0"/>
                    <w:keepLines w:val="0"/>
                    <w:widowControl/>
                    <w:suppressLineNumbers w:val="0"/>
                    <w:jc w:val="center"/>
                    <w:textAlignment w:val="center"/>
                    <w:rPr>
                      <w:rFonts w:hint="default" w:ascii="Times New Roman" w:hAnsi="Times New Roman" w:cs="Times New Roman"/>
                      <w:bCs/>
                      <w:color w:val="auto"/>
                      <w:kern w:val="0"/>
                      <w:sz w:val="21"/>
                      <w:szCs w:val="21"/>
                      <w:lang w:val="en-US" w:eastAsia="zh-CN"/>
                    </w:rPr>
                  </w:pPr>
                  <w:r>
                    <w:rPr>
                      <w:rFonts w:hint="default" w:ascii="Times New Roman" w:hAnsi="Times New Roman" w:eastAsia="宋体" w:cs="Times New Roman"/>
                      <w:i w:val="0"/>
                      <w:iCs w:val="0"/>
                      <w:snapToGrid w:val="0"/>
                      <w:color w:val="auto"/>
                      <w:kern w:val="0"/>
                      <w:sz w:val="21"/>
                      <w:szCs w:val="21"/>
                      <w:u w:val="none"/>
                      <w:lang w:val="en-US" w:eastAsia="zh-CN" w:bidi="ar"/>
                    </w:rPr>
                    <w:t>2</w:t>
                  </w:r>
                  <w:r>
                    <w:rPr>
                      <w:rFonts w:hint="eastAsia" w:cs="Times New Roman"/>
                      <w:i w:val="0"/>
                      <w:iCs w:val="0"/>
                      <w:snapToGrid w:val="0"/>
                      <w:color w:val="auto"/>
                      <w:kern w:val="0"/>
                      <w:sz w:val="21"/>
                      <w:szCs w:val="21"/>
                      <w:u w:val="none"/>
                      <w:lang w:val="en-US" w:eastAsia="zh-CN" w:bidi="ar"/>
                    </w:rPr>
                    <w:t>9.14</w:t>
                  </w:r>
                </w:p>
              </w:tc>
              <w:tc>
                <w:tcPr>
                  <w:tcW w:w="1010" w:type="dxa"/>
                  <w:vAlign w:val="center"/>
                </w:tcPr>
                <w:p w14:paraId="25889BB1">
                  <w:pPr>
                    <w:keepNext w:val="0"/>
                    <w:keepLines w:val="0"/>
                    <w:widowControl/>
                    <w:suppressLineNumbers w:val="0"/>
                    <w:jc w:val="center"/>
                    <w:textAlignment w:val="center"/>
                    <w:rPr>
                      <w:rFonts w:hint="default" w:ascii="Times New Roman" w:hAnsi="Times New Roman" w:cs="Times New Roman"/>
                      <w:bCs/>
                      <w:color w:val="auto"/>
                      <w:kern w:val="0"/>
                      <w:sz w:val="21"/>
                      <w:szCs w:val="21"/>
                      <w:lang w:val="en-US" w:eastAsia="zh-CN"/>
                    </w:rPr>
                  </w:pPr>
                  <w:r>
                    <w:rPr>
                      <w:rFonts w:hint="default" w:ascii="Times New Roman" w:hAnsi="Times New Roman" w:eastAsia="宋体" w:cs="Times New Roman"/>
                      <w:i w:val="0"/>
                      <w:iCs w:val="0"/>
                      <w:snapToGrid w:val="0"/>
                      <w:color w:val="auto"/>
                      <w:kern w:val="0"/>
                      <w:sz w:val="21"/>
                      <w:szCs w:val="21"/>
                      <w:u w:val="none"/>
                      <w:lang w:val="en-US" w:eastAsia="zh-CN" w:bidi="ar"/>
                    </w:rPr>
                    <w:t>2</w:t>
                  </w:r>
                  <w:r>
                    <w:rPr>
                      <w:rFonts w:hint="eastAsia" w:cs="Times New Roman"/>
                      <w:i w:val="0"/>
                      <w:iCs w:val="0"/>
                      <w:snapToGrid w:val="0"/>
                      <w:color w:val="auto"/>
                      <w:kern w:val="0"/>
                      <w:sz w:val="21"/>
                      <w:szCs w:val="21"/>
                      <w:u w:val="none"/>
                      <w:lang w:val="en-US" w:eastAsia="zh-CN" w:bidi="ar"/>
                    </w:rPr>
                    <w:t>9.01</w:t>
                  </w:r>
                </w:p>
              </w:tc>
            </w:tr>
            <w:tr w14:paraId="6161480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13" w:hRule="atLeast"/>
              </w:trPr>
              <w:tc>
                <w:tcPr>
                  <w:tcW w:w="2812" w:type="pct"/>
                  <w:gridSpan w:val="4"/>
                  <w:vAlign w:val="center"/>
                </w:tcPr>
                <w:p w14:paraId="2653A287">
                  <w:pPr>
                    <w:pStyle w:val="601"/>
                    <w:adjustRightInd w:val="0"/>
                    <w:snapToGrid w:val="0"/>
                    <w:spacing w:line="240" w:lineRule="auto"/>
                    <w:ind w:firstLine="0" w:firstLineChars="0"/>
                    <w:jc w:val="center"/>
                    <w:rPr>
                      <w:rFonts w:hint="default" w:ascii="Times New Roman" w:hAnsi="Times New Roman" w:cs="Times New Roman"/>
                      <w:bCs/>
                      <w:color w:val="auto"/>
                      <w:kern w:val="0"/>
                      <w:sz w:val="21"/>
                      <w:szCs w:val="21"/>
                    </w:rPr>
                  </w:pPr>
                  <w:r>
                    <w:rPr>
                      <w:rFonts w:hint="default" w:ascii="Times New Roman" w:hAnsi="Times New Roman" w:cs="Times New Roman"/>
                      <w:color w:val="auto"/>
                      <w:kern w:val="0"/>
                      <w:sz w:val="21"/>
                      <w:szCs w:val="21"/>
                    </w:rPr>
                    <w:t>标准限值（昼）</w:t>
                  </w:r>
                </w:p>
              </w:tc>
              <w:tc>
                <w:tcPr>
                  <w:tcW w:w="539" w:type="pct"/>
                  <w:vAlign w:val="center"/>
                </w:tcPr>
                <w:p w14:paraId="2FF5C621">
                  <w:pPr>
                    <w:pStyle w:val="6"/>
                    <w:snapToGrid w:val="0"/>
                    <w:spacing w:before="0" w:after="0"/>
                    <w:jc w:val="center"/>
                    <w:rPr>
                      <w:rFonts w:hint="default" w:ascii="Times New Roman" w:hAnsi="Times New Roman" w:eastAsia="宋体" w:cs="Times New Roman"/>
                      <w:bCs/>
                      <w:color w:val="auto"/>
                      <w:kern w:val="0"/>
                      <w:sz w:val="21"/>
                      <w:szCs w:val="21"/>
                      <w:lang w:eastAsia="zh-CN"/>
                    </w:rPr>
                  </w:pPr>
                  <w:r>
                    <w:rPr>
                      <w:rFonts w:hint="default" w:ascii="Times New Roman" w:hAnsi="Times New Roman" w:cs="Times New Roman"/>
                      <w:bCs/>
                      <w:color w:val="auto"/>
                      <w:kern w:val="0"/>
                      <w:sz w:val="21"/>
                      <w:szCs w:val="21"/>
                    </w:rPr>
                    <w:t>6</w:t>
                  </w:r>
                  <w:r>
                    <w:rPr>
                      <w:rFonts w:hint="eastAsia" w:ascii="Times New Roman" w:hAnsi="Times New Roman" w:cs="Times New Roman"/>
                      <w:bCs/>
                      <w:color w:val="auto"/>
                      <w:kern w:val="0"/>
                      <w:sz w:val="21"/>
                      <w:szCs w:val="21"/>
                      <w:lang w:val="en-US" w:eastAsia="zh-CN"/>
                    </w:rPr>
                    <w:t>5</w:t>
                  </w:r>
                </w:p>
              </w:tc>
              <w:tc>
                <w:tcPr>
                  <w:tcW w:w="539" w:type="pct"/>
                  <w:vAlign w:val="center"/>
                </w:tcPr>
                <w:p w14:paraId="0AC5BA2C">
                  <w:pPr>
                    <w:snapToGrid w:val="0"/>
                    <w:jc w:val="center"/>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sz w:val="21"/>
                      <w:szCs w:val="21"/>
                    </w:rPr>
                    <w:t>6</w:t>
                  </w:r>
                  <w:r>
                    <w:rPr>
                      <w:rFonts w:hint="eastAsia" w:cs="Times New Roman"/>
                      <w:bCs/>
                      <w:color w:val="auto"/>
                      <w:kern w:val="0"/>
                      <w:sz w:val="21"/>
                      <w:szCs w:val="21"/>
                      <w:lang w:val="en-US" w:eastAsia="zh-CN"/>
                    </w:rPr>
                    <w:t>5</w:t>
                  </w:r>
                </w:p>
              </w:tc>
              <w:tc>
                <w:tcPr>
                  <w:tcW w:w="539" w:type="pct"/>
                  <w:vAlign w:val="center"/>
                </w:tcPr>
                <w:p w14:paraId="2DAD4F4C">
                  <w:pPr>
                    <w:snapToGrid w:val="0"/>
                    <w:jc w:val="center"/>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sz w:val="21"/>
                      <w:szCs w:val="21"/>
                    </w:rPr>
                    <w:t>6</w:t>
                  </w:r>
                  <w:r>
                    <w:rPr>
                      <w:rFonts w:hint="eastAsia" w:cs="Times New Roman"/>
                      <w:bCs/>
                      <w:color w:val="auto"/>
                      <w:kern w:val="0"/>
                      <w:sz w:val="21"/>
                      <w:szCs w:val="21"/>
                      <w:lang w:val="en-US" w:eastAsia="zh-CN"/>
                    </w:rPr>
                    <w:t>5</w:t>
                  </w:r>
                </w:p>
              </w:tc>
              <w:tc>
                <w:tcPr>
                  <w:tcW w:w="570" w:type="pct"/>
                  <w:vAlign w:val="center"/>
                </w:tcPr>
                <w:p w14:paraId="395FEA21">
                  <w:pPr>
                    <w:snapToGrid w:val="0"/>
                    <w:jc w:val="center"/>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sz w:val="21"/>
                      <w:szCs w:val="21"/>
                    </w:rPr>
                    <w:t>6</w:t>
                  </w:r>
                  <w:r>
                    <w:rPr>
                      <w:rFonts w:hint="eastAsia" w:cs="Times New Roman"/>
                      <w:bCs/>
                      <w:color w:val="auto"/>
                      <w:kern w:val="0"/>
                      <w:sz w:val="21"/>
                      <w:szCs w:val="21"/>
                      <w:lang w:val="en-US" w:eastAsia="zh-CN"/>
                    </w:rPr>
                    <w:t>5</w:t>
                  </w:r>
                </w:p>
              </w:tc>
            </w:tr>
            <w:tr w14:paraId="6ED02AA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13" w:hRule="atLeast"/>
              </w:trPr>
              <w:tc>
                <w:tcPr>
                  <w:tcW w:w="2812" w:type="pct"/>
                  <w:gridSpan w:val="4"/>
                  <w:vAlign w:val="center"/>
                </w:tcPr>
                <w:p w14:paraId="0B8F0B99">
                  <w:pPr>
                    <w:pStyle w:val="601"/>
                    <w:adjustRightInd w:val="0"/>
                    <w:snapToGrid w:val="0"/>
                    <w:spacing w:line="240" w:lineRule="auto"/>
                    <w:ind w:firstLine="0" w:firstLineChars="0"/>
                    <w:jc w:val="center"/>
                    <w:rPr>
                      <w:rFonts w:hint="default" w:ascii="Times New Roman" w:hAnsi="Times New Roman" w:cs="Times New Roman"/>
                      <w:bCs/>
                      <w:color w:val="auto"/>
                      <w:kern w:val="0"/>
                      <w:sz w:val="21"/>
                      <w:szCs w:val="21"/>
                    </w:rPr>
                  </w:pPr>
                  <w:r>
                    <w:rPr>
                      <w:rFonts w:hint="default" w:ascii="Times New Roman" w:hAnsi="Times New Roman" w:cs="Times New Roman"/>
                      <w:color w:val="auto"/>
                      <w:kern w:val="0"/>
                      <w:sz w:val="21"/>
                      <w:szCs w:val="21"/>
                    </w:rPr>
                    <w:t>达标情况</w:t>
                  </w:r>
                </w:p>
              </w:tc>
              <w:tc>
                <w:tcPr>
                  <w:tcW w:w="539" w:type="pct"/>
                  <w:vAlign w:val="center"/>
                </w:tcPr>
                <w:p w14:paraId="46F26429">
                  <w:pPr>
                    <w:pStyle w:val="6"/>
                    <w:snapToGrid w:val="0"/>
                    <w:spacing w:before="0" w:after="0"/>
                    <w:jc w:val="center"/>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sz w:val="21"/>
                      <w:szCs w:val="21"/>
                    </w:rPr>
                    <w:t>达标</w:t>
                  </w:r>
                </w:p>
              </w:tc>
              <w:tc>
                <w:tcPr>
                  <w:tcW w:w="539" w:type="pct"/>
                  <w:vAlign w:val="center"/>
                </w:tcPr>
                <w:p w14:paraId="479A94C0">
                  <w:pPr>
                    <w:snapToGrid w:val="0"/>
                    <w:spacing w:before="0" w:after="0"/>
                    <w:jc w:val="center"/>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sz w:val="21"/>
                      <w:szCs w:val="21"/>
                    </w:rPr>
                    <w:t>达标</w:t>
                  </w:r>
                </w:p>
              </w:tc>
              <w:tc>
                <w:tcPr>
                  <w:tcW w:w="539" w:type="pct"/>
                  <w:vAlign w:val="center"/>
                </w:tcPr>
                <w:p w14:paraId="5BF8782F">
                  <w:pPr>
                    <w:snapToGrid w:val="0"/>
                    <w:spacing w:before="0" w:after="0"/>
                    <w:jc w:val="center"/>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sz w:val="21"/>
                      <w:szCs w:val="21"/>
                    </w:rPr>
                    <w:t>达标</w:t>
                  </w:r>
                </w:p>
              </w:tc>
              <w:tc>
                <w:tcPr>
                  <w:tcW w:w="570" w:type="pct"/>
                  <w:vAlign w:val="center"/>
                </w:tcPr>
                <w:p w14:paraId="188C90C3">
                  <w:pPr>
                    <w:snapToGrid w:val="0"/>
                    <w:spacing w:before="0" w:after="0"/>
                    <w:jc w:val="center"/>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sz w:val="21"/>
                      <w:szCs w:val="21"/>
                    </w:rPr>
                    <w:t>达标</w:t>
                  </w:r>
                </w:p>
              </w:tc>
            </w:tr>
          </w:tbl>
          <w:p w14:paraId="161CC11C">
            <w:pPr>
              <w:widowControl/>
              <w:snapToGrid w:val="0"/>
              <w:spacing w:line="360" w:lineRule="auto"/>
              <w:ind w:firstLine="422" w:firstLineChars="200"/>
              <w:rPr>
                <w:b/>
                <w:bCs/>
                <w:color w:val="auto"/>
                <w:kern w:val="0"/>
              </w:rPr>
            </w:pPr>
            <w:r>
              <w:rPr>
                <w:rFonts w:hint="eastAsia"/>
                <w:b/>
                <w:bCs/>
                <w:color w:val="auto"/>
                <w:kern w:val="0"/>
              </w:rPr>
              <w:t>（4）声环境影响分析结论</w:t>
            </w:r>
          </w:p>
          <w:p w14:paraId="46AC0E83">
            <w:pPr>
              <w:pStyle w:val="27"/>
              <w:spacing w:line="360" w:lineRule="auto"/>
              <w:ind w:left="0" w:leftChars="0" w:right="0" w:rightChars="0" w:firstLine="420"/>
              <w:rPr>
                <w:color w:val="auto"/>
                <w:kern w:val="0"/>
                <w:sz w:val="21"/>
              </w:rPr>
            </w:pPr>
            <w:r>
              <w:rPr>
                <w:color w:val="auto"/>
                <w:kern w:val="0"/>
                <w:sz w:val="21"/>
              </w:rPr>
              <w:t>本项目设计通过选用低噪声设备，并采用隔音及减震措施，同时通过优化平面布置、设置绿化带等措施可使厂界噪声达标。</w:t>
            </w:r>
          </w:p>
          <w:p w14:paraId="5F54671C">
            <w:pPr>
              <w:pStyle w:val="27"/>
              <w:spacing w:line="360" w:lineRule="auto"/>
              <w:ind w:left="0" w:leftChars="0" w:right="0" w:rightChars="0" w:firstLine="420"/>
              <w:rPr>
                <w:b/>
                <w:bCs/>
                <w:color w:val="auto"/>
                <w:kern w:val="0"/>
                <w:sz w:val="21"/>
              </w:rPr>
            </w:pPr>
            <w:r>
              <w:rPr>
                <w:color w:val="auto"/>
                <w:kern w:val="0"/>
                <w:sz w:val="21"/>
              </w:rPr>
              <w:t>由上述计算可知，通过采取上述治理措施后，再经距离衰减、减振措施等进一步降噪后，可确保所有厂界</w:t>
            </w:r>
            <w:r>
              <w:rPr>
                <w:rFonts w:hint="eastAsia"/>
                <w:color w:val="auto"/>
                <w:kern w:val="0"/>
                <w:sz w:val="21"/>
              </w:rPr>
              <w:t>噪声贡献值均满足</w:t>
            </w:r>
            <w:r>
              <w:rPr>
                <w:color w:val="auto"/>
                <w:kern w:val="0"/>
                <w:sz w:val="21"/>
              </w:rPr>
              <w:t>《工业企业厂界环境噪声排放标准》（GB12348-2008）表1中</w:t>
            </w:r>
            <w:r>
              <w:rPr>
                <w:rFonts w:hint="eastAsia"/>
                <w:color w:val="auto"/>
                <w:kern w:val="0"/>
                <w:sz w:val="21"/>
                <w:lang w:val="en-US" w:eastAsia="zh-CN"/>
              </w:rPr>
              <w:t>3</w:t>
            </w:r>
            <w:r>
              <w:rPr>
                <w:color w:val="auto"/>
                <w:kern w:val="0"/>
                <w:sz w:val="21"/>
              </w:rPr>
              <w:t>类区限值</w:t>
            </w:r>
            <w:r>
              <w:rPr>
                <w:rFonts w:hint="eastAsia"/>
                <w:color w:val="auto"/>
                <w:kern w:val="0"/>
                <w:sz w:val="21"/>
              </w:rPr>
              <w:t>要求</w:t>
            </w:r>
            <w:r>
              <w:rPr>
                <w:color w:val="auto"/>
                <w:kern w:val="0"/>
                <w:sz w:val="21"/>
              </w:rPr>
              <w:t>。</w:t>
            </w:r>
            <w:r>
              <w:rPr>
                <w:rFonts w:hint="eastAsia"/>
                <w:color w:val="auto"/>
                <w:kern w:val="0"/>
                <w:sz w:val="21"/>
              </w:rPr>
              <w:t>厂界噪声预测值满足《声环境质量标准》（GB3096-2008）</w:t>
            </w:r>
            <w:r>
              <w:rPr>
                <w:color w:val="auto"/>
                <w:kern w:val="0"/>
                <w:sz w:val="21"/>
              </w:rPr>
              <w:t>表1中</w:t>
            </w:r>
            <w:r>
              <w:rPr>
                <w:rFonts w:hint="eastAsia"/>
                <w:color w:val="auto"/>
                <w:kern w:val="0"/>
                <w:sz w:val="21"/>
                <w:lang w:val="en-US" w:eastAsia="zh-CN"/>
              </w:rPr>
              <w:t>3</w:t>
            </w:r>
            <w:r>
              <w:rPr>
                <w:color w:val="auto"/>
                <w:kern w:val="0"/>
                <w:sz w:val="21"/>
              </w:rPr>
              <w:t>类区限值</w:t>
            </w:r>
            <w:r>
              <w:rPr>
                <w:rFonts w:hint="eastAsia"/>
                <w:color w:val="auto"/>
                <w:kern w:val="0"/>
                <w:sz w:val="21"/>
              </w:rPr>
              <w:t>要求</w:t>
            </w:r>
            <w:r>
              <w:rPr>
                <w:color w:val="auto"/>
                <w:kern w:val="0"/>
                <w:sz w:val="21"/>
              </w:rPr>
              <w:t>。因此，本项目运行对周围环境影响较小。</w:t>
            </w:r>
          </w:p>
          <w:p w14:paraId="1AD648C2">
            <w:pPr>
              <w:widowControl/>
              <w:snapToGrid w:val="0"/>
              <w:spacing w:line="360" w:lineRule="auto"/>
              <w:ind w:firstLine="422" w:firstLineChars="200"/>
              <w:rPr>
                <w:b/>
                <w:bCs/>
                <w:color w:val="auto"/>
                <w:kern w:val="0"/>
              </w:rPr>
            </w:pPr>
            <w:r>
              <w:rPr>
                <w:rFonts w:hint="eastAsia"/>
                <w:b/>
                <w:bCs/>
                <w:color w:val="auto"/>
                <w:kern w:val="0"/>
              </w:rPr>
              <w:t>（5）噪声源监测计划</w:t>
            </w:r>
          </w:p>
          <w:p w14:paraId="785C9079">
            <w:pPr>
              <w:adjustRightInd w:val="0"/>
              <w:snapToGrid w:val="0"/>
              <w:spacing w:line="360" w:lineRule="auto"/>
              <w:ind w:firstLine="420" w:firstLineChars="200"/>
              <w:rPr>
                <w:bCs/>
                <w:color w:val="auto"/>
                <w:kern w:val="0"/>
              </w:rPr>
            </w:pPr>
            <w:r>
              <w:rPr>
                <w:bCs/>
                <w:color w:val="auto"/>
                <w:kern w:val="0"/>
              </w:rPr>
              <w:t>参考《排污单位自行监测技术指南总则》（HJ819-2017），结合企业实际情况，本项目噪声日常监测要求见</w:t>
            </w:r>
            <w:r>
              <w:rPr>
                <w:rFonts w:hint="eastAsia"/>
                <w:bCs/>
                <w:color w:val="auto"/>
                <w:kern w:val="0"/>
              </w:rPr>
              <w:t>下表</w:t>
            </w:r>
            <w:r>
              <w:rPr>
                <w:bCs/>
                <w:color w:val="auto"/>
                <w:kern w:val="0"/>
              </w:rPr>
              <w:t>。</w:t>
            </w:r>
          </w:p>
          <w:p w14:paraId="7FCD2CBF">
            <w:pPr>
              <w:jc w:val="center"/>
              <w:rPr>
                <w:b/>
                <w:bCs/>
                <w:color w:val="auto"/>
                <w:kern w:val="0"/>
              </w:rPr>
            </w:pPr>
            <w:r>
              <w:rPr>
                <w:b/>
                <w:bCs/>
                <w:color w:val="auto"/>
                <w:kern w:val="0"/>
              </w:rPr>
              <w:t>表4-</w:t>
            </w:r>
            <w:r>
              <w:rPr>
                <w:rFonts w:hint="eastAsia"/>
                <w:b/>
                <w:bCs/>
                <w:color w:val="auto"/>
                <w:kern w:val="0"/>
                <w:lang w:val="en-US" w:eastAsia="zh-CN"/>
              </w:rPr>
              <w:t>21</w:t>
            </w:r>
            <w:r>
              <w:rPr>
                <w:b/>
                <w:bCs/>
                <w:color w:val="auto"/>
                <w:kern w:val="0"/>
              </w:rPr>
              <w:t xml:space="preserve">   本项目噪声监测计划一览表</w:t>
            </w:r>
          </w:p>
          <w:tbl>
            <w:tblPr>
              <w:tblStyle w:val="59"/>
              <w:tblW w:w="4997" w:type="pct"/>
              <w:tblInd w:w="11" w:type="dxa"/>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729"/>
              <w:gridCol w:w="1638"/>
              <w:gridCol w:w="1886"/>
              <w:gridCol w:w="1200"/>
              <w:gridCol w:w="3403"/>
            </w:tblGrid>
            <w:tr w14:paraId="544E3B3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412" w:type="pct"/>
                  <w:vAlign w:val="center"/>
                </w:tcPr>
                <w:p w14:paraId="7ECCDD6A">
                  <w:pPr>
                    <w:pStyle w:val="6"/>
                    <w:snapToGrid w:val="0"/>
                    <w:spacing w:before="0" w:after="0"/>
                    <w:jc w:val="center"/>
                    <w:rPr>
                      <w:rFonts w:ascii="Times New Roman" w:hAnsi="Times New Roman"/>
                      <w:b/>
                      <w:bCs/>
                      <w:color w:val="auto"/>
                      <w:kern w:val="0"/>
                      <w:sz w:val="21"/>
                      <w:szCs w:val="21"/>
                    </w:rPr>
                  </w:pPr>
                  <w:r>
                    <w:rPr>
                      <w:rFonts w:ascii="Times New Roman" w:hAnsi="Times New Roman"/>
                      <w:b/>
                      <w:bCs/>
                      <w:color w:val="auto"/>
                      <w:kern w:val="0"/>
                      <w:sz w:val="21"/>
                      <w:szCs w:val="21"/>
                    </w:rPr>
                    <w:t>类型</w:t>
                  </w:r>
                </w:p>
              </w:tc>
              <w:tc>
                <w:tcPr>
                  <w:tcW w:w="924" w:type="pct"/>
                  <w:vAlign w:val="center"/>
                </w:tcPr>
                <w:p w14:paraId="24EC44E9">
                  <w:pPr>
                    <w:pStyle w:val="6"/>
                    <w:snapToGrid w:val="0"/>
                    <w:spacing w:before="0" w:after="0"/>
                    <w:jc w:val="center"/>
                    <w:rPr>
                      <w:rFonts w:ascii="Times New Roman" w:hAnsi="Times New Roman"/>
                      <w:b/>
                      <w:bCs/>
                      <w:color w:val="auto"/>
                      <w:kern w:val="0"/>
                      <w:sz w:val="21"/>
                      <w:szCs w:val="21"/>
                    </w:rPr>
                  </w:pPr>
                  <w:r>
                    <w:rPr>
                      <w:rFonts w:ascii="Times New Roman" w:hAnsi="Times New Roman"/>
                      <w:b/>
                      <w:bCs/>
                      <w:color w:val="auto"/>
                      <w:kern w:val="0"/>
                      <w:sz w:val="21"/>
                      <w:szCs w:val="21"/>
                    </w:rPr>
                    <w:t>监测点位</w:t>
                  </w:r>
                </w:p>
              </w:tc>
              <w:tc>
                <w:tcPr>
                  <w:tcW w:w="1064" w:type="pct"/>
                  <w:vAlign w:val="center"/>
                </w:tcPr>
                <w:p w14:paraId="53D789C2">
                  <w:pPr>
                    <w:pStyle w:val="6"/>
                    <w:snapToGrid w:val="0"/>
                    <w:spacing w:before="0" w:after="0"/>
                    <w:jc w:val="center"/>
                    <w:rPr>
                      <w:rFonts w:ascii="Times New Roman" w:hAnsi="Times New Roman"/>
                      <w:b/>
                      <w:bCs/>
                      <w:color w:val="auto"/>
                      <w:kern w:val="0"/>
                      <w:sz w:val="21"/>
                      <w:szCs w:val="21"/>
                    </w:rPr>
                  </w:pPr>
                  <w:r>
                    <w:rPr>
                      <w:rFonts w:ascii="Times New Roman" w:hAnsi="Times New Roman"/>
                      <w:b/>
                      <w:bCs/>
                      <w:color w:val="auto"/>
                      <w:kern w:val="0"/>
                      <w:sz w:val="21"/>
                      <w:szCs w:val="21"/>
                    </w:rPr>
                    <w:t>监测因子</w:t>
                  </w:r>
                </w:p>
              </w:tc>
              <w:tc>
                <w:tcPr>
                  <w:tcW w:w="677" w:type="pct"/>
                  <w:vAlign w:val="center"/>
                </w:tcPr>
                <w:p w14:paraId="6B624722">
                  <w:pPr>
                    <w:pStyle w:val="6"/>
                    <w:snapToGrid w:val="0"/>
                    <w:spacing w:before="0" w:after="0"/>
                    <w:jc w:val="center"/>
                    <w:rPr>
                      <w:rFonts w:ascii="Times New Roman" w:hAnsi="Times New Roman"/>
                      <w:b/>
                      <w:bCs/>
                      <w:color w:val="auto"/>
                      <w:kern w:val="0"/>
                      <w:sz w:val="21"/>
                      <w:szCs w:val="21"/>
                    </w:rPr>
                  </w:pPr>
                  <w:r>
                    <w:rPr>
                      <w:rFonts w:ascii="Times New Roman" w:hAnsi="Times New Roman"/>
                      <w:b/>
                      <w:bCs/>
                      <w:color w:val="auto"/>
                      <w:kern w:val="0"/>
                      <w:sz w:val="21"/>
                      <w:szCs w:val="21"/>
                    </w:rPr>
                    <w:t>监测频次</w:t>
                  </w:r>
                </w:p>
              </w:tc>
              <w:tc>
                <w:tcPr>
                  <w:tcW w:w="1920" w:type="pct"/>
                  <w:vAlign w:val="center"/>
                </w:tcPr>
                <w:p w14:paraId="177AC662">
                  <w:pPr>
                    <w:pStyle w:val="6"/>
                    <w:snapToGrid w:val="0"/>
                    <w:spacing w:before="0" w:after="0"/>
                    <w:jc w:val="center"/>
                    <w:rPr>
                      <w:rFonts w:ascii="Times New Roman" w:hAnsi="Times New Roman"/>
                      <w:b/>
                      <w:bCs/>
                      <w:color w:val="auto"/>
                      <w:kern w:val="0"/>
                      <w:sz w:val="21"/>
                      <w:szCs w:val="21"/>
                    </w:rPr>
                  </w:pPr>
                  <w:r>
                    <w:rPr>
                      <w:rFonts w:ascii="Times New Roman" w:hAnsi="Times New Roman"/>
                      <w:b/>
                      <w:bCs/>
                      <w:color w:val="auto"/>
                      <w:kern w:val="0"/>
                      <w:sz w:val="21"/>
                      <w:szCs w:val="21"/>
                    </w:rPr>
                    <w:t>排放标准</w:t>
                  </w:r>
                </w:p>
              </w:tc>
            </w:tr>
            <w:tr w14:paraId="225E3AD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412" w:type="pct"/>
                  <w:vAlign w:val="center"/>
                </w:tcPr>
                <w:p w14:paraId="555823F8">
                  <w:pPr>
                    <w:pStyle w:val="6"/>
                    <w:snapToGrid w:val="0"/>
                    <w:spacing w:before="0" w:after="0"/>
                    <w:jc w:val="center"/>
                    <w:rPr>
                      <w:rFonts w:ascii="Times New Roman" w:hAnsi="Times New Roman"/>
                      <w:bCs/>
                      <w:color w:val="auto"/>
                      <w:kern w:val="0"/>
                      <w:sz w:val="21"/>
                      <w:szCs w:val="21"/>
                    </w:rPr>
                  </w:pPr>
                  <w:r>
                    <w:rPr>
                      <w:rFonts w:ascii="Times New Roman" w:hAnsi="Times New Roman"/>
                      <w:bCs/>
                      <w:color w:val="auto"/>
                      <w:kern w:val="0"/>
                      <w:sz w:val="21"/>
                      <w:szCs w:val="21"/>
                    </w:rPr>
                    <w:t>噪声</w:t>
                  </w:r>
                </w:p>
              </w:tc>
              <w:tc>
                <w:tcPr>
                  <w:tcW w:w="924" w:type="pct"/>
                  <w:vAlign w:val="center"/>
                </w:tcPr>
                <w:p w14:paraId="6F61D6F4">
                  <w:pPr>
                    <w:pStyle w:val="6"/>
                    <w:snapToGrid w:val="0"/>
                    <w:spacing w:before="0" w:after="0"/>
                    <w:jc w:val="center"/>
                    <w:rPr>
                      <w:rFonts w:ascii="Times New Roman" w:hAnsi="Times New Roman"/>
                      <w:bCs/>
                      <w:color w:val="auto"/>
                      <w:kern w:val="0"/>
                      <w:sz w:val="21"/>
                      <w:szCs w:val="21"/>
                    </w:rPr>
                  </w:pPr>
                  <w:r>
                    <w:rPr>
                      <w:rFonts w:hint="eastAsia" w:ascii="Times New Roman" w:hAnsi="Times New Roman"/>
                      <w:bCs/>
                      <w:color w:val="auto"/>
                      <w:kern w:val="0"/>
                      <w:sz w:val="21"/>
                      <w:szCs w:val="21"/>
                    </w:rPr>
                    <w:t>四周</w:t>
                  </w:r>
                  <w:r>
                    <w:rPr>
                      <w:rFonts w:ascii="Times New Roman" w:hAnsi="Times New Roman"/>
                      <w:bCs/>
                      <w:color w:val="auto"/>
                      <w:kern w:val="0"/>
                      <w:sz w:val="21"/>
                      <w:szCs w:val="21"/>
                    </w:rPr>
                    <w:t>厂界外1米</w:t>
                  </w:r>
                </w:p>
              </w:tc>
              <w:tc>
                <w:tcPr>
                  <w:tcW w:w="1064" w:type="pct"/>
                  <w:vAlign w:val="center"/>
                </w:tcPr>
                <w:p w14:paraId="562651A1">
                  <w:pPr>
                    <w:pStyle w:val="6"/>
                    <w:snapToGrid w:val="0"/>
                    <w:spacing w:before="0" w:after="0"/>
                    <w:jc w:val="center"/>
                    <w:rPr>
                      <w:rFonts w:ascii="Times New Roman" w:hAnsi="Times New Roman"/>
                      <w:bCs/>
                      <w:color w:val="auto"/>
                      <w:kern w:val="0"/>
                      <w:sz w:val="21"/>
                      <w:szCs w:val="21"/>
                    </w:rPr>
                  </w:pPr>
                  <w:r>
                    <w:rPr>
                      <w:rFonts w:ascii="Times New Roman" w:hAnsi="Times New Roman"/>
                      <w:bCs/>
                      <w:color w:val="auto"/>
                      <w:kern w:val="0"/>
                      <w:sz w:val="21"/>
                      <w:szCs w:val="21"/>
                    </w:rPr>
                    <w:t>昼间等效声级</w:t>
                  </w:r>
                </w:p>
              </w:tc>
              <w:tc>
                <w:tcPr>
                  <w:tcW w:w="677" w:type="pct"/>
                  <w:vAlign w:val="center"/>
                </w:tcPr>
                <w:p w14:paraId="0A08FF90">
                  <w:pPr>
                    <w:pStyle w:val="6"/>
                    <w:snapToGrid w:val="0"/>
                    <w:spacing w:before="0" w:after="0"/>
                    <w:jc w:val="center"/>
                    <w:rPr>
                      <w:rFonts w:ascii="Times New Roman" w:hAnsi="Times New Roman"/>
                      <w:bCs/>
                      <w:color w:val="auto"/>
                      <w:kern w:val="0"/>
                      <w:sz w:val="21"/>
                      <w:szCs w:val="21"/>
                    </w:rPr>
                  </w:pPr>
                  <w:r>
                    <w:rPr>
                      <w:rFonts w:ascii="Times New Roman" w:hAnsi="Times New Roman"/>
                      <w:bCs/>
                      <w:color w:val="auto"/>
                      <w:kern w:val="0"/>
                      <w:sz w:val="21"/>
                      <w:szCs w:val="21"/>
                    </w:rPr>
                    <w:t>1次/季度</w:t>
                  </w:r>
                </w:p>
              </w:tc>
              <w:tc>
                <w:tcPr>
                  <w:tcW w:w="1920" w:type="pct"/>
                  <w:vAlign w:val="center"/>
                </w:tcPr>
                <w:p w14:paraId="6367BB15">
                  <w:pPr>
                    <w:pStyle w:val="6"/>
                    <w:snapToGrid w:val="0"/>
                    <w:spacing w:before="0" w:after="0"/>
                    <w:jc w:val="center"/>
                    <w:rPr>
                      <w:rFonts w:ascii="Times New Roman" w:hAnsi="Times New Roman"/>
                      <w:bCs/>
                      <w:color w:val="auto"/>
                      <w:kern w:val="0"/>
                      <w:sz w:val="21"/>
                      <w:szCs w:val="21"/>
                    </w:rPr>
                  </w:pPr>
                  <w:r>
                    <w:rPr>
                      <w:rFonts w:ascii="Times New Roman" w:hAnsi="Times New Roman"/>
                      <w:bCs/>
                      <w:color w:val="auto"/>
                      <w:kern w:val="0"/>
                      <w:sz w:val="21"/>
                      <w:szCs w:val="21"/>
                    </w:rPr>
                    <w:t>《工业企业厂界环境噪声排放标准》（GB12348-2008）</w:t>
                  </w:r>
                  <w:r>
                    <w:rPr>
                      <w:rFonts w:hint="eastAsia" w:ascii="Times New Roman" w:hAnsi="Times New Roman"/>
                      <w:bCs/>
                      <w:color w:val="auto"/>
                      <w:kern w:val="0"/>
                      <w:sz w:val="21"/>
                      <w:szCs w:val="21"/>
                      <w:lang w:val="en-US" w:eastAsia="zh-CN"/>
                    </w:rPr>
                    <w:t>3</w:t>
                  </w:r>
                  <w:r>
                    <w:rPr>
                      <w:rFonts w:ascii="Times New Roman" w:hAnsi="Times New Roman"/>
                      <w:bCs/>
                      <w:color w:val="auto"/>
                      <w:kern w:val="0"/>
                      <w:sz w:val="21"/>
                      <w:szCs w:val="21"/>
                    </w:rPr>
                    <w:t>类标准</w:t>
                  </w:r>
                </w:p>
              </w:tc>
            </w:tr>
          </w:tbl>
          <w:p w14:paraId="7C495649">
            <w:pPr>
              <w:spacing w:line="360" w:lineRule="auto"/>
              <w:rPr>
                <w:b/>
                <w:bCs/>
                <w:color w:val="auto"/>
                <w:kern w:val="0"/>
              </w:rPr>
            </w:pPr>
            <w:r>
              <w:rPr>
                <w:b/>
                <w:bCs/>
                <w:color w:val="auto"/>
                <w:kern w:val="0"/>
              </w:rPr>
              <w:t>4</w:t>
            </w:r>
            <w:r>
              <w:rPr>
                <w:rFonts w:hint="eastAsia"/>
                <w:b/>
                <w:bCs/>
                <w:color w:val="auto"/>
                <w:kern w:val="0"/>
              </w:rPr>
              <w:t>、</w:t>
            </w:r>
            <w:r>
              <w:rPr>
                <w:b/>
                <w:bCs/>
                <w:color w:val="auto"/>
                <w:kern w:val="0"/>
              </w:rPr>
              <w:t>固体废物</w:t>
            </w:r>
            <w:r>
              <w:rPr>
                <w:rFonts w:hint="eastAsia"/>
                <w:b/>
                <w:bCs/>
                <w:color w:val="auto"/>
                <w:kern w:val="0"/>
              </w:rPr>
              <w:t>环境影响分析</w:t>
            </w:r>
          </w:p>
          <w:p w14:paraId="64FCC435">
            <w:pPr>
              <w:adjustRightInd w:val="0"/>
              <w:snapToGrid w:val="0"/>
              <w:spacing w:line="360" w:lineRule="auto"/>
              <w:ind w:firstLine="422" w:firstLineChars="200"/>
              <w:rPr>
                <w:b/>
                <w:bCs/>
                <w:color w:val="auto"/>
                <w:kern w:val="0"/>
              </w:rPr>
            </w:pPr>
            <w:r>
              <w:rPr>
                <w:rFonts w:hint="eastAsia"/>
                <w:b/>
                <w:bCs/>
                <w:color w:val="auto"/>
                <w:kern w:val="0"/>
              </w:rPr>
              <w:t>（1）固废产生源强</w:t>
            </w:r>
          </w:p>
          <w:p w14:paraId="5BAE9D86">
            <w:pPr>
              <w:adjustRightInd w:val="0"/>
              <w:snapToGrid w:val="0"/>
              <w:spacing w:line="360" w:lineRule="auto"/>
              <w:ind w:firstLine="422" w:firstLineChars="200"/>
              <w:rPr>
                <w:color w:val="auto"/>
                <w:kern w:val="0"/>
              </w:rPr>
            </w:pPr>
            <w:r>
              <w:rPr>
                <w:rFonts w:hint="eastAsia"/>
                <w:b/>
                <w:bCs/>
                <w:color w:val="auto"/>
                <w:kern w:val="0"/>
              </w:rPr>
              <w:t>本项目新增的固废主要为一般固废、危险废物、生活垃圾。</w:t>
            </w:r>
          </w:p>
          <w:p w14:paraId="0E5733AD">
            <w:pPr>
              <w:adjustRightInd w:val="0"/>
              <w:snapToGrid w:val="0"/>
              <w:spacing w:line="360" w:lineRule="auto"/>
              <w:ind w:firstLine="422" w:firstLineChars="200"/>
              <w:rPr>
                <w:color w:val="auto"/>
                <w:kern w:val="0"/>
              </w:rPr>
            </w:pPr>
            <w:r>
              <w:rPr>
                <w:rFonts w:hint="eastAsia"/>
                <w:b/>
                <w:bCs/>
                <w:color w:val="auto"/>
                <w:kern w:val="0"/>
              </w:rPr>
              <w:t>一般固废</w:t>
            </w:r>
          </w:p>
          <w:p w14:paraId="55C616C8">
            <w:pPr>
              <w:adjustRightInd w:val="0"/>
              <w:snapToGrid w:val="0"/>
              <w:spacing w:line="360" w:lineRule="auto"/>
              <w:ind w:firstLine="422" w:firstLineChars="200"/>
              <w:rPr>
                <w:color w:val="auto"/>
                <w:kern w:val="0"/>
              </w:rPr>
            </w:pPr>
            <w:r>
              <w:rPr>
                <w:rFonts w:hint="eastAsia"/>
                <w:b/>
                <w:bCs/>
                <w:color w:val="auto"/>
                <w:kern w:val="0"/>
              </w:rPr>
              <w:t>①</w:t>
            </w:r>
            <w:r>
              <w:rPr>
                <w:rFonts w:hint="eastAsia"/>
                <w:b/>
                <w:bCs/>
                <w:color w:val="auto"/>
                <w:kern w:val="0"/>
                <w:lang w:val="en-US" w:eastAsia="zh-CN"/>
              </w:rPr>
              <w:t>废金属屑</w:t>
            </w:r>
            <w:r>
              <w:rPr>
                <w:rFonts w:hint="eastAsia"/>
                <w:b/>
                <w:bCs/>
                <w:color w:val="auto"/>
                <w:kern w:val="0"/>
              </w:rPr>
              <w:t>：</w:t>
            </w:r>
            <w:r>
              <w:rPr>
                <w:rFonts w:hint="eastAsia"/>
                <w:color w:val="auto"/>
                <w:kern w:val="0"/>
              </w:rPr>
              <w:t>本项目</w:t>
            </w:r>
            <w:r>
              <w:rPr>
                <w:rFonts w:hint="eastAsia"/>
                <w:color w:val="auto"/>
                <w:kern w:val="0"/>
                <w:lang w:val="en-US" w:eastAsia="zh-CN"/>
              </w:rPr>
              <w:t>龙门铣精加工</w:t>
            </w:r>
            <w:r>
              <w:rPr>
                <w:rFonts w:hint="eastAsia"/>
                <w:color w:val="auto"/>
                <w:kern w:val="0"/>
              </w:rPr>
              <w:t>过程会产生</w:t>
            </w:r>
            <w:r>
              <w:rPr>
                <w:rFonts w:hint="eastAsia"/>
                <w:color w:val="auto"/>
                <w:kern w:val="0"/>
                <w:lang w:val="en-US" w:eastAsia="zh-CN"/>
              </w:rPr>
              <w:t>废金属屑</w:t>
            </w:r>
            <w:r>
              <w:rPr>
                <w:rFonts w:hint="eastAsia"/>
                <w:color w:val="auto"/>
                <w:kern w:val="0"/>
              </w:rPr>
              <w:t>，产生量</w:t>
            </w:r>
            <w:r>
              <w:rPr>
                <w:rFonts w:hint="eastAsia"/>
                <w:color w:val="auto"/>
                <w:kern w:val="0"/>
                <w:lang w:val="en-US" w:eastAsia="zh-CN"/>
              </w:rPr>
              <w:t>约</w:t>
            </w:r>
            <w:r>
              <w:rPr>
                <w:rFonts w:hint="eastAsia"/>
                <w:color w:val="auto"/>
                <w:kern w:val="0"/>
              </w:rPr>
              <w:t>为</w:t>
            </w:r>
            <w:r>
              <w:rPr>
                <w:rFonts w:hint="eastAsia"/>
                <w:color w:val="auto"/>
                <w:kern w:val="0"/>
                <w:lang w:val="en-US" w:eastAsia="zh-CN"/>
              </w:rPr>
              <w:t>2</w:t>
            </w:r>
            <w:r>
              <w:rPr>
                <w:rFonts w:hint="eastAsia"/>
                <w:color w:val="auto"/>
                <w:kern w:val="0"/>
              </w:rPr>
              <w:t>t/a，收集后外售处置。</w:t>
            </w:r>
          </w:p>
          <w:p w14:paraId="068C70E2">
            <w:pPr>
              <w:adjustRightInd w:val="0"/>
              <w:snapToGrid w:val="0"/>
              <w:spacing w:line="360" w:lineRule="auto"/>
              <w:ind w:firstLine="422" w:firstLineChars="200"/>
              <w:rPr>
                <w:b/>
                <w:bCs/>
                <w:color w:val="auto"/>
                <w:kern w:val="0"/>
              </w:rPr>
            </w:pPr>
            <w:r>
              <w:rPr>
                <w:rFonts w:hint="eastAsia"/>
                <w:b/>
                <w:bCs/>
                <w:color w:val="auto"/>
                <w:kern w:val="0"/>
              </w:rPr>
              <w:t>②一般废包材：</w:t>
            </w:r>
            <w:r>
              <w:rPr>
                <w:rFonts w:hint="eastAsia"/>
                <w:color w:val="auto"/>
                <w:kern w:val="0"/>
              </w:rPr>
              <w:t>项目原辅料包装会产生废包装物，如包装</w:t>
            </w:r>
            <w:r>
              <w:rPr>
                <w:rFonts w:hint="eastAsia"/>
                <w:color w:val="auto"/>
                <w:kern w:val="0"/>
                <w:lang w:val="en-US" w:eastAsia="zh-CN"/>
              </w:rPr>
              <w:t>袋</w:t>
            </w:r>
            <w:r>
              <w:rPr>
                <w:rFonts w:hint="eastAsia"/>
                <w:color w:val="auto"/>
                <w:kern w:val="0"/>
              </w:rPr>
              <w:t>等</w:t>
            </w:r>
            <w:r>
              <w:rPr>
                <w:color w:val="auto"/>
                <w:kern w:val="0"/>
              </w:rPr>
              <w:t>，</w:t>
            </w:r>
            <w:r>
              <w:rPr>
                <w:rFonts w:hint="eastAsia"/>
                <w:color w:val="auto"/>
                <w:kern w:val="0"/>
              </w:rPr>
              <w:t>产生量约为</w:t>
            </w:r>
            <w:r>
              <w:rPr>
                <w:rFonts w:hint="eastAsia"/>
                <w:color w:val="auto"/>
                <w:kern w:val="0"/>
                <w:lang w:val="en-US" w:eastAsia="zh-CN"/>
              </w:rPr>
              <w:t>1</w:t>
            </w:r>
            <w:r>
              <w:rPr>
                <w:rFonts w:hint="eastAsia"/>
                <w:color w:val="auto"/>
                <w:kern w:val="0"/>
              </w:rPr>
              <w:t>t/a，收集后</w:t>
            </w:r>
            <w:r>
              <w:rPr>
                <w:color w:val="auto"/>
                <w:kern w:val="0"/>
              </w:rPr>
              <w:t>外售</w:t>
            </w:r>
            <w:r>
              <w:rPr>
                <w:rFonts w:hint="eastAsia"/>
                <w:color w:val="auto"/>
                <w:kern w:val="0"/>
              </w:rPr>
              <w:t>处置</w:t>
            </w:r>
            <w:r>
              <w:rPr>
                <w:color w:val="auto"/>
                <w:kern w:val="0"/>
              </w:rPr>
              <w:t>。</w:t>
            </w:r>
          </w:p>
          <w:p w14:paraId="4E199AF6">
            <w:pPr>
              <w:adjustRightInd w:val="0"/>
              <w:snapToGrid w:val="0"/>
              <w:spacing w:line="360" w:lineRule="auto"/>
              <w:ind w:firstLine="422" w:firstLineChars="200"/>
              <w:rPr>
                <w:color w:val="auto"/>
                <w:kern w:val="0"/>
              </w:rPr>
            </w:pPr>
            <w:r>
              <w:rPr>
                <w:rFonts w:hint="eastAsia"/>
                <w:b/>
                <w:bCs/>
                <w:color w:val="auto"/>
                <w:kern w:val="0"/>
              </w:rPr>
              <w:t>危险废物</w:t>
            </w:r>
          </w:p>
          <w:p w14:paraId="32CF9FDD">
            <w:pPr>
              <w:spacing w:line="360" w:lineRule="auto"/>
              <w:ind w:firstLine="422" w:firstLineChars="200"/>
              <w:rPr>
                <w:color w:val="auto"/>
                <w:kern w:val="0"/>
              </w:rPr>
            </w:pPr>
            <w:r>
              <w:rPr>
                <w:rFonts w:hint="eastAsia"/>
                <w:b/>
                <w:bCs/>
                <w:color w:val="auto"/>
                <w:kern w:val="0"/>
              </w:rPr>
              <w:t>①</w:t>
            </w:r>
            <w:r>
              <w:rPr>
                <w:rFonts w:hint="eastAsia"/>
                <w:b/>
                <w:bCs/>
                <w:color w:val="auto"/>
                <w:kern w:val="0"/>
                <w:lang w:val="en-US" w:eastAsia="zh-CN"/>
              </w:rPr>
              <w:t>废切削液</w:t>
            </w:r>
            <w:r>
              <w:rPr>
                <w:rFonts w:hint="eastAsia"/>
                <w:b/>
                <w:bCs/>
                <w:color w:val="auto"/>
                <w:kern w:val="0"/>
              </w:rPr>
              <w:t>：</w:t>
            </w:r>
            <w:r>
              <w:rPr>
                <w:rFonts w:hint="eastAsia"/>
                <w:b w:val="0"/>
                <w:bCs w:val="0"/>
                <w:color w:val="auto"/>
                <w:kern w:val="0"/>
                <w:lang w:val="en-US" w:eastAsia="zh-CN"/>
              </w:rPr>
              <w:t>本项目龙门铣床使用时需添加切削液，根据“2.1.8 给排水”可知，废切削液产生量约为0.88t/a，经收集后暂存于危废仓库，定期委托有资质单位处理。</w:t>
            </w:r>
          </w:p>
          <w:p w14:paraId="7A2275A9">
            <w:pPr>
              <w:spacing w:line="360" w:lineRule="auto"/>
              <w:ind w:firstLine="422" w:firstLineChars="200"/>
              <w:rPr>
                <w:rFonts w:hint="default"/>
                <w:b/>
                <w:bCs/>
                <w:color w:val="auto"/>
                <w:kern w:val="0"/>
                <w:lang w:val="en-US" w:eastAsia="zh-CN"/>
              </w:rPr>
            </w:pPr>
            <w:r>
              <w:rPr>
                <w:rFonts w:hint="eastAsia"/>
                <w:b/>
                <w:bCs/>
                <w:color w:val="auto"/>
                <w:kern w:val="0"/>
                <w:lang w:val="en-US" w:eastAsia="zh-CN"/>
              </w:rPr>
              <w:t>②清洗废液：</w:t>
            </w:r>
            <w:r>
              <w:rPr>
                <w:rFonts w:hint="eastAsia"/>
                <w:b w:val="0"/>
                <w:bCs w:val="0"/>
                <w:color w:val="auto"/>
                <w:kern w:val="0"/>
                <w:lang w:val="en-US" w:eastAsia="zh-CN"/>
              </w:rPr>
              <w:t>本项目经过铣床加工的配件需通过</w:t>
            </w:r>
            <w:r>
              <w:rPr>
                <w:rFonts w:hint="eastAsia" w:cs="Times New Roman"/>
                <w:color w:val="auto"/>
                <w:kern w:val="0"/>
                <w:sz w:val="21"/>
                <w:szCs w:val="21"/>
                <w:lang w:val="en-US" w:eastAsia="zh-CN"/>
              </w:rPr>
              <w:t>高温蒸汽清洗机利用高温高压蒸汽进行清洁，根据</w:t>
            </w:r>
            <w:r>
              <w:rPr>
                <w:rFonts w:hint="eastAsia"/>
                <w:b w:val="0"/>
                <w:bCs w:val="0"/>
                <w:color w:val="auto"/>
                <w:kern w:val="0"/>
                <w:lang w:val="en-US" w:eastAsia="zh-CN"/>
              </w:rPr>
              <w:t>“2.1.8 给排水”可知，清洗废液产生量约为1.8t/a，经收集后暂存于危废仓库，定期委托有资质单位处理。</w:t>
            </w:r>
          </w:p>
          <w:p w14:paraId="13A5C042">
            <w:pPr>
              <w:adjustRightInd w:val="0"/>
              <w:snapToGrid w:val="0"/>
              <w:spacing w:line="360" w:lineRule="auto"/>
              <w:ind w:firstLine="422" w:firstLineChars="200"/>
              <w:rPr>
                <w:color w:val="auto"/>
                <w:kern w:val="0"/>
              </w:rPr>
            </w:pPr>
            <w:r>
              <w:rPr>
                <w:rFonts w:hint="eastAsia"/>
                <w:b/>
                <w:bCs/>
                <w:color w:val="auto"/>
                <w:kern w:val="0"/>
                <w:lang w:val="en-US" w:eastAsia="zh-CN"/>
              </w:rPr>
              <w:t>③洗枪废液：</w:t>
            </w:r>
            <w:r>
              <w:rPr>
                <w:color w:val="auto"/>
                <w:kern w:val="0"/>
              </w:rPr>
              <w:t>项目每日喷涂工作完毕后需将喷枪浸泡在</w:t>
            </w:r>
            <w:r>
              <w:rPr>
                <w:rFonts w:hint="eastAsia"/>
                <w:color w:val="auto"/>
                <w:kern w:val="0"/>
                <w:lang w:val="en-US" w:eastAsia="zh-CN"/>
              </w:rPr>
              <w:t>清洗剂</w:t>
            </w:r>
            <w:r>
              <w:rPr>
                <w:color w:val="auto"/>
                <w:kern w:val="0"/>
              </w:rPr>
              <w:t>中，防止喷头堵塞；具体过程是将喷枪放入盛有</w:t>
            </w:r>
            <w:r>
              <w:rPr>
                <w:rFonts w:hint="eastAsia"/>
                <w:color w:val="auto"/>
                <w:kern w:val="0"/>
              </w:rPr>
              <w:t>喷枪清洗剂</w:t>
            </w:r>
            <w:r>
              <w:rPr>
                <w:color w:val="auto"/>
                <w:kern w:val="0"/>
              </w:rPr>
              <w:t>的</w:t>
            </w:r>
            <w:r>
              <w:rPr>
                <w:rFonts w:hint="eastAsia"/>
                <w:color w:val="auto"/>
                <w:kern w:val="0"/>
              </w:rPr>
              <w:t>密闭</w:t>
            </w:r>
            <w:r>
              <w:rPr>
                <w:color w:val="auto"/>
                <w:kern w:val="0"/>
              </w:rPr>
              <w:t>容器中进行浸泡，</w:t>
            </w:r>
            <w:r>
              <w:rPr>
                <w:rFonts w:hint="eastAsia"/>
                <w:color w:val="auto"/>
                <w:kern w:val="0"/>
              </w:rPr>
              <w:t>容器盛装清洗剂量为1kg，单个喷枪清洗时间约为3分钟。</w:t>
            </w:r>
            <w:r>
              <w:rPr>
                <w:color w:val="auto"/>
                <w:kern w:val="0"/>
              </w:rPr>
              <w:t>厂内每天</w:t>
            </w:r>
            <w:r>
              <w:rPr>
                <w:rFonts w:hint="eastAsia"/>
                <w:color w:val="auto"/>
                <w:kern w:val="0"/>
              </w:rPr>
              <w:t>喷涂作业结束后对喷枪集中浸泡清洗，</w:t>
            </w:r>
            <w:r>
              <w:rPr>
                <w:rFonts w:hint="eastAsia"/>
                <w:color w:val="auto"/>
                <w:kern w:val="0"/>
                <w:lang w:val="en-US" w:eastAsia="zh-CN"/>
              </w:rPr>
              <w:t>喷漆房</w:t>
            </w:r>
            <w:r>
              <w:rPr>
                <w:rFonts w:hint="eastAsia"/>
                <w:color w:val="auto"/>
                <w:kern w:val="0"/>
              </w:rPr>
              <w:t>公用一个清洗容器。为保证清洗效果，喷枪清洗剂每3天更换一次，（一次更换量为</w:t>
            </w:r>
            <w:r>
              <w:rPr>
                <w:rFonts w:hint="eastAsia"/>
                <w:color w:val="auto"/>
                <w:kern w:val="0"/>
                <w:lang w:val="en-US" w:eastAsia="zh-CN"/>
              </w:rPr>
              <w:t>1</w:t>
            </w:r>
            <w:r>
              <w:rPr>
                <w:rFonts w:hint="eastAsia"/>
                <w:color w:val="auto"/>
                <w:kern w:val="0"/>
              </w:rPr>
              <w:t>kg，合计年更换1</w:t>
            </w:r>
            <w:r>
              <w:rPr>
                <w:color w:val="auto"/>
                <w:kern w:val="0"/>
              </w:rPr>
              <w:t>00</w:t>
            </w:r>
            <w:r>
              <w:rPr>
                <w:rFonts w:hint="eastAsia"/>
                <w:color w:val="auto"/>
                <w:kern w:val="0"/>
              </w:rPr>
              <w:t>次，</w:t>
            </w:r>
            <w:r>
              <w:rPr>
                <w:color w:val="auto"/>
                <w:kern w:val="0"/>
              </w:rPr>
              <w:t>故年使用</w:t>
            </w:r>
            <w:r>
              <w:rPr>
                <w:rFonts w:hint="eastAsia"/>
                <w:color w:val="auto"/>
                <w:kern w:val="0"/>
              </w:rPr>
              <w:t>喷枪清洗剂</w:t>
            </w:r>
            <w:r>
              <w:rPr>
                <w:color w:val="auto"/>
                <w:kern w:val="0"/>
              </w:rPr>
              <w:t>约0.</w:t>
            </w:r>
            <w:r>
              <w:rPr>
                <w:rFonts w:hint="eastAsia"/>
                <w:color w:val="auto"/>
                <w:kern w:val="0"/>
                <w:lang w:val="en-US" w:eastAsia="zh-CN"/>
              </w:rPr>
              <w:t>1</w:t>
            </w:r>
            <w:r>
              <w:rPr>
                <w:color w:val="auto"/>
                <w:kern w:val="0"/>
              </w:rPr>
              <w:t>吨</w:t>
            </w:r>
            <w:r>
              <w:rPr>
                <w:rFonts w:hint="eastAsia"/>
                <w:color w:val="auto"/>
                <w:kern w:val="0"/>
              </w:rPr>
              <w:t>）</w:t>
            </w:r>
            <w:r>
              <w:rPr>
                <w:rFonts w:hint="eastAsia"/>
                <w:b w:val="0"/>
                <w:bCs w:val="0"/>
                <w:color w:val="auto"/>
                <w:kern w:val="0"/>
                <w:lang w:val="en-US" w:eastAsia="zh-CN"/>
              </w:rPr>
              <w:t>，经收集后暂存于危废仓库，定期委托有资质单位处理。</w:t>
            </w:r>
          </w:p>
          <w:p w14:paraId="7545221A">
            <w:pPr>
              <w:spacing w:line="360" w:lineRule="auto"/>
              <w:ind w:firstLine="422" w:firstLineChars="200"/>
              <w:rPr>
                <w:color w:val="auto"/>
                <w:kern w:val="0"/>
              </w:rPr>
            </w:pPr>
            <w:r>
              <w:rPr>
                <w:rFonts w:hint="eastAsia"/>
                <w:b/>
                <w:bCs/>
                <w:color w:val="auto"/>
                <w:kern w:val="0"/>
                <w:lang w:val="en-US" w:eastAsia="zh-CN"/>
              </w:rPr>
              <w:t>④漆渣：</w:t>
            </w:r>
            <w:r>
              <w:rPr>
                <w:color w:val="auto"/>
                <w:kern w:val="0"/>
              </w:rPr>
              <w:t>本项目喷漆过程中会有漆渣产生，根据涂料平衡图可知，漆渣产生量</w:t>
            </w:r>
            <w:r>
              <w:rPr>
                <w:rFonts w:hint="eastAsia"/>
                <w:color w:val="auto"/>
                <w:kern w:val="0"/>
                <w:lang w:val="en-US" w:eastAsia="zh-CN"/>
              </w:rPr>
              <w:t>约</w:t>
            </w:r>
            <w:r>
              <w:rPr>
                <w:color w:val="auto"/>
                <w:kern w:val="0"/>
              </w:rPr>
              <w:t>为</w:t>
            </w:r>
            <w:r>
              <w:rPr>
                <w:rFonts w:hint="eastAsia"/>
                <w:color w:val="auto"/>
                <w:kern w:val="0"/>
                <w:lang w:val="en-US" w:eastAsia="zh-CN"/>
              </w:rPr>
              <w:t>0.3738</w:t>
            </w:r>
            <w:r>
              <w:rPr>
                <w:rFonts w:hint="eastAsia"/>
                <w:color w:val="auto"/>
                <w:kern w:val="0"/>
              </w:rPr>
              <w:t>t/a</w:t>
            </w:r>
            <w:r>
              <w:rPr>
                <w:color w:val="auto"/>
                <w:kern w:val="0"/>
              </w:rPr>
              <w:t>，经收集后暂存于危废仓库，定期委托有资质单位处理。</w:t>
            </w:r>
          </w:p>
          <w:p w14:paraId="2AE1E5DE">
            <w:pPr>
              <w:spacing w:line="360" w:lineRule="auto"/>
              <w:ind w:firstLine="422" w:firstLineChars="200"/>
              <w:rPr>
                <w:color w:val="auto"/>
                <w:kern w:val="0"/>
              </w:rPr>
            </w:pPr>
            <w:r>
              <w:rPr>
                <w:rFonts w:hint="eastAsia"/>
                <w:b/>
                <w:bCs/>
                <w:color w:val="auto"/>
                <w:kern w:val="0"/>
                <w:lang w:val="en-US" w:eastAsia="zh-CN"/>
              </w:rPr>
              <w:t>⑤废包装桶：</w:t>
            </w:r>
            <w:r>
              <w:rPr>
                <w:color w:val="auto"/>
                <w:kern w:val="0"/>
              </w:rPr>
              <w:t>本项目</w:t>
            </w:r>
            <w:r>
              <w:rPr>
                <w:rFonts w:hint="eastAsia"/>
                <w:color w:val="auto"/>
                <w:kern w:val="0"/>
              </w:rPr>
              <w:t>涂料、</w:t>
            </w:r>
            <w:r>
              <w:rPr>
                <w:rFonts w:hint="eastAsia"/>
                <w:color w:val="auto"/>
                <w:kern w:val="0"/>
                <w:lang w:val="en-US" w:eastAsia="zh-CN"/>
              </w:rPr>
              <w:t>固化剂、稀释剂、防锈油、切削液</w:t>
            </w:r>
            <w:r>
              <w:rPr>
                <w:rFonts w:hint="eastAsia"/>
                <w:color w:val="auto"/>
                <w:kern w:val="0"/>
              </w:rPr>
              <w:t>等</w:t>
            </w:r>
            <w:r>
              <w:rPr>
                <w:color w:val="auto"/>
                <w:kern w:val="0"/>
              </w:rPr>
              <w:t>使用过程中会有废包装桶产生，</w:t>
            </w:r>
            <w:r>
              <w:rPr>
                <w:rFonts w:hint="eastAsia"/>
                <w:color w:val="auto"/>
                <w:kern w:val="0"/>
                <w:lang w:val="en-US" w:eastAsia="zh-CN"/>
              </w:rPr>
              <w:t>桶包装均为25kg/桶，年用量共14.65t/a，即年产生586个空桶，单个空桶约2kg，即</w:t>
            </w:r>
            <w:r>
              <w:rPr>
                <w:color w:val="auto"/>
                <w:kern w:val="0"/>
              </w:rPr>
              <w:t>废包装桶产生量约为</w:t>
            </w:r>
            <w:r>
              <w:rPr>
                <w:rFonts w:hint="eastAsia"/>
                <w:color w:val="auto"/>
                <w:kern w:val="0"/>
                <w:lang w:val="en-US" w:eastAsia="zh-CN"/>
              </w:rPr>
              <w:t>1.</w:t>
            </w:r>
            <w:r>
              <w:rPr>
                <w:rFonts w:hint="eastAsia"/>
                <w:color w:val="auto"/>
                <w:kern w:val="0"/>
              </w:rPr>
              <w:t>2t/a</w:t>
            </w:r>
            <w:r>
              <w:rPr>
                <w:color w:val="auto"/>
                <w:kern w:val="0"/>
              </w:rPr>
              <w:t>，经收集后暂存于危废仓库，定期委托有资质单位处理。</w:t>
            </w:r>
          </w:p>
          <w:p w14:paraId="1ED9E401">
            <w:pPr>
              <w:spacing w:line="360" w:lineRule="auto"/>
              <w:ind w:firstLine="422" w:firstLineChars="200"/>
              <w:rPr>
                <w:rFonts w:hint="eastAsia"/>
                <w:b/>
                <w:bCs/>
                <w:color w:val="auto"/>
                <w:kern w:val="0"/>
                <w:lang w:val="en-US" w:eastAsia="zh-CN"/>
              </w:rPr>
            </w:pPr>
            <w:r>
              <w:rPr>
                <w:rFonts w:hint="eastAsia"/>
                <w:b/>
                <w:bCs/>
                <w:color w:val="auto"/>
                <w:kern w:val="0"/>
                <w:lang w:val="en-US" w:eastAsia="zh-CN"/>
              </w:rPr>
              <w:t>⑥含锌废物：</w:t>
            </w:r>
            <w:r>
              <w:rPr>
                <w:rFonts w:hint="eastAsia"/>
                <w:b w:val="0"/>
                <w:bCs w:val="0"/>
                <w:color w:val="auto"/>
                <w:kern w:val="0"/>
                <w:lang w:val="en-US" w:eastAsia="zh-CN"/>
              </w:rPr>
              <w:t>滤尘来源于袋式除尘器收集及过滤过程，根据表4-1可知，产生量约为0.023t/a；锌粉来源于喷锌过程，根据源强核算可知，锌粉产生量约为0.15t/a，产生量共约0.173t/a，经收集后暂存于危废仓库，定期委托有资质单位处理。</w:t>
            </w:r>
          </w:p>
          <w:p w14:paraId="4F97AA89">
            <w:pPr>
              <w:spacing w:line="360" w:lineRule="auto"/>
              <w:ind w:firstLine="422" w:firstLineChars="200"/>
              <w:rPr>
                <w:rFonts w:hint="default"/>
                <w:b/>
                <w:bCs/>
                <w:color w:val="auto"/>
                <w:kern w:val="0"/>
                <w:lang w:val="en-US" w:eastAsia="zh-CN"/>
              </w:rPr>
            </w:pPr>
            <w:r>
              <w:rPr>
                <w:rFonts w:hint="eastAsia"/>
                <w:b/>
                <w:bCs/>
                <w:color w:val="auto"/>
                <w:kern w:val="0"/>
                <w:lang w:val="en-US" w:eastAsia="zh-CN"/>
              </w:rPr>
              <w:t>⑦含漆废物：</w:t>
            </w:r>
            <w:r>
              <w:rPr>
                <w:color w:val="auto"/>
                <w:kern w:val="0"/>
              </w:rPr>
              <w:t>本项目生产过程中会有少量沾染了</w:t>
            </w:r>
            <w:r>
              <w:rPr>
                <w:rFonts w:hint="eastAsia"/>
                <w:color w:val="auto"/>
                <w:kern w:val="0"/>
              </w:rPr>
              <w:t>涂料</w:t>
            </w:r>
            <w:r>
              <w:rPr>
                <w:color w:val="auto"/>
                <w:kern w:val="0"/>
              </w:rPr>
              <w:t>的废手套及抹布</w:t>
            </w:r>
            <w:r>
              <w:rPr>
                <w:rFonts w:hint="eastAsia"/>
                <w:color w:val="auto"/>
                <w:kern w:val="0"/>
                <w:lang w:eastAsia="zh-CN"/>
              </w:rPr>
              <w:t>、</w:t>
            </w:r>
            <w:r>
              <w:rPr>
                <w:rFonts w:hint="eastAsia"/>
                <w:color w:val="auto"/>
                <w:kern w:val="0"/>
                <w:lang w:val="en-US" w:eastAsia="zh-CN"/>
              </w:rPr>
              <w:t>废气治理过程中产生的吸附漆雾的废过滤棉</w:t>
            </w:r>
            <w:r>
              <w:rPr>
                <w:color w:val="auto"/>
                <w:kern w:val="0"/>
              </w:rPr>
              <w:t>，产生量</w:t>
            </w:r>
            <w:r>
              <w:rPr>
                <w:rFonts w:hint="eastAsia"/>
                <w:color w:val="auto"/>
                <w:kern w:val="0"/>
                <w:lang w:val="en-US" w:eastAsia="zh-CN"/>
              </w:rPr>
              <w:t>共</w:t>
            </w:r>
            <w:r>
              <w:rPr>
                <w:color w:val="auto"/>
                <w:kern w:val="0"/>
              </w:rPr>
              <w:t>约</w:t>
            </w:r>
            <w:r>
              <w:rPr>
                <w:rFonts w:hint="eastAsia"/>
                <w:color w:val="auto"/>
                <w:kern w:val="0"/>
                <w:lang w:val="en-US" w:eastAsia="zh-CN"/>
              </w:rPr>
              <w:t>1.5</w:t>
            </w:r>
            <w:r>
              <w:rPr>
                <w:color w:val="auto"/>
                <w:kern w:val="0"/>
              </w:rPr>
              <w:t>t/a，经收集后暂存于危废仓库，定期委托有资质单位处理。</w:t>
            </w:r>
          </w:p>
          <w:p w14:paraId="52F0001C">
            <w:pPr>
              <w:spacing w:line="360" w:lineRule="auto"/>
              <w:ind w:firstLine="422" w:firstLineChars="200"/>
              <w:rPr>
                <w:b/>
                <w:bCs/>
                <w:color w:val="auto"/>
                <w:kern w:val="0"/>
              </w:rPr>
            </w:pPr>
            <w:r>
              <w:rPr>
                <w:rFonts w:hint="eastAsia"/>
                <w:b/>
                <w:bCs/>
                <w:color w:val="auto"/>
                <w:kern w:val="0"/>
                <w:lang w:val="en-US" w:eastAsia="zh-CN"/>
              </w:rPr>
              <w:t>⑧</w:t>
            </w:r>
            <w:r>
              <w:rPr>
                <w:rFonts w:hint="eastAsia"/>
                <w:b/>
                <w:bCs/>
                <w:color w:val="auto"/>
                <w:kern w:val="0"/>
              </w:rPr>
              <w:t>废活性炭：</w:t>
            </w:r>
          </w:p>
          <w:p w14:paraId="59A3676B">
            <w:pPr>
              <w:autoSpaceDE w:val="0"/>
              <w:autoSpaceDN w:val="0"/>
              <w:adjustRightInd w:val="0"/>
              <w:snapToGrid w:val="0"/>
              <w:spacing w:line="360" w:lineRule="auto"/>
              <w:ind w:firstLine="422" w:firstLineChars="200"/>
              <w:rPr>
                <w:color w:val="auto"/>
                <w:kern w:val="0"/>
              </w:rPr>
            </w:pPr>
            <w:r>
              <w:rPr>
                <w:rFonts w:hint="eastAsia"/>
                <w:b/>
                <w:bCs/>
                <w:color w:val="auto"/>
                <w:kern w:val="0"/>
                <w:lang w:val="en-US" w:eastAsia="zh-CN"/>
              </w:rPr>
              <w:t>二级活性炭吸附装置：</w:t>
            </w:r>
            <w:r>
              <w:rPr>
                <w:rFonts w:hint="eastAsia"/>
                <w:color w:val="auto"/>
                <w:kern w:val="0"/>
              </w:rPr>
              <w:t>项目采用“二级活性炭装置”对</w:t>
            </w:r>
            <w:r>
              <w:rPr>
                <w:rFonts w:hint="eastAsia"/>
                <w:color w:val="auto"/>
                <w:kern w:val="0"/>
                <w:lang w:val="en-US" w:eastAsia="zh-CN"/>
              </w:rPr>
              <w:t>有机废气</w:t>
            </w:r>
            <w:r>
              <w:rPr>
                <w:rFonts w:hint="eastAsia"/>
                <w:color w:val="auto"/>
                <w:kern w:val="0"/>
              </w:rPr>
              <w:t>进行处理，根据废气源强核算，活性炭吸附有机废气量为</w:t>
            </w:r>
            <w:r>
              <w:rPr>
                <w:rFonts w:hint="eastAsia"/>
                <w:color w:val="auto"/>
                <w:kern w:val="0"/>
                <w:lang w:val="en-US" w:eastAsia="zh-CN"/>
              </w:rPr>
              <w:t>1.01772</w:t>
            </w:r>
            <w:r>
              <w:rPr>
                <w:rFonts w:hint="eastAsia"/>
                <w:color w:val="auto"/>
                <w:kern w:val="0"/>
              </w:rPr>
              <w:t>t/a。根据“《省生态环境厅关于深入开展涉VOCs治理重点工作核查的通知》（苏环办[2022]218号），采用一次性颗粒状活性炭处理VOCs废气，年活性炭使用量不应低于VOCs产生量的5倍，即1吨VOCs产生量，需5吨活性炭用于吸附。活性炭更换周期一般不应超过累计运行500小时或3个月”。因此，本项目活性炭最低用量取废气吸附量的5倍计算，即活性炭最低用量为</w:t>
            </w:r>
            <w:r>
              <w:rPr>
                <w:rFonts w:hint="eastAsia"/>
                <w:color w:val="auto"/>
                <w:kern w:val="0"/>
                <w:lang w:val="en-US" w:eastAsia="zh-CN"/>
              </w:rPr>
              <w:t>5.0886</w:t>
            </w:r>
            <w:r>
              <w:rPr>
                <w:rFonts w:hint="eastAsia"/>
                <w:color w:val="auto"/>
                <w:kern w:val="0"/>
              </w:rPr>
              <w:t>t/a。考虑到实际情况，单个活性炭箱填装量为</w:t>
            </w:r>
            <w:r>
              <w:rPr>
                <w:rFonts w:hint="eastAsia"/>
                <w:color w:val="auto"/>
                <w:kern w:val="0"/>
                <w:lang w:val="en-US" w:eastAsia="zh-CN"/>
              </w:rPr>
              <w:t>0.3</w:t>
            </w:r>
            <w:r>
              <w:rPr>
                <w:rFonts w:hint="eastAsia"/>
                <w:color w:val="auto"/>
                <w:kern w:val="0"/>
              </w:rPr>
              <w:t>t，因此每次更换的活性炭量为</w:t>
            </w:r>
            <w:r>
              <w:rPr>
                <w:rFonts w:hint="eastAsia"/>
                <w:color w:val="auto"/>
                <w:kern w:val="0"/>
                <w:lang w:val="en-US" w:eastAsia="zh-CN"/>
              </w:rPr>
              <w:t>0.6</w:t>
            </w:r>
            <w:r>
              <w:rPr>
                <w:rFonts w:hint="eastAsia"/>
                <w:color w:val="auto"/>
                <w:kern w:val="0"/>
              </w:rPr>
              <w:t>t，即年更换频次最低为</w:t>
            </w:r>
            <w:r>
              <w:rPr>
                <w:rFonts w:hint="eastAsia"/>
                <w:color w:val="auto"/>
                <w:kern w:val="0"/>
                <w:lang w:val="en-US" w:eastAsia="zh-CN"/>
              </w:rPr>
              <w:t>8.481</w:t>
            </w:r>
            <w:r>
              <w:rPr>
                <w:rFonts w:hint="eastAsia"/>
                <w:color w:val="auto"/>
                <w:kern w:val="0"/>
              </w:rPr>
              <w:t>次/a，按每</w:t>
            </w:r>
            <w:r>
              <w:rPr>
                <w:rFonts w:hint="eastAsia"/>
                <w:color w:val="auto"/>
                <w:kern w:val="0"/>
                <w:lang w:val="en-US" w:eastAsia="zh-CN"/>
              </w:rPr>
              <w:t>40d</w:t>
            </w:r>
            <w:r>
              <w:rPr>
                <w:rFonts w:hint="eastAsia"/>
                <w:color w:val="auto"/>
                <w:kern w:val="0"/>
              </w:rPr>
              <w:t>更换</w:t>
            </w:r>
            <w:r>
              <w:rPr>
                <w:rFonts w:hint="eastAsia"/>
                <w:color w:val="auto"/>
                <w:kern w:val="0"/>
                <w:lang w:val="en-US" w:eastAsia="zh-CN"/>
              </w:rPr>
              <w:t>1</w:t>
            </w:r>
            <w:r>
              <w:rPr>
                <w:rFonts w:hint="eastAsia"/>
                <w:color w:val="auto"/>
                <w:kern w:val="0"/>
              </w:rPr>
              <w:t>次计，即年更换活性炭量为</w:t>
            </w:r>
            <w:r>
              <w:rPr>
                <w:rFonts w:hint="eastAsia"/>
                <w:color w:val="auto"/>
                <w:kern w:val="0"/>
                <w:lang w:val="en-US" w:eastAsia="zh-CN"/>
              </w:rPr>
              <w:t>5.4</w:t>
            </w:r>
            <w:r>
              <w:rPr>
                <w:rFonts w:hint="eastAsia"/>
                <w:color w:val="auto"/>
                <w:kern w:val="0"/>
              </w:rPr>
              <w:t>t/a。则废活性炭产生量为</w:t>
            </w:r>
            <w:r>
              <w:rPr>
                <w:rFonts w:hint="eastAsia"/>
                <w:color w:val="auto"/>
                <w:kern w:val="0"/>
                <w:lang w:val="en-US" w:eastAsia="zh-CN"/>
              </w:rPr>
              <w:t>6.418t</w:t>
            </w:r>
            <w:r>
              <w:rPr>
                <w:rFonts w:hint="eastAsia"/>
                <w:color w:val="auto"/>
                <w:kern w:val="0"/>
              </w:rPr>
              <w:t>/a（含吸附的有机废气</w:t>
            </w:r>
            <w:r>
              <w:rPr>
                <w:rFonts w:hint="eastAsia"/>
                <w:color w:val="auto"/>
                <w:kern w:val="0"/>
                <w:lang w:val="en-US" w:eastAsia="zh-CN"/>
              </w:rPr>
              <w:t>1.01772</w:t>
            </w:r>
            <w:r>
              <w:rPr>
                <w:rFonts w:hint="eastAsia"/>
                <w:color w:val="auto"/>
                <w:kern w:val="0"/>
              </w:rPr>
              <w:t>t/a），</w:t>
            </w:r>
            <w:r>
              <w:rPr>
                <w:rFonts w:hint="eastAsia"/>
                <w:color w:val="auto"/>
                <w:kern w:val="0"/>
                <w:lang w:val="en-US" w:eastAsia="zh-CN"/>
              </w:rPr>
              <w:t>定期</w:t>
            </w:r>
            <w:r>
              <w:rPr>
                <w:rFonts w:hint="eastAsia"/>
                <w:color w:val="auto"/>
                <w:kern w:val="0"/>
              </w:rPr>
              <w:t>委托有资质单位处置。</w:t>
            </w:r>
          </w:p>
          <w:p w14:paraId="4BE4E5EC">
            <w:pPr>
              <w:autoSpaceDE w:val="0"/>
              <w:autoSpaceDN w:val="0"/>
              <w:adjustRightInd w:val="0"/>
              <w:snapToGrid w:val="0"/>
              <w:spacing w:line="360" w:lineRule="auto"/>
              <w:ind w:firstLine="422" w:firstLineChars="200"/>
              <w:rPr>
                <w:rFonts w:hint="default"/>
                <w:b w:val="0"/>
                <w:bCs w:val="0"/>
                <w:color w:val="auto"/>
                <w:kern w:val="0"/>
                <w:lang w:val="en-US" w:eastAsia="zh-CN"/>
              </w:rPr>
            </w:pPr>
            <w:r>
              <w:rPr>
                <w:rFonts w:hint="eastAsia"/>
                <w:b/>
                <w:bCs/>
                <w:color w:val="auto"/>
                <w:kern w:val="0"/>
                <w:lang w:val="en-US" w:eastAsia="zh-CN"/>
              </w:rPr>
              <w:t>危废仓库活性炭吸附装置：</w:t>
            </w:r>
            <w:r>
              <w:rPr>
                <w:rFonts w:hint="eastAsia"/>
                <w:b w:val="0"/>
                <w:bCs w:val="0"/>
                <w:color w:val="auto"/>
                <w:kern w:val="0"/>
                <w:lang w:val="en-US" w:eastAsia="zh-CN"/>
              </w:rPr>
              <w:t>项目采用活性炭装置对危废仓库废气进行处理。</w:t>
            </w:r>
            <w:r>
              <w:rPr>
                <w:rFonts w:hint="eastAsia"/>
                <w:color w:val="auto"/>
                <w:kern w:val="0"/>
              </w:rPr>
              <w:t>根据“《省生态环境厅关于深入开展涉VOCs治理重点工作核查的通知》（苏环办[2022]218号），采用一次性颗粒状活性炭处理VOCs废气，年活性炭使用量不应低于VOCs产生量的5倍，即1吨VOCs产生量，需5吨活性炭用于吸附。活性炭更换周期一般不应超过累计运行500小时或3个月”。考虑到实际情况，活性炭箱填装量为</w:t>
            </w:r>
            <w:r>
              <w:rPr>
                <w:rFonts w:hint="eastAsia"/>
                <w:color w:val="auto"/>
                <w:kern w:val="0"/>
                <w:lang w:val="en-US" w:eastAsia="zh-CN"/>
              </w:rPr>
              <w:t>30kg</w:t>
            </w:r>
            <w:r>
              <w:rPr>
                <w:rFonts w:hint="eastAsia"/>
                <w:color w:val="auto"/>
                <w:kern w:val="0"/>
              </w:rPr>
              <w:t>，因此每次更换的活性炭量为</w:t>
            </w:r>
            <w:r>
              <w:rPr>
                <w:rFonts w:hint="eastAsia"/>
                <w:color w:val="auto"/>
                <w:kern w:val="0"/>
                <w:lang w:val="en-US" w:eastAsia="zh-CN"/>
              </w:rPr>
              <w:t>0.03</w:t>
            </w:r>
            <w:r>
              <w:rPr>
                <w:rFonts w:hint="eastAsia"/>
                <w:color w:val="auto"/>
                <w:kern w:val="0"/>
              </w:rPr>
              <w:t>t，年更换频次最低为</w:t>
            </w:r>
            <w:r>
              <w:rPr>
                <w:rFonts w:hint="eastAsia"/>
                <w:color w:val="auto"/>
                <w:kern w:val="0"/>
                <w:lang w:val="en-US" w:eastAsia="zh-CN"/>
              </w:rPr>
              <w:t>4</w:t>
            </w:r>
            <w:r>
              <w:rPr>
                <w:rFonts w:hint="eastAsia"/>
                <w:color w:val="auto"/>
                <w:kern w:val="0"/>
              </w:rPr>
              <w:t>次/a，按</w:t>
            </w:r>
            <w:r>
              <w:rPr>
                <w:rFonts w:hint="eastAsia"/>
                <w:color w:val="auto"/>
                <w:kern w:val="0"/>
                <w:lang w:val="en-US" w:eastAsia="zh-CN"/>
              </w:rPr>
              <w:t>3</w:t>
            </w:r>
            <w:r>
              <w:rPr>
                <w:rFonts w:hint="eastAsia"/>
                <w:color w:val="auto"/>
                <w:kern w:val="0"/>
              </w:rPr>
              <w:t>个月更换</w:t>
            </w:r>
            <w:r>
              <w:rPr>
                <w:rFonts w:hint="eastAsia"/>
                <w:color w:val="auto"/>
                <w:kern w:val="0"/>
                <w:lang w:val="en-US" w:eastAsia="zh-CN"/>
              </w:rPr>
              <w:t>1</w:t>
            </w:r>
            <w:r>
              <w:rPr>
                <w:rFonts w:hint="eastAsia"/>
                <w:color w:val="auto"/>
                <w:kern w:val="0"/>
              </w:rPr>
              <w:t>次计，即年更换活性炭量为</w:t>
            </w:r>
            <w:r>
              <w:rPr>
                <w:rFonts w:hint="eastAsia"/>
                <w:color w:val="auto"/>
                <w:kern w:val="0"/>
                <w:lang w:val="en-US" w:eastAsia="zh-CN"/>
              </w:rPr>
              <w:t>0.12</w:t>
            </w:r>
            <w:r>
              <w:rPr>
                <w:rFonts w:hint="eastAsia"/>
                <w:color w:val="auto"/>
                <w:kern w:val="0"/>
              </w:rPr>
              <w:t>t/a。则废活性炭产生量为</w:t>
            </w:r>
            <w:r>
              <w:rPr>
                <w:rFonts w:hint="eastAsia"/>
                <w:color w:val="auto"/>
                <w:kern w:val="0"/>
                <w:lang w:val="en-US" w:eastAsia="zh-CN"/>
              </w:rPr>
              <w:t>0.12</w:t>
            </w:r>
            <w:r>
              <w:rPr>
                <w:rFonts w:hint="eastAsia"/>
                <w:color w:val="auto"/>
                <w:kern w:val="0"/>
              </w:rPr>
              <w:t>t/a，</w:t>
            </w:r>
            <w:r>
              <w:rPr>
                <w:rFonts w:hint="eastAsia"/>
                <w:color w:val="auto"/>
                <w:kern w:val="0"/>
                <w:lang w:val="en-US" w:eastAsia="zh-CN"/>
              </w:rPr>
              <w:t>定期</w:t>
            </w:r>
            <w:r>
              <w:rPr>
                <w:rFonts w:hint="eastAsia"/>
                <w:color w:val="auto"/>
                <w:kern w:val="0"/>
              </w:rPr>
              <w:t>委托有资质单位处置。</w:t>
            </w:r>
          </w:p>
          <w:p w14:paraId="59DB9C31">
            <w:pPr>
              <w:autoSpaceDE w:val="0"/>
              <w:autoSpaceDN w:val="0"/>
              <w:adjustRightInd w:val="0"/>
              <w:snapToGrid w:val="0"/>
              <w:spacing w:line="360" w:lineRule="auto"/>
              <w:ind w:firstLine="420" w:firstLineChars="200"/>
              <w:rPr>
                <w:rFonts w:hint="default" w:eastAsia="宋体"/>
                <w:b/>
                <w:bCs/>
                <w:color w:val="auto"/>
                <w:kern w:val="0"/>
                <w:lang w:val="en-US" w:eastAsia="zh-CN"/>
              </w:rPr>
            </w:pPr>
            <w:r>
              <w:rPr>
                <w:rFonts w:hint="eastAsia"/>
                <w:b w:val="0"/>
                <w:bCs w:val="0"/>
                <w:color w:val="auto"/>
                <w:kern w:val="0"/>
                <w:lang w:val="en-US" w:eastAsia="zh-CN"/>
              </w:rPr>
              <w:t>综上，二级活性炭装置及移动式活性炭吸附装置废活性炭共产生约6.538t/a。</w:t>
            </w:r>
          </w:p>
          <w:p w14:paraId="6402332E">
            <w:pPr>
              <w:autoSpaceDE w:val="0"/>
              <w:autoSpaceDN w:val="0"/>
              <w:adjustRightInd w:val="0"/>
              <w:snapToGrid w:val="0"/>
              <w:spacing w:line="360" w:lineRule="auto"/>
              <w:ind w:firstLine="422" w:firstLineChars="200"/>
              <w:rPr>
                <w:rFonts w:hint="eastAsia"/>
                <w:b/>
                <w:bCs/>
                <w:color w:val="auto"/>
                <w:kern w:val="0"/>
              </w:rPr>
            </w:pPr>
            <w:r>
              <w:rPr>
                <w:rFonts w:hint="eastAsia"/>
                <w:b/>
                <w:bCs/>
                <w:color w:val="auto"/>
                <w:kern w:val="0"/>
              </w:rPr>
              <w:t>生活垃圾</w:t>
            </w:r>
          </w:p>
          <w:p w14:paraId="5C8ED1BB">
            <w:pPr>
              <w:pStyle w:val="23"/>
              <w:ind w:firstLine="420" w:firstLineChars="200"/>
              <w:rPr>
                <w:color w:val="auto"/>
                <w:sz w:val="21"/>
                <w:szCs w:val="21"/>
              </w:rPr>
            </w:pPr>
            <w:r>
              <w:rPr>
                <w:color w:val="auto"/>
                <w:sz w:val="21"/>
                <w:szCs w:val="21"/>
              </w:rPr>
              <w:t>来源于职工日常生活，本项目职工</w:t>
            </w:r>
            <w:r>
              <w:rPr>
                <w:rFonts w:hint="eastAsia"/>
                <w:color w:val="auto"/>
                <w:sz w:val="21"/>
                <w:szCs w:val="21"/>
                <w:lang w:val="en-US" w:eastAsia="zh-CN"/>
              </w:rPr>
              <w:t>30</w:t>
            </w:r>
            <w:r>
              <w:rPr>
                <w:color w:val="auto"/>
                <w:sz w:val="21"/>
                <w:szCs w:val="21"/>
              </w:rPr>
              <w:t>人，年工作</w:t>
            </w:r>
            <w:r>
              <w:rPr>
                <w:rFonts w:hint="eastAsia"/>
                <w:color w:val="auto"/>
                <w:sz w:val="21"/>
                <w:szCs w:val="21"/>
                <w:lang w:val="en-US" w:eastAsia="zh-CN"/>
              </w:rPr>
              <w:t>300</w:t>
            </w:r>
            <w:r>
              <w:rPr>
                <w:color w:val="auto"/>
                <w:sz w:val="21"/>
                <w:szCs w:val="21"/>
              </w:rPr>
              <w:t>天，生活垃圾产生量按照</w:t>
            </w:r>
            <w:r>
              <w:rPr>
                <w:rFonts w:hint="eastAsia"/>
                <w:color w:val="auto"/>
                <w:sz w:val="21"/>
                <w:szCs w:val="21"/>
              </w:rPr>
              <w:t>1</w:t>
            </w:r>
            <w:r>
              <w:rPr>
                <w:color w:val="auto"/>
                <w:sz w:val="21"/>
                <w:szCs w:val="21"/>
              </w:rPr>
              <w:t>kg/人</w:t>
            </w:r>
            <w:r>
              <w:rPr>
                <w:b/>
                <w:bCs/>
                <w:color w:val="auto"/>
                <w:sz w:val="21"/>
                <w:szCs w:val="21"/>
              </w:rPr>
              <w:t>·</w:t>
            </w:r>
            <w:r>
              <w:rPr>
                <w:color w:val="auto"/>
                <w:sz w:val="21"/>
                <w:szCs w:val="21"/>
              </w:rPr>
              <w:t>天计算，则生活垃圾产生量为</w:t>
            </w:r>
            <w:r>
              <w:rPr>
                <w:rFonts w:hint="eastAsia"/>
                <w:color w:val="auto"/>
                <w:sz w:val="21"/>
                <w:szCs w:val="21"/>
                <w:lang w:val="en-US" w:eastAsia="zh-CN"/>
              </w:rPr>
              <w:t>9</w:t>
            </w:r>
            <w:r>
              <w:rPr>
                <w:color w:val="auto"/>
                <w:sz w:val="21"/>
                <w:szCs w:val="21"/>
              </w:rPr>
              <w:t>t/a，统一收集后由环卫部门处理。</w:t>
            </w:r>
          </w:p>
          <w:p w14:paraId="4C351F56">
            <w:pPr>
              <w:autoSpaceDE w:val="0"/>
              <w:autoSpaceDN w:val="0"/>
              <w:snapToGrid w:val="0"/>
              <w:spacing w:line="360" w:lineRule="auto"/>
              <w:ind w:firstLine="422" w:firstLineChars="200"/>
              <w:rPr>
                <w:b/>
                <w:bCs/>
                <w:color w:val="auto"/>
                <w:kern w:val="0"/>
              </w:rPr>
            </w:pPr>
            <w:r>
              <w:rPr>
                <w:rFonts w:hint="eastAsia"/>
                <w:b/>
                <w:bCs/>
                <w:color w:val="auto"/>
                <w:kern w:val="0"/>
              </w:rPr>
              <w:t>（2）固体废物属性判定</w:t>
            </w:r>
          </w:p>
          <w:p w14:paraId="69B867BC">
            <w:pPr>
              <w:autoSpaceDE w:val="0"/>
              <w:autoSpaceDN w:val="0"/>
              <w:snapToGrid w:val="0"/>
              <w:spacing w:line="360" w:lineRule="auto"/>
              <w:ind w:firstLine="420" w:firstLineChars="200"/>
              <w:rPr>
                <w:color w:val="auto"/>
                <w:kern w:val="0"/>
              </w:rPr>
            </w:pPr>
            <w:r>
              <w:rPr>
                <w:color w:val="auto"/>
                <w:kern w:val="0"/>
              </w:rPr>
              <w:t>根据《固体废物鉴别标准通则》（GB34330-2017）的规定，判断其是否属于固体废物，具体判定依据及结果见下表</w:t>
            </w:r>
            <w:r>
              <w:rPr>
                <w:rFonts w:hint="eastAsia"/>
                <w:color w:val="auto"/>
                <w:kern w:val="0"/>
              </w:rPr>
              <w:t>。</w:t>
            </w:r>
          </w:p>
          <w:p w14:paraId="36BFF7C7">
            <w:pPr>
              <w:jc w:val="center"/>
              <w:rPr>
                <w:b/>
                <w:color w:val="auto"/>
                <w:kern w:val="0"/>
              </w:rPr>
            </w:pPr>
            <w:r>
              <w:rPr>
                <w:b/>
                <w:color w:val="auto"/>
                <w:kern w:val="0"/>
              </w:rPr>
              <w:t>表4-</w:t>
            </w:r>
            <w:r>
              <w:rPr>
                <w:rFonts w:hint="eastAsia"/>
                <w:b/>
                <w:color w:val="auto"/>
                <w:kern w:val="0"/>
                <w:lang w:val="en-US" w:eastAsia="zh-CN"/>
              </w:rPr>
              <w:t>22</w:t>
            </w:r>
            <w:r>
              <w:rPr>
                <w:b/>
                <w:color w:val="auto"/>
                <w:kern w:val="0"/>
              </w:rPr>
              <w:t xml:space="preserve">   建设项目</w:t>
            </w:r>
            <w:r>
              <w:rPr>
                <w:rFonts w:hint="eastAsia"/>
                <w:b/>
                <w:color w:val="auto"/>
                <w:kern w:val="0"/>
              </w:rPr>
              <w:t>固体废物</w:t>
            </w:r>
            <w:r>
              <w:rPr>
                <w:b/>
                <w:color w:val="auto"/>
                <w:kern w:val="0"/>
              </w:rPr>
              <w:t>产生情况汇总表</w:t>
            </w:r>
          </w:p>
          <w:tbl>
            <w:tblPr>
              <w:tblStyle w:val="59"/>
              <w:tblW w:w="4997" w:type="pct"/>
              <w:tblInd w:w="0" w:type="dxa"/>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1077"/>
              <w:gridCol w:w="978"/>
              <w:gridCol w:w="645"/>
              <w:gridCol w:w="1846"/>
              <w:gridCol w:w="1170"/>
              <w:gridCol w:w="1080"/>
              <w:gridCol w:w="915"/>
              <w:gridCol w:w="1145"/>
            </w:tblGrid>
            <w:tr w14:paraId="526E40E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608" w:type="pct"/>
                  <w:vMerge w:val="restart"/>
                  <w:vAlign w:val="center"/>
                </w:tcPr>
                <w:p w14:paraId="4857D59F">
                  <w:pPr>
                    <w:pStyle w:val="5"/>
                    <w:adjustRightInd w:val="0"/>
                    <w:snapToGrid w:val="0"/>
                    <w:ind w:firstLine="0"/>
                    <w:jc w:val="center"/>
                    <w:rPr>
                      <w:b/>
                      <w:bCs/>
                      <w:color w:val="auto"/>
                      <w:kern w:val="0"/>
                      <w:szCs w:val="21"/>
                    </w:rPr>
                  </w:pPr>
                  <w:r>
                    <w:rPr>
                      <w:b/>
                      <w:bCs/>
                      <w:color w:val="auto"/>
                      <w:kern w:val="0"/>
                      <w:szCs w:val="21"/>
                    </w:rPr>
                    <w:t>副产物名称</w:t>
                  </w:r>
                </w:p>
              </w:tc>
              <w:tc>
                <w:tcPr>
                  <w:tcW w:w="552" w:type="pct"/>
                  <w:vMerge w:val="restart"/>
                  <w:vAlign w:val="center"/>
                </w:tcPr>
                <w:p w14:paraId="1D0A2D2E">
                  <w:pPr>
                    <w:pStyle w:val="5"/>
                    <w:adjustRightInd w:val="0"/>
                    <w:snapToGrid w:val="0"/>
                    <w:ind w:firstLine="0"/>
                    <w:jc w:val="center"/>
                    <w:rPr>
                      <w:b/>
                      <w:bCs/>
                      <w:color w:val="auto"/>
                      <w:kern w:val="0"/>
                      <w:szCs w:val="21"/>
                    </w:rPr>
                  </w:pPr>
                  <w:r>
                    <w:rPr>
                      <w:b/>
                      <w:bCs/>
                      <w:color w:val="auto"/>
                      <w:kern w:val="0"/>
                      <w:szCs w:val="21"/>
                    </w:rPr>
                    <w:t>产生</w:t>
                  </w:r>
                </w:p>
                <w:p w14:paraId="5BA20481">
                  <w:pPr>
                    <w:pStyle w:val="5"/>
                    <w:adjustRightInd w:val="0"/>
                    <w:snapToGrid w:val="0"/>
                    <w:ind w:firstLine="0"/>
                    <w:jc w:val="center"/>
                    <w:rPr>
                      <w:b/>
                      <w:bCs/>
                      <w:color w:val="auto"/>
                      <w:kern w:val="0"/>
                      <w:szCs w:val="21"/>
                    </w:rPr>
                  </w:pPr>
                  <w:r>
                    <w:rPr>
                      <w:b/>
                      <w:bCs/>
                      <w:color w:val="auto"/>
                      <w:kern w:val="0"/>
                      <w:szCs w:val="21"/>
                    </w:rPr>
                    <w:t>工序</w:t>
                  </w:r>
                </w:p>
              </w:tc>
              <w:tc>
                <w:tcPr>
                  <w:tcW w:w="364" w:type="pct"/>
                  <w:vMerge w:val="restart"/>
                  <w:vAlign w:val="center"/>
                </w:tcPr>
                <w:p w14:paraId="3150843C">
                  <w:pPr>
                    <w:pStyle w:val="5"/>
                    <w:adjustRightInd w:val="0"/>
                    <w:snapToGrid w:val="0"/>
                    <w:ind w:firstLine="0"/>
                    <w:jc w:val="center"/>
                    <w:rPr>
                      <w:b/>
                      <w:bCs/>
                      <w:color w:val="auto"/>
                      <w:kern w:val="0"/>
                      <w:szCs w:val="21"/>
                    </w:rPr>
                  </w:pPr>
                  <w:r>
                    <w:rPr>
                      <w:b/>
                      <w:bCs/>
                      <w:color w:val="auto"/>
                      <w:kern w:val="0"/>
                      <w:szCs w:val="21"/>
                    </w:rPr>
                    <w:t>形态</w:t>
                  </w:r>
                </w:p>
              </w:tc>
              <w:tc>
                <w:tcPr>
                  <w:tcW w:w="1042" w:type="pct"/>
                  <w:vMerge w:val="restart"/>
                  <w:vAlign w:val="center"/>
                </w:tcPr>
                <w:p w14:paraId="41DA9F84">
                  <w:pPr>
                    <w:pStyle w:val="5"/>
                    <w:adjustRightInd w:val="0"/>
                    <w:snapToGrid w:val="0"/>
                    <w:ind w:firstLine="0"/>
                    <w:jc w:val="center"/>
                    <w:rPr>
                      <w:b/>
                      <w:bCs/>
                      <w:color w:val="auto"/>
                      <w:kern w:val="0"/>
                      <w:szCs w:val="21"/>
                    </w:rPr>
                  </w:pPr>
                  <w:r>
                    <w:rPr>
                      <w:b/>
                      <w:bCs/>
                      <w:color w:val="auto"/>
                      <w:kern w:val="0"/>
                      <w:szCs w:val="21"/>
                    </w:rPr>
                    <w:t>主要成分</w:t>
                  </w:r>
                </w:p>
              </w:tc>
              <w:tc>
                <w:tcPr>
                  <w:tcW w:w="660" w:type="pct"/>
                  <w:vMerge w:val="restart"/>
                  <w:vAlign w:val="center"/>
                </w:tcPr>
                <w:p w14:paraId="18D499E3">
                  <w:pPr>
                    <w:pStyle w:val="5"/>
                    <w:adjustRightInd w:val="0"/>
                    <w:snapToGrid w:val="0"/>
                    <w:ind w:firstLine="0"/>
                    <w:jc w:val="center"/>
                    <w:rPr>
                      <w:b/>
                      <w:bCs/>
                      <w:color w:val="auto"/>
                      <w:kern w:val="0"/>
                      <w:szCs w:val="21"/>
                    </w:rPr>
                  </w:pPr>
                  <w:r>
                    <w:rPr>
                      <w:b/>
                      <w:bCs/>
                      <w:color w:val="auto"/>
                      <w:kern w:val="0"/>
                      <w:szCs w:val="21"/>
                    </w:rPr>
                    <w:t>预测产生量（t/a）</w:t>
                  </w:r>
                </w:p>
              </w:tc>
              <w:tc>
                <w:tcPr>
                  <w:tcW w:w="1772" w:type="pct"/>
                  <w:gridSpan w:val="3"/>
                  <w:vAlign w:val="center"/>
                </w:tcPr>
                <w:p w14:paraId="229C2168">
                  <w:pPr>
                    <w:pStyle w:val="5"/>
                    <w:adjustRightInd w:val="0"/>
                    <w:snapToGrid w:val="0"/>
                    <w:ind w:firstLine="0"/>
                    <w:jc w:val="center"/>
                    <w:rPr>
                      <w:b/>
                      <w:bCs/>
                      <w:color w:val="auto"/>
                      <w:kern w:val="0"/>
                      <w:szCs w:val="21"/>
                    </w:rPr>
                  </w:pPr>
                  <w:r>
                    <w:rPr>
                      <w:b/>
                      <w:bCs/>
                      <w:color w:val="auto"/>
                      <w:kern w:val="0"/>
                      <w:szCs w:val="21"/>
                    </w:rPr>
                    <w:t>种类判定</w:t>
                  </w:r>
                </w:p>
              </w:tc>
            </w:tr>
            <w:tr w14:paraId="4AB5101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608" w:type="pct"/>
                  <w:vMerge w:val="continue"/>
                  <w:vAlign w:val="center"/>
                </w:tcPr>
                <w:p w14:paraId="1DCEE995">
                  <w:pPr>
                    <w:pStyle w:val="5"/>
                    <w:adjustRightInd w:val="0"/>
                    <w:snapToGrid w:val="0"/>
                    <w:ind w:firstLine="0"/>
                    <w:jc w:val="center"/>
                    <w:rPr>
                      <w:b/>
                      <w:bCs/>
                      <w:color w:val="auto"/>
                      <w:kern w:val="0"/>
                      <w:szCs w:val="21"/>
                    </w:rPr>
                  </w:pPr>
                </w:p>
              </w:tc>
              <w:tc>
                <w:tcPr>
                  <w:tcW w:w="552" w:type="pct"/>
                  <w:vMerge w:val="continue"/>
                  <w:vAlign w:val="center"/>
                </w:tcPr>
                <w:p w14:paraId="2D24017E">
                  <w:pPr>
                    <w:pStyle w:val="5"/>
                    <w:adjustRightInd w:val="0"/>
                    <w:snapToGrid w:val="0"/>
                    <w:ind w:firstLine="0"/>
                    <w:jc w:val="center"/>
                    <w:rPr>
                      <w:b/>
                      <w:bCs/>
                      <w:color w:val="auto"/>
                      <w:kern w:val="0"/>
                      <w:szCs w:val="21"/>
                    </w:rPr>
                  </w:pPr>
                </w:p>
              </w:tc>
              <w:tc>
                <w:tcPr>
                  <w:tcW w:w="364" w:type="pct"/>
                  <w:vMerge w:val="continue"/>
                  <w:vAlign w:val="center"/>
                </w:tcPr>
                <w:p w14:paraId="088007F2">
                  <w:pPr>
                    <w:pStyle w:val="5"/>
                    <w:adjustRightInd w:val="0"/>
                    <w:snapToGrid w:val="0"/>
                    <w:ind w:firstLine="0"/>
                    <w:jc w:val="center"/>
                    <w:rPr>
                      <w:b/>
                      <w:bCs/>
                      <w:color w:val="auto"/>
                      <w:kern w:val="0"/>
                      <w:szCs w:val="21"/>
                    </w:rPr>
                  </w:pPr>
                </w:p>
              </w:tc>
              <w:tc>
                <w:tcPr>
                  <w:tcW w:w="1042" w:type="pct"/>
                  <w:vMerge w:val="continue"/>
                  <w:vAlign w:val="center"/>
                </w:tcPr>
                <w:p w14:paraId="0B37C6E9">
                  <w:pPr>
                    <w:pStyle w:val="5"/>
                    <w:adjustRightInd w:val="0"/>
                    <w:snapToGrid w:val="0"/>
                    <w:ind w:firstLine="0"/>
                    <w:jc w:val="center"/>
                    <w:rPr>
                      <w:b/>
                      <w:bCs/>
                      <w:color w:val="auto"/>
                      <w:kern w:val="0"/>
                      <w:szCs w:val="21"/>
                    </w:rPr>
                  </w:pPr>
                </w:p>
              </w:tc>
              <w:tc>
                <w:tcPr>
                  <w:tcW w:w="660" w:type="pct"/>
                  <w:vMerge w:val="continue"/>
                  <w:vAlign w:val="center"/>
                </w:tcPr>
                <w:p w14:paraId="4896C127">
                  <w:pPr>
                    <w:pStyle w:val="5"/>
                    <w:adjustRightInd w:val="0"/>
                    <w:snapToGrid w:val="0"/>
                    <w:ind w:firstLine="0"/>
                    <w:jc w:val="center"/>
                    <w:rPr>
                      <w:b/>
                      <w:bCs/>
                      <w:color w:val="auto"/>
                      <w:kern w:val="0"/>
                      <w:szCs w:val="21"/>
                    </w:rPr>
                  </w:pPr>
                </w:p>
              </w:tc>
              <w:tc>
                <w:tcPr>
                  <w:tcW w:w="609" w:type="pct"/>
                  <w:vAlign w:val="center"/>
                </w:tcPr>
                <w:p w14:paraId="2EFDBAF2">
                  <w:pPr>
                    <w:pStyle w:val="5"/>
                    <w:adjustRightInd w:val="0"/>
                    <w:snapToGrid w:val="0"/>
                    <w:ind w:firstLine="0"/>
                    <w:jc w:val="center"/>
                    <w:rPr>
                      <w:b/>
                      <w:bCs/>
                      <w:color w:val="auto"/>
                      <w:kern w:val="0"/>
                      <w:szCs w:val="21"/>
                    </w:rPr>
                  </w:pPr>
                  <w:r>
                    <w:rPr>
                      <w:b/>
                      <w:bCs/>
                      <w:color w:val="auto"/>
                      <w:kern w:val="0"/>
                      <w:szCs w:val="21"/>
                    </w:rPr>
                    <w:t>固体废物</w:t>
                  </w:r>
                </w:p>
              </w:tc>
              <w:tc>
                <w:tcPr>
                  <w:tcW w:w="516" w:type="pct"/>
                  <w:vAlign w:val="center"/>
                </w:tcPr>
                <w:p w14:paraId="37EDACCC">
                  <w:pPr>
                    <w:pStyle w:val="5"/>
                    <w:adjustRightInd w:val="0"/>
                    <w:snapToGrid w:val="0"/>
                    <w:ind w:firstLine="0"/>
                    <w:jc w:val="center"/>
                    <w:rPr>
                      <w:b/>
                      <w:bCs/>
                      <w:color w:val="auto"/>
                      <w:kern w:val="0"/>
                      <w:szCs w:val="21"/>
                    </w:rPr>
                  </w:pPr>
                  <w:r>
                    <w:rPr>
                      <w:b/>
                      <w:bCs/>
                      <w:color w:val="auto"/>
                      <w:kern w:val="0"/>
                      <w:szCs w:val="21"/>
                    </w:rPr>
                    <w:t>副产品</w:t>
                  </w:r>
                </w:p>
              </w:tc>
              <w:tc>
                <w:tcPr>
                  <w:tcW w:w="646" w:type="pct"/>
                  <w:vAlign w:val="center"/>
                </w:tcPr>
                <w:p w14:paraId="76DE3323">
                  <w:pPr>
                    <w:pStyle w:val="5"/>
                    <w:adjustRightInd w:val="0"/>
                    <w:snapToGrid w:val="0"/>
                    <w:ind w:firstLine="0"/>
                    <w:jc w:val="center"/>
                    <w:rPr>
                      <w:b/>
                      <w:bCs/>
                      <w:color w:val="auto"/>
                      <w:kern w:val="0"/>
                      <w:szCs w:val="21"/>
                    </w:rPr>
                  </w:pPr>
                  <w:r>
                    <w:rPr>
                      <w:b/>
                      <w:bCs/>
                      <w:color w:val="auto"/>
                      <w:kern w:val="0"/>
                      <w:szCs w:val="21"/>
                    </w:rPr>
                    <w:t>判定依据</w:t>
                  </w:r>
                </w:p>
              </w:tc>
            </w:tr>
            <w:tr w14:paraId="517F9EA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608" w:type="pct"/>
                  <w:vAlign w:val="center"/>
                </w:tcPr>
                <w:p w14:paraId="4F7FE57E">
                  <w:pPr>
                    <w:pStyle w:val="5"/>
                    <w:adjustRightInd w:val="0"/>
                    <w:snapToGrid w:val="0"/>
                    <w:ind w:firstLine="0" w:firstLineChars="0"/>
                    <w:jc w:val="center"/>
                    <w:rPr>
                      <w:rFonts w:hint="eastAsia"/>
                      <w:bCs/>
                      <w:color w:val="auto"/>
                      <w:kern w:val="0"/>
                      <w:szCs w:val="21"/>
                      <w:lang w:val="en-US" w:eastAsia="zh-CN"/>
                    </w:rPr>
                  </w:pPr>
                  <w:r>
                    <w:rPr>
                      <w:rFonts w:hint="eastAsia"/>
                      <w:bCs/>
                      <w:color w:val="auto"/>
                      <w:kern w:val="0"/>
                      <w:szCs w:val="21"/>
                      <w:lang w:val="en-US" w:eastAsia="zh-CN"/>
                    </w:rPr>
                    <w:t>废金属屑</w:t>
                  </w:r>
                </w:p>
              </w:tc>
              <w:tc>
                <w:tcPr>
                  <w:tcW w:w="552" w:type="pct"/>
                  <w:vAlign w:val="center"/>
                </w:tcPr>
                <w:p w14:paraId="7E885229">
                  <w:pPr>
                    <w:widowControl/>
                    <w:adjustRightInd w:val="0"/>
                    <w:snapToGrid w:val="0"/>
                    <w:jc w:val="center"/>
                    <w:textAlignment w:val="center"/>
                    <w:rPr>
                      <w:rFonts w:hint="eastAsia"/>
                      <w:color w:val="auto"/>
                      <w:kern w:val="0"/>
                      <w:lang w:val="en-US" w:eastAsia="zh-CN"/>
                    </w:rPr>
                  </w:pPr>
                  <w:r>
                    <w:rPr>
                      <w:rFonts w:hint="eastAsia"/>
                      <w:color w:val="auto"/>
                      <w:kern w:val="0"/>
                      <w:lang w:val="en-US" w:eastAsia="zh-CN"/>
                    </w:rPr>
                    <w:t>铣床</w:t>
                  </w:r>
                </w:p>
                <w:p w14:paraId="619179BE">
                  <w:pPr>
                    <w:widowControl/>
                    <w:adjustRightInd w:val="0"/>
                    <w:snapToGrid w:val="0"/>
                    <w:jc w:val="center"/>
                    <w:textAlignment w:val="center"/>
                    <w:rPr>
                      <w:rFonts w:hint="eastAsia"/>
                      <w:color w:val="auto"/>
                      <w:kern w:val="0"/>
                    </w:rPr>
                  </w:pPr>
                  <w:r>
                    <w:rPr>
                      <w:rFonts w:hint="eastAsia"/>
                      <w:color w:val="auto"/>
                      <w:kern w:val="0"/>
                      <w:lang w:val="en-US" w:eastAsia="zh-CN"/>
                    </w:rPr>
                    <w:t>加工</w:t>
                  </w:r>
                </w:p>
              </w:tc>
              <w:tc>
                <w:tcPr>
                  <w:tcW w:w="364" w:type="pct"/>
                  <w:vAlign w:val="center"/>
                </w:tcPr>
                <w:p w14:paraId="6686456E">
                  <w:pPr>
                    <w:pStyle w:val="5"/>
                    <w:adjustRightInd w:val="0"/>
                    <w:snapToGrid w:val="0"/>
                    <w:ind w:firstLine="0" w:firstLineChars="0"/>
                    <w:jc w:val="center"/>
                    <w:rPr>
                      <w:color w:val="auto"/>
                      <w:kern w:val="0"/>
                      <w:szCs w:val="21"/>
                    </w:rPr>
                  </w:pPr>
                  <w:r>
                    <w:rPr>
                      <w:color w:val="auto"/>
                      <w:kern w:val="0"/>
                      <w:szCs w:val="21"/>
                    </w:rPr>
                    <w:t>固</w:t>
                  </w:r>
                </w:p>
              </w:tc>
              <w:tc>
                <w:tcPr>
                  <w:tcW w:w="1042" w:type="pct"/>
                  <w:vAlign w:val="center"/>
                </w:tcPr>
                <w:p w14:paraId="7E844A0E">
                  <w:pPr>
                    <w:widowControl/>
                    <w:adjustRightInd w:val="0"/>
                    <w:snapToGrid w:val="0"/>
                    <w:jc w:val="center"/>
                    <w:textAlignment w:val="center"/>
                    <w:rPr>
                      <w:rFonts w:hint="eastAsia"/>
                      <w:color w:val="auto"/>
                      <w:kern w:val="0"/>
                      <w:lang w:bidi="ar"/>
                    </w:rPr>
                  </w:pPr>
                  <w:r>
                    <w:rPr>
                      <w:rFonts w:hint="eastAsia"/>
                      <w:color w:val="auto"/>
                      <w:kern w:val="0"/>
                      <w:lang w:val="en-US" w:eastAsia="zh-CN" w:bidi="ar"/>
                    </w:rPr>
                    <w:t>金属件</w:t>
                  </w:r>
                </w:p>
              </w:tc>
              <w:tc>
                <w:tcPr>
                  <w:tcW w:w="660" w:type="pct"/>
                  <w:vAlign w:val="center"/>
                </w:tcPr>
                <w:p w14:paraId="57A104A4">
                  <w:pPr>
                    <w:pStyle w:val="5"/>
                    <w:adjustRightInd w:val="0"/>
                    <w:snapToGrid w:val="0"/>
                    <w:ind w:firstLine="0" w:firstLineChars="0"/>
                    <w:jc w:val="center"/>
                    <w:rPr>
                      <w:rFonts w:hint="eastAsia"/>
                      <w:color w:val="auto"/>
                      <w:kern w:val="0"/>
                      <w:szCs w:val="21"/>
                      <w:lang w:val="en-US" w:eastAsia="zh-CN"/>
                    </w:rPr>
                  </w:pPr>
                  <w:r>
                    <w:rPr>
                      <w:rFonts w:hint="eastAsia"/>
                      <w:color w:val="auto"/>
                      <w:kern w:val="0"/>
                      <w:szCs w:val="21"/>
                      <w:lang w:val="en-US" w:eastAsia="zh-CN"/>
                    </w:rPr>
                    <w:t>2</w:t>
                  </w:r>
                </w:p>
              </w:tc>
              <w:tc>
                <w:tcPr>
                  <w:tcW w:w="609" w:type="pct"/>
                  <w:vAlign w:val="center"/>
                </w:tcPr>
                <w:p w14:paraId="7750B89A">
                  <w:pPr>
                    <w:pStyle w:val="5"/>
                    <w:adjustRightInd w:val="0"/>
                    <w:snapToGrid w:val="0"/>
                    <w:ind w:firstLine="0" w:firstLineChars="0"/>
                    <w:jc w:val="center"/>
                    <w:rPr>
                      <w:color w:val="auto"/>
                      <w:kern w:val="0"/>
                      <w:szCs w:val="21"/>
                    </w:rPr>
                  </w:pPr>
                  <w:r>
                    <w:rPr>
                      <w:color w:val="auto"/>
                      <w:kern w:val="0"/>
                      <w:szCs w:val="21"/>
                    </w:rPr>
                    <w:t>√</w:t>
                  </w:r>
                </w:p>
              </w:tc>
              <w:tc>
                <w:tcPr>
                  <w:tcW w:w="516" w:type="pct"/>
                  <w:vAlign w:val="center"/>
                </w:tcPr>
                <w:p w14:paraId="5B1FEC5D">
                  <w:pPr>
                    <w:pStyle w:val="5"/>
                    <w:adjustRightInd w:val="0"/>
                    <w:snapToGrid w:val="0"/>
                    <w:ind w:firstLine="0" w:firstLineChars="0"/>
                    <w:jc w:val="center"/>
                    <w:rPr>
                      <w:color w:val="auto"/>
                      <w:kern w:val="0"/>
                      <w:szCs w:val="21"/>
                    </w:rPr>
                  </w:pPr>
                  <w:r>
                    <w:rPr>
                      <w:color w:val="auto"/>
                      <w:kern w:val="0"/>
                      <w:szCs w:val="21"/>
                    </w:rPr>
                    <w:t>/</w:t>
                  </w:r>
                </w:p>
              </w:tc>
              <w:tc>
                <w:tcPr>
                  <w:tcW w:w="646" w:type="pct"/>
                  <w:vMerge w:val="restart"/>
                  <w:vAlign w:val="center"/>
                </w:tcPr>
                <w:p w14:paraId="787D68D4">
                  <w:pPr>
                    <w:pStyle w:val="5"/>
                    <w:adjustRightInd w:val="0"/>
                    <w:snapToGrid w:val="0"/>
                    <w:ind w:firstLine="0"/>
                    <w:jc w:val="center"/>
                    <w:rPr>
                      <w:color w:val="auto"/>
                      <w:kern w:val="0"/>
                      <w:szCs w:val="21"/>
                    </w:rPr>
                  </w:pPr>
                  <w:r>
                    <w:rPr>
                      <w:color w:val="auto"/>
                      <w:kern w:val="0"/>
                      <w:szCs w:val="21"/>
                    </w:rPr>
                    <w:t>固体废物鉴别标准通则（GB34330-2017）</w:t>
                  </w:r>
                </w:p>
              </w:tc>
            </w:tr>
            <w:tr w14:paraId="3B09AAF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608" w:type="pct"/>
                  <w:vAlign w:val="center"/>
                </w:tcPr>
                <w:p w14:paraId="7EF2E695">
                  <w:pPr>
                    <w:pStyle w:val="5"/>
                    <w:adjustRightInd w:val="0"/>
                    <w:snapToGrid w:val="0"/>
                    <w:ind w:firstLine="0" w:firstLineChars="0"/>
                    <w:jc w:val="center"/>
                    <w:rPr>
                      <w:rFonts w:hint="eastAsia" w:eastAsia="宋体"/>
                      <w:color w:val="auto"/>
                      <w:kern w:val="0"/>
                      <w:szCs w:val="21"/>
                      <w:lang w:eastAsia="zh-CN"/>
                    </w:rPr>
                  </w:pPr>
                  <w:r>
                    <w:rPr>
                      <w:rFonts w:hint="eastAsia"/>
                      <w:bCs/>
                      <w:color w:val="auto"/>
                      <w:kern w:val="0"/>
                      <w:szCs w:val="21"/>
                      <w:lang w:val="en-US" w:eastAsia="zh-CN"/>
                    </w:rPr>
                    <w:t>一般废包材</w:t>
                  </w:r>
                </w:p>
              </w:tc>
              <w:tc>
                <w:tcPr>
                  <w:tcW w:w="552" w:type="pct"/>
                  <w:vAlign w:val="center"/>
                </w:tcPr>
                <w:p w14:paraId="2FC7B13D">
                  <w:pPr>
                    <w:widowControl/>
                    <w:adjustRightInd w:val="0"/>
                    <w:snapToGrid w:val="0"/>
                    <w:jc w:val="center"/>
                    <w:textAlignment w:val="center"/>
                    <w:rPr>
                      <w:rFonts w:hint="eastAsia"/>
                      <w:color w:val="auto"/>
                      <w:kern w:val="0"/>
                    </w:rPr>
                  </w:pPr>
                  <w:r>
                    <w:rPr>
                      <w:rFonts w:hint="eastAsia"/>
                      <w:color w:val="auto"/>
                      <w:kern w:val="0"/>
                    </w:rPr>
                    <w:t>原料</w:t>
                  </w:r>
                </w:p>
                <w:p w14:paraId="5A07EF30">
                  <w:pPr>
                    <w:widowControl/>
                    <w:adjustRightInd w:val="0"/>
                    <w:snapToGrid w:val="0"/>
                    <w:jc w:val="center"/>
                    <w:textAlignment w:val="center"/>
                    <w:rPr>
                      <w:color w:val="auto"/>
                      <w:kern w:val="0"/>
                    </w:rPr>
                  </w:pPr>
                  <w:r>
                    <w:rPr>
                      <w:rFonts w:hint="eastAsia"/>
                      <w:color w:val="auto"/>
                      <w:kern w:val="0"/>
                    </w:rPr>
                    <w:t>拆包</w:t>
                  </w:r>
                </w:p>
              </w:tc>
              <w:tc>
                <w:tcPr>
                  <w:tcW w:w="364" w:type="pct"/>
                  <w:vAlign w:val="center"/>
                </w:tcPr>
                <w:p w14:paraId="1DA897BB">
                  <w:pPr>
                    <w:pStyle w:val="5"/>
                    <w:adjustRightInd w:val="0"/>
                    <w:snapToGrid w:val="0"/>
                    <w:ind w:firstLine="0" w:firstLineChars="0"/>
                    <w:jc w:val="center"/>
                    <w:rPr>
                      <w:color w:val="auto"/>
                      <w:kern w:val="0"/>
                      <w:szCs w:val="21"/>
                    </w:rPr>
                  </w:pPr>
                  <w:r>
                    <w:rPr>
                      <w:color w:val="auto"/>
                      <w:kern w:val="0"/>
                      <w:szCs w:val="21"/>
                    </w:rPr>
                    <w:t>固</w:t>
                  </w:r>
                </w:p>
              </w:tc>
              <w:tc>
                <w:tcPr>
                  <w:tcW w:w="1042" w:type="pct"/>
                  <w:vAlign w:val="center"/>
                </w:tcPr>
                <w:p w14:paraId="13C30A0D">
                  <w:pPr>
                    <w:widowControl/>
                    <w:adjustRightInd w:val="0"/>
                    <w:snapToGrid w:val="0"/>
                    <w:jc w:val="center"/>
                    <w:textAlignment w:val="center"/>
                    <w:rPr>
                      <w:color w:val="auto"/>
                      <w:kern w:val="0"/>
                    </w:rPr>
                  </w:pPr>
                  <w:r>
                    <w:rPr>
                      <w:rFonts w:hint="eastAsia"/>
                      <w:color w:val="auto"/>
                      <w:kern w:val="0"/>
                      <w:lang w:bidi="ar"/>
                    </w:rPr>
                    <w:t>废</w:t>
                  </w:r>
                  <w:r>
                    <w:rPr>
                      <w:rFonts w:hint="eastAsia"/>
                      <w:color w:val="auto"/>
                      <w:kern w:val="0"/>
                      <w:lang w:val="en-US" w:eastAsia="zh-CN" w:bidi="ar"/>
                    </w:rPr>
                    <w:t>包装袋</w:t>
                  </w:r>
                  <w:r>
                    <w:rPr>
                      <w:rFonts w:hint="eastAsia"/>
                      <w:color w:val="auto"/>
                      <w:kern w:val="0"/>
                      <w:lang w:bidi="ar"/>
                    </w:rPr>
                    <w:t>等</w:t>
                  </w:r>
                </w:p>
              </w:tc>
              <w:tc>
                <w:tcPr>
                  <w:tcW w:w="660" w:type="pct"/>
                  <w:vAlign w:val="center"/>
                </w:tcPr>
                <w:p w14:paraId="21CBD3E0">
                  <w:pPr>
                    <w:pStyle w:val="5"/>
                    <w:adjustRightInd w:val="0"/>
                    <w:snapToGrid w:val="0"/>
                    <w:ind w:firstLine="0" w:firstLineChars="0"/>
                    <w:jc w:val="center"/>
                    <w:rPr>
                      <w:rFonts w:hint="eastAsia" w:eastAsia="宋体"/>
                      <w:color w:val="auto"/>
                      <w:kern w:val="0"/>
                      <w:szCs w:val="21"/>
                      <w:lang w:eastAsia="zh-CN"/>
                    </w:rPr>
                  </w:pPr>
                  <w:r>
                    <w:rPr>
                      <w:rFonts w:hint="eastAsia"/>
                      <w:color w:val="auto"/>
                      <w:kern w:val="0"/>
                      <w:szCs w:val="21"/>
                      <w:lang w:val="en-US" w:eastAsia="zh-CN"/>
                    </w:rPr>
                    <w:t>1</w:t>
                  </w:r>
                </w:p>
              </w:tc>
              <w:tc>
                <w:tcPr>
                  <w:tcW w:w="609" w:type="pct"/>
                  <w:vAlign w:val="center"/>
                </w:tcPr>
                <w:p w14:paraId="20C11949">
                  <w:pPr>
                    <w:pStyle w:val="5"/>
                    <w:adjustRightInd w:val="0"/>
                    <w:snapToGrid w:val="0"/>
                    <w:ind w:firstLine="0" w:firstLineChars="0"/>
                    <w:jc w:val="center"/>
                    <w:rPr>
                      <w:color w:val="auto"/>
                      <w:kern w:val="0"/>
                      <w:szCs w:val="21"/>
                    </w:rPr>
                  </w:pPr>
                  <w:r>
                    <w:rPr>
                      <w:color w:val="auto"/>
                      <w:kern w:val="0"/>
                      <w:szCs w:val="21"/>
                    </w:rPr>
                    <w:t>√</w:t>
                  </w:r>
                </w:p>
              </w:tc>
              <w:tc>
                <w:tcPr>
                  <w:tcW w:w="516" w:type="pct"/>
                  <w:vAlign w:val="center"/>
                </w:tcPr>
                <w:p w14:paraId="5E256F4E">
                  <w:pPr>
                    <w:pStyle w:val="5"/>
                    <w:adjustRightInd w:val="0"/>
                    <w:snapToGrid w:val="0"/>
                    <w:ind w:firstLine="0" w:firstLineChars="0"/>
                    <w:jc w:val="center"/>
                    <w:rPr>
                      <w:color w:val="auto"/>
                      <w:kern w:val="0"/>
                      <w:szCs w:val="21"/>
                    </w:rPr>
                  </w:pPr>
                  <w:r>
                    <w:rPr>
                      <w:color w:val="auto"/>
                      <w:kern w:val="0"/>
                      <w:szCs w:val="21"/>
                    </w:rPr>
                    <w:t>/</w:t>
                  </w:r>
                </w:p>
              </w:tc>
              <w:tc>
                <w:tcPr>
                  <w:tcW w:w="646" w:type="pct"/>
                  <w:vMerge w:val="continue"/>
                  <w:vAlign w:val="center"/>
                </w:tcPr>
                <w:p w14:paraId="25E36E7B">
                  <w:pPr>
                    <w:pStyle w:val="5"/>
                    <w:adjustRightInd w:val="0"/>
                    <w:snapToGrid w:val="0"/>
                    <w:ind w:firstLine="0"/>
                    <w:jc w:val="center"/>
                    <w:rPr>
                      <w:color w:val="auto"/>
                      <w:kern w:val="0"/>
                      <w:szCs w:val="21"/>
                    </w:rPr>
                  </w:pPr>
                </w:p>
              </w:tc>
            </w:tr>
            <w:tr w14:paraId="53BEF9F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608" w:type="pct"/>
                  <w:vAlign w:val="center"/>
                </w:tcPr>
                <w:p w14:paraId="7E8F044D">
                  <w:pPr>
                    <w:pStyle w:val="5"/>
                    <w:adjustRightInd w:val="0"/>
                    <w:snapToGrid w:val="0"/>
                    <w:ind w:firstLine="0"/>
                    <w:jc w:val="center"/>
                    <w:rPr>
                      <w:rFonts w:hint="eastAsia" w:eastAsia="宋体"/>
                      <w:bCs/>
                      <w:color w:val="auto"/>
                      <w:kern w:val="0"/>
                      <w:szCs w:val="21"/>
                      <w:lang w:eastAsia="zh-CN"/>
                    </w:rPr>
                  </w:pPr>
                  <w:r>
                    <w:rPr>
                      <w:rFonts w:hint="eastAsia"/>
                      <w:bCs/>
                      <w:color w:val="auto"/>
                      <w:kern w:val="0"/>
                      <w:szCs w:val="21"/>
                      <w:lang w:val="en-US" w:eastAsia="zh-CN"/>
                    </w:rPr>
                    <w:t>废切削液</w:t>
                  </w:r>
                </w:p>
              </w:tc>
              <w:tc>
                <w:tcPr>
                  <w:tcW w:w="552" w:type="pct"/>
                  <w:vAlign w:val="center"/>
                </w:tcPr>
                <w:p w14:paraId="696DB267">
                  <w:pPr>
                    <w:widowControl/>
                    <w:adjustRightInd w:val="0"/>
                    <w:snapToGrid w:val="0"/>
                    <w:jc w:val="center"/>
                    <w:textAlignment w:val="center"/>
                    <w:rPr>
                      <w:rFonts w:hint="eastAsia"/>
                      <w:color w:val="auto"/>
                      <w:kern w:val="0"/>
                      <w:lang w:val="en-US" w:eastAsia="zh-CN"/>
                    </w:rPr>
                  </w:pPr>
                  <w:r>
                    <w:rPr>
                      <w:rFonts w:hint="eastAsia"/>
                      <w:color w:val="auto"/>
                      <w:kern w:val="0"/>
                      <w:lang w:val="en-US" w:eastAsia="zh-CN"/>
                    </w:rPr>
                    <w:t>铣床</w:t>
                  </w:r>
                </w:p>
                <w:p w14:paraId="4323CB32">
                  <w:pPr>
                    <w:widowControl/>
                    <w:adjustRightInd w:val="0"/>
                    <w:snapToGrid w:val="0"/>
                    <w:jc w:val="center"/>
                    <w:textAlignment w:val="center"/>
                    <w:rPr>
                      <w:rFonts w:hint="eastAsia" w:eastAsia="宋体"/>
                      <w:color w:val="auto"/>
                      <w:kern w:val="0"/>
                      <w:lang w:eastAsia="zh-CN"/>
                    </w:rPr>
                  </w:pPr>
                  <w:r>
                    <w:rPr>
                      <w:rFonts w:hint="eastAsia"/>
                      <w:color w:val="auto"/>
                      <w:kern w:val="0"/>
                      <w:lang w:val="en-US" w:eastAsia="zh-CN"/>
                    </w:rPr>
                    <w:t>加工</w:t>
                  </w:r>
                </w:p>
              </w:tc>
              <w:tc>
                <w:tcPr>
                  <w:tcW w:w="364" w:type="pct"/>
                  <w:vAlign w:val="center"/>
                </w:tcPr>
                <w:p w14:paraId="2D5CD3B2">
                  <w:pPr>
                    <w:pStyle w:val="5"/>
                    <w:adjustRightInd w:val="0"/>
                    <w:snapToGrid w:val="0"/>
                    <w:ind w:firstLine="0"/>
                    <w:jc w:val="center"/>
                    <w:rPr>
                      <w:rFonts w:hint="eastAsia" w:eastAsia="宋体"/>
                      <w:color w:val="auto"/>
                      <w:kern w:val="0"/>
                      <w:szCs w:val="21"/>
                      <w:lang w:eastAsia="zh-CN"/>
                    </w:rPr>
                  </w:pPr>
                  <w:r>
                    <w:rPr>
                      <w:rFonts w:hint="eastAsia"/>
                      <w:color w:val="auto"/>
                      <w:kern w:val="0"/>
                      <w:szCs w:val="21"/>
                      <w:lang w:val="en-US" w:eastAsia="zh-CN"/>
                    </w:rPr>
                    <w:t>液</w:t>
                  </w:r>
                </w:p>
              </w:tc>
              <w:tc>
                <w:tcPr>
                  <w:tcW w:w="1042" w:type="pct"/>
                  <w:vAlign w:val="center"/>
                </w:tcPr>
                <w:p w14:paraId="05FB37D4">
                  <w:pPr>
                    <w:widowControl/>
                    <w:adjustRightInd w:val="0"/>
                    <w:snapToGrid w:val="0"/>
                    <w:jc w:val="center"/>
                    <w:textAlignment w:val="center"/>
                    <w:rPr>
                      <w:rFonts w:hint="default" w:eastAsia="宋体"/>
                      <w:color w:val="auto"/>
                      <w:kern w:val="0"/>
                      <w:lang w:val="en-US" w:eastAsia="zh-CN" w:bidi="ar"/>
                    </w:rPr>
                  </w:pPr>
                  <w:r>
                    <w:rPr>
                      <w:rFonts w:hint="eastAsia"/>
                      <w:color w:val="auto"/>
                      <w:kern w:val="0"/>
                      <w:lang w:val="en-US" w:eastAsia="zh-CN" w:bidi="ar"/>
                    </w:rPr>
                    <w:t>切削液、水</w:t>
                  </w:r>
                </w:p>
              </w:tc>
              <w:tc>
                <w:tcPr>
                  <w:tcW w:w="660" w:type="pct"/>
                  <w:vAlign w:val="center"/>
                </w:tcPr>
                <w:p w14:paraId="0DCCF4FA">
                  <w:pPr>
                    <w:pStyle w:val="5"/>
                    <w:adjustRightInd w:val="0"/>
                    <w:snapToGrid w:val="0"/>
                    <w:ind w:firstLine="0"/>
                    <w:jc w:val="center"/>
                    <w:rPr>
                      <w:rFonts w:hint="default" w:eastAsia="宋体"/>
                      <w:color w:val="auto"/>
                      <w:kern w:val="0"/>
                      <w:szCs w:val="21"/>
                      <w:lang w:val="en-US" w:eastAsia="zh-CN"/>
                    </w:rPr>
                  </w:pPr>
                  <w:r>
                    <w:rPr>
                      <w:rFonts w:hint="eastAsia"/>
                      <w:color w:val="auto"/>
                      <w:kern w:val="0"/>
                      <w:szCs w:val="21"/>
                      <w:lang w:val="en-US" w:eastAsia="zh-CN"/>
                    </w:rPr>
                    <w:t>0.88</w:t>
                  </w:r>
                </w:p>
              </w:tc>
              <w:tc>
                <w:tcPr>
                  <w:tcW w:w="609" w:type="pct"/>
                  <w:vAlign w:val="center"/>
                </w:tcPr>
                <w:p w14:paraId="35768A48">
                  <w:pPr>
                    <w:pStyle w:val="5"/>
                    <w:adjustRightInd w:val="0"/>
                    <w:snapToGrid w:val="0"/>
                    <w:ind w:firstLine="0"/>
                    <w:jc w:val="center"/>
                    <w:rPr>
                      <w:color w:val="auto"/>
                      <w:kern w:val="0"/>
                      <w:szCs w:val="21"/>
                    </w:rPr>
                  </w:pPr>
                  <w:r>
                    <w:rPr>
                      <w:color w:val="auto"/>
                      <w:kern w:val="0"/>
                      <w:szCs w:val="21"/>
                    </w:rPr>
                    <w:t>√</w:t>
                  </w:r>
                </w:p>
              </w:tc>
              <w:tc>
                <w:tcPr>
                  <w:tcW w:w="516" w:type="pct"/>
                  <w:vAlign w:val="center"/>
                </w:tcPr>
                <w:p w14:paraId="3949A10E">
                  <w:pPr>
                    <w:pStyle w:val="5"/>
                    <w:adjustRightInd w:val="0"/>
                    <w:snapToGrid w:val="0"/>
                    <w:ind w:firstLine="0"/>
                    <w:jc w:val="center"/>
                    <w:rPr>
                      <w:color w:val="auto"/>
                      <w:kern w:val="0"/>
                      <w:szCs w:val="21"/>
                    </w:rPr>
                  </w:pPr>
                  <w:r>
                    <w:rPr>
                      <w:color w:val="auto"/>
                      <w:kern w:val="0"/>
                      <w:szCs w:val="21"/>
                    </w:rPr>
                    <w:t>/</w:t>
                  </w:r>
                </w:p>
              </w:tc>
              <w:tc>
                <w:tcPr>
                  <w:tcW w:w="646" w:type="pct"/>
                  <w:vMerge w:val="continue"/>
                  <w:vAlign w:val="center"/>
                </w:tcPr>
                <w:p w14:paraId="292E0CD9">
                  <w:pPr>
                    <w:pStyle w:val="5"/>
                    <w:adjustRightInd w:val="0"/>
                    <w:snapToGrid w:val="0"/>
                    <w:ind w:firstLine="0"/>
                    <w:jc w:val="center"/>
                    <w:rPr>
                      <w:color w:val="auto"/>
                      <w:kern w:val="0"/>
                      <w:szCs w:val="21"/>
                    </w:rPr>
                  </w:pPr>
                </w:p>
              </w:tc>
            </w:tr>
            <w:tr w14:paraId="08334C8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608" w:type="pct"/>
                  <w:vAlign w:val="center"/>
                </w:tcPr>
                <w:p w14:paraId="3BB2D325">
                  <w:pPr>
                    <w:pStyle w:val="5"/>
                    <w:adjustRightInd w:val="0"/>
                    <w:snapToGrid w:val="0"/>
                    <w:ind w:firstLine="0"/>
                    <w:jc w:val="center"/>
                    <w:rPr>
                      <w:rFonts w:hint="eastAsia" w:eastAsia="宋体"/>
                      <w:bCs/>
                      <w:color w:val="auto"/>
                      <w:kern w:val="0"/>
                      <w:szCs w:val="21"/>
                      <w:lang w:eastAsia="zh-CN"/>
                    </w:rPr>
                  </w:pPr>
                  <w:r>
                    <w:rPr>
                      <w:rFonts w:hint="eastAsia"/>
                      <w:bCs/>
                      <w:color w:val="auto"/>
                      <w:kern w:val="0"/>
                      <w:szCs w:val="21"/>
                      <w:lang w:val="en-US" w:eastAsia="zh-CN"/>
                    </w:rPr>
                    <w:t>清洗废液</w:t>
                  </w:r>
                </w:p>
              </w:tc>
              <w:tc>
                <w:tcPr>
                  <w:tcW w:w="552" w:type="pct"/>
                  <w:vAlign w:val="center"/>
                </w:tcPr>
                <w:p w14:paraId="02B8E555">
                  <w:pPr>
                    <w:widowControl/>
                    <w:adjustRightInd w:val="0"/>
                    <w:snapToGrid w:val="0"/>
                    <w:jc w:val="center"/>
                    <w:textAlignment w:val="center"/>
                    <w:rPr>
                      <w:rFonts w:hint="eastAsia"/>
                      <w:color w:val="auto"/>
                      <w:kern w:val="0"/>
                      <w:lang w:val="en-US" w:eastAsia="zh-CN"/>
                    </w:rPr>
                  </w:pPr>
                  <w:r>
                    <w:rPr>
                      <w:rFonts w:hint="eastAsia"/>
                      <w:color w:val="auto"/>
                      <w:kern w:val="0"/>
                      <w:lang w:val="en-US" w:eastAsia="zh-CN"/>
                    </w:rPr>
                    <w:t>高温</w:t>
                  </w:r>
                </w:p>
                <w:p w14:paraId="65996755">
                  <w:pPr>
                    <w:widowControl/>
                    <w:adjustRightInd w:val="0"/>
                    <w:snapToGrid w:val="0"/>
                    <w:jc w:val="center"/>
                    <w:textAlignment w:val="center"/>
                    <w:rPr>
                      <w:rFonts w:hint="eastAsia" w:eastAsia="宋体"/>
                      <w:color w:val="auto"/>
                      <w:kern w:val="0"/>
                      <w:lang w:eastAsia="zh-CN"/>
                    </w:rPr>
                  </w:pPr>
                  <w:r>
                    <w:rPr>
                      <w:rFonts w:hint="eastAsia"/>
                      <w:color w:val="auto"/>
                      <w:kern w:val="0"/>
                      <w:lang w:val="en-US" w:eastAsia="zh-CN"/>
                    </w:rPr>
                    <w:t>清洗</w:t>
                  </w:r>
                </w:p>
              </w:tc>
              <w:tc>
                <w:tcPr>
                  <w:tcW w:w="364" w:type="pct"/>
                  <w:vAlign w:val="center"/>
                </w:tcPr>
                <w:p w14:paraId="07D868F2">
                  <w:pPr>
                    <w:adjustRightInd w:val="0"/>
                    <w:snapToGrid w:val="0"/>
                    <w:jc w:val="center"/>
                    <w:rPr>
                      <w:rFonts w:hint="eastAsia" w:eastAsia="宋体"/>
                      <w:color w:val="auto"/>
                      <w:kern w:val="0"/>
                      <w:lang w:eastAsia="zh-CN"/>
                    </w:rPr>
                  </w:pPr>
                  <w:r>
                    <w:rPr>
                      <w:rFonts w:hint="eastAsia"/>
                      <w:color w:val="auto"/>
                      <w:kern w:val="0"/>
                      <w:lang w:val="en-US" w:eastAsia="zh-CN"/>
                    </w:rPr>
                    <w:t>液</w:t>
                  </w:r>
                </w:p>
              </w:tc>
              <w:tc>
                <w:tcPr>
                  <w:tcW w:w="1042" w:type="pct"/>
                  <w:vAlign w:val="center"/>
                </w:tcPr>
                <w:p w14:paraId="152020AC">
                  <w:pPr>
                    <w:widowControl/>
                    <w:adjustRightInd w:val="0"/>
                    <w:snapToGrid w:val="0"/>
                    <w:jc w:val="center"/>
                    <w:textAlignment w:val="center"/>
                    <w:rPr>
                      <w:rFonts w:hint="default" w:eastAsia="宋体"/>
                      <w:color w:val="auto"/>
                      <w:kern w:val="0"/>
                      <w:lang w:val="en-US" w:eastAsia="zh-CN" w:bidi="ar"/>
                    </w:rPr>
                  </w:pPr>
                  <w:r>
                    <w:rPr>
                      <w:rFonts w:hint="eastAsia"/>
                      <w:color w:val="auto"/>
                      <w:kern w:val="0"/>
                      <w:lang w:val="en-US" w:eastAsia="zh-CN" w:bidi="ar"/>
                    </w:rPr>
                    <w:t>切削液、水</w:t>
                  </w:r>
                </w:p>
              </w:tc>
              <w:tc>
                <w:tcPr>
                  <w:tcW w:w="660" w:type="pct"/>
                  <w:vAlign w:val="center"/>
                </w:tcPr>
                <w:p w14:paraId="5B005C80">
                  <w:pPr>
                    <w:pStyle w:val="5"/>
                    <w:adjustRightInd w:val="0"/>
                    <w:snapToGrid w:val="0"/>
                    <w:ind w:firstLine="0"/>
                    <w:jc w:val="center"/>
                    <w:rPr>
                      <w:rFonts w:hint="default" w:eastAsia="宋体"/>
                      <w:color w:val="auto"/>
                      <w:kern w:val="0"/>
                      <w:szCs w:val="21"/>
                      <w:lang w:val="en-US" w:eastAsia="zh-CN"/>
                    </w:rPr>
                  </w:pPr>
                  <w:r>
                    <w:rPr>
                      <w:rFonts w:hint="eastAsia"/>
                      <w:color w:val="auto"/>
                      <w:kern w:val="0"/>
                      <w:szCs w:val="21"/>
                      <w:lang w:val="en-US" w:eastAsia="zh-CN"/>
                    </w:rPr>
                    <w:t>1.8</w:t>
                  </w:r>
                </w:p>
              </w:tc>
              <w:tc>
                <w:tcPr>
                  <w:tcW w:w="609" w:type="pct"/>
                  <w:vAlign w:val="center"/>
                </w:tcPr>
                <w:p w14:paraId="61AFF79B">
                  <w:pPr>
                    <w:pStyle w:val="5"/>
                    <w:adjustRightInd w:val="0"/>
                    <w:snapToGrid w:val="0"/>
                    <w:ind w:firstLine="0"/>
                    <w:jc w:val="center"/>
                    <w:rPr>
                      <w:color w:val="auto"/>
                      <w:kern w:val="0"/>
                      <w:szCs w:val="21"/>
                    </w:rPr>
                  </w:pPr>
                  <w:r>
                    <w:rPr>
                      <w:color w:val="auto"/>
                      <w:kern w:val="0"/>
                      <w:szCs w:val="21"/>
                    </w:rPr>
                    <w:t>√</w:t>
                  </w:r>
                </w:p>
              </w:tc>
              <w:tc>
                <w:tcPr>
                  <w:tcW w:w="516" w:type="pct"/>
                  <w:vAlign w:val="center"/>
                </w:tcPr>
                <w:p w14:paraId="40B05E30">
                  <w:pPr>
                    <w:pStyle w:val="5"/>
                    <w:adjustRightInd w:val="0"/>
                    <w:snapToGrid w:val="0"/>
                    <w:ind w:firstLine="0"/>
                    <w:jc w:val="center"/>
                    <w:rPr>
                      <w:color w:val="auto"/>
                      <w:kern w:val="0"/>
                      <w:szCs w:val="21"/>
                    </w:rPr>
                  </w:pPr>
                  <w:r>
                    <w:rPr>
                      <w:color w:val="auto"/>
                      <w:kern w:val="0"/>
                      <w:szCs w:val="21"/>
                    </w:rPr>
                    <w:t>/</w:t>
                  </w:r>
                </w:p>
              </w:tc>
              <w:tc>
                <w:tcPr>
                  <w:tcW w:w="646" w:type="pct"/>
                  <w:vMerge w:val="continue"/>
                  <w:vAlign w:val="center"/>
                </w:tcPr>
                <w:p w14:paraId="2113F0D7">
                  <w:pPr>
                    <w:pStyle w:val="5"/>
                    <w:adjustRightInd w:val="0"/>
                    <w:snapToGrid w:val="0"/>
                    <w:ind w:firstLine="0"/>
                    <w:jc w:val="center"/>
                    <w:rPr>
                      <w:color w:val="auto"/>
                      <w:kern w:val="0"/>
                      <w:szCs w:val="21"/>
                    </w:rPr>
                  </w:pPr>
                </w:p>
              </w:tc>
            </w:tr>
            <w:tr w14:paraId="71FAEC3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608" w:type="pct"/>
                  <w:vAlign w:val="center"/>
                </w:tcPr>
                <w:p w14:paraId="481C5D8C">
                  <w:pPr>
                    <w:pStyle w:val="5"/>
                    <w:adjustRightInd w:val="0"/>
                    <w:snapToGrid w:val="0"/>
                    <w:ind w:firstLine="0"/>
                    <w:jc w:val="center"/>
                    <w:rPr>
                      <w:rFonts w:hint="eastAsia" w:eastAsia="宋体"/>
                      <w:bCs/>
                      <w:color w:val="auto"/>
                      <w:kern w:val="0"/>
                      <w:szCs w:val="21"/>
                      <w:lang w:val="en-US" w:eastAsia="zh-CN"/>
                    </w:rPr>
                  </w:pPr>
                  <w:r>
                    <w:rPr>
                      <w:rFonts w:hint="eastAsia"/>
                      <w:bCs/>
                      <w:color w:val="auto"/>
                      <w:kern w:val="0"/>
                      <w:szCs w:val="21"/>
                      <w:lang w:val="en-US" w:eastAsia="zh-CN"/>
                    </w:rPr>
                    <w:t>洗枪废液</w:t>
                  </w:r>
                </w:p>
              </w:tc>
              <w:tc>
                <w:tcPr>
                  <w:tcW w:w="552" w:type="pct"/>
                  <w:vAlign w:val="center"/>
                </w:tcPr>
                <w:p w14:paraId="6CE5CD7B">
                  <w:pPr>
                    <w:widowControl/>
                    <w:adjustRightInd w:val="0"/>
                    <w:snapToGrid w:val="0"/>
                    <w:jc w:val="center"/>
                    <w:textAlignment w:val="center"/>
                    <w:rPr>
                      <w:rFonts w:hint="eastAsia"/>
                      <w:color w:val="auto"/>
                      <w:kern w:val="0"/>
                      <w:lang w:val="en-US" w:eastAsia="zh-CN"/>
                    </w:rPr>
                  </w:pPr>
                  <w:r>
                    <w:rPr>
                      <w:rFonts w:hint="eastAsia"/>
                      <w:color w:val="auto"/>
                      <w:kern w:val="0"/>
                      <w:lang w:val="en-US" w:eastAsia="zh-CN"/>
                    </w:rPr>
                    <w:t>喷枪</w:t>
                  </w:r>
                </w:p>
                <w:p w14:paraId="402E48EF">
                  <w:pPr>
                    <w:widowControl/>
                    <w:adjustRightInd w:val="0"/>
                    <w:snapToGrid w:val="0"/>
                    <w:jc w:val="center"/>
                    <w:textAlignment w:val="center"/>
                    <w:rPr>
                      <w:rFonts w:hint="eastAsia" w:eastAsia="宋体"/>
                      <w:color w:val="auto"/>
                      <w:kern w:val="0"/>
                      <w:lang w:val="en-US" w:eastAsia="zh-CN"/>
                    </w:rPr>
                  </w:pPr>
                  <w:r>
                    <w:rPr>
                      <w:rFonts w:hint="eastAsia"/>
                      <w:color w:val="auto"/>
                      <w:kern w:val="0"/>
                      <w:lang w:val="en-US" w:eastAsia="zh-CN"/>
                    </w:rPr>
                    <w:t>清洗</w:t>
                  </w:r>
                </w:p>
              </w:tc>
              <w:tc>
                <w:tcPr>
                  <w:tcW w:w="364" w:type="pct"/>
                  <w:vAlign w:val="center"/>
                </w:tcPr>
                <w:p w14:paraId="51C533A7">
                  <w:pPr>
                    <w:adjustRightInd w:val="0"/>
                    <w:snapToGrid w:val="0"/>
                    <w:jc w:val="center"/>
                    <w:rPr>
                      <w:rFonts w:hint="eastAsia" w:eastAsia="宋体"/>
                      <w:color w:val="auto"/>
                      <w:kern w:val="0"/>
                      <w:lang w:val="en-US" w:eastAsia="zh-CN"/>
                    </w:rPr>
                  </w:pPr>
                  <w:r>
                    <w:rPr>
                      <w:rFonts w:hint="eastAsia"/>
                      <w:color w:val="auto"/>
                      <w:kern w:val="0"/>
                      <w:lang w:val="en-US" w:eastAsia="zh-CN"/>
                    </w:rPr>
                    <w:t>液</w:t>
                  </w:r>
                </w:p>
              </w:tc>
              <w:tc>
                <w:tcPr>
                  <w:tcW w:w="1042" w:type="pct"/>
                  <w:vAlign w:val="center"/>
                </w:tcPr>
                <w:p w14:paraId="594C054B">
                  <w:pPr>
                    <w:widowControl/>
                    <w:adjustRightInd w:val="0"/>
                    <w:snapToGrid w:val="0"/>
                    <w:jc w:val="center"/>
                    <w:textAlignment w:val="center"/>
                    <w:rPr>
                      <w:rFonts w:hint="default" w:eastAsia="宋体"/>
                      <w:color w:val="auto"/>
                      <w:kern w:val="0"/>
                      <w:lang w:val="en-US" w:eastAsia="zh-CN" w:bidi="ar"/>
                    </w:rPr>
                  </w:pPr>
                  <w:r>
                    <w:rPr>
                      <w:rFonts w:hint="eastAsia"/>
                      <w:color w:val="auto"/>
                      <w:kern w:val="0"/>
                      <w:lang w:val="en-US" w:eastAsia="zh-CN" w:bidi="ar"/>
                    </w:rPr>
                    <w:t>喷枪清洗剂</w:t>
                  </w:r>
                </w:p>
              </w:tc>
              <w:tc>
                <w:tcPr>
                  <w:tcW w:w="660" w:type="pct"/>
                  <w:vAlign w:val="center"/>
                </w:tcPr>
                <w:p w14:paraId="0DB96873">
                  <w:pPr>
                    <w:pStyle w:val="5"/>
                    <w:adjustRightInd w:val="0"/>
                    <w:snapToGrid w:val="0"/>
                    <w:ind w:firstLine="0"/>
                    <w:jc w:val="center"/>
                    <w:rPr>
                      <w:rFonts w:hint="default" w:eastAsia="宋体"/>
                      <w:color w:val="auto"/>
                      <w:kern w:val="0"/>
                      <w:szCs w:val="21"/>
                      <w:lang w:val="en-US" w:eastAsia="zh-CN"/>
                    </w:rPr>
                  </w:pPr>
                  <w:r>
                    <w:rPr>
                      <w:rFonts w:hint="eastAsia"/>
                      <w:color w:val="auto"/>
                      <w:kern w:val="0"/>
                      <w:szCs w:val="21"/>
                      <w:lang w:val="en-US" w:eastAsia="zh-CN"/>
                    </w:rPr>
                    <w:t>0.1</w:t>
                  </w:r>
                </w:p>
              </w:tc>
              <w:tc>
                <w:tcPr>
                  <w:tcW w:w="609" w:type="pct"/>
                  <w:shd w:val="clear" w:color="auto" w:fill="auto"/>
                  <w:vAlign w:val="center"/>
                </w:tcPr>
                <w:p w14:paraId="3C10A9C7">
                  <w:pPr>
                    <w:pStyle w:val="5"/>
                    <w:adjustRightInd w:val="0"/>
                    <w:snapToGrid w:val="0"/>
                    <w:ind w:firstLine="0" w:firstLineChars="0"/>
                    <w:jc w:val="center"/>
                    <w:rPr>
                      <w:rFonts w:ascii="Times New Roman" w:hAnsi="Times New Roman" w:eastAsia="宋体" w:cs="Times New Roman"/>
                      <w:snapToGrid w:val="0"/>
                      <w:color w:val="auto"/>
                      <w:kern w:val="0"/>
                      <w:sz w:val="21"/>
                      <w:szCs w:val="21"/>
                      <w:lang w:val="en-US" w:eastAsia="zh-CN" w:bidi="ar-SA"/>
                    </w:rPr>
                  </w:pPr>
                  <w:r>
                    <w:rPr>
                      <w:color w:val="auto"/>
                      <w:kern w:val="0"/>
                      <w:szCs w:val="21"/>
                    </w:rPr>
                    <w:t>√</w:t>
                  </w:r>
                </w:p>
              </w:tc>
              <w:tc>
                <w:tcPr>
                  <w:tcW w:w="516" w:type="pct"/>
                  <w:shd w:val="clear" w:color="auto" w:fill="auto"/>
                  <w:vAlign w:val="center"/>
                </w:tcPr>
                <w:p w14:paraId="708A2FC1">
                  <w:pPr>
                    <w:pStyle w:val="5"/>
                    <w:adjustRightInd w:val="0"/>
                    <w:snapToGrid w:val="0"/>
                    <w:ind w:firstLine="0" w:firstLineChars="0"/>
                    <w:jc w:val="center"/>
                    <w:rPr>
                      <w:rFonts w:ascii="Times New Roman" w:hAnsi="Times New Roman" w:eastAsia="宋体" w:cs="Times New Roman"/>
                      <w:snapToGrid w:val="0"/>
                      <w:color w:val="auto"/>
                      <w:kern w:val="0"/>
                      <w:sz w:val="21"/>
                      <w:szCs w:val="21"/>
                      <w:lang w:val="en-US" w:eastAsia="zh-CN" w:bidi="ar-SA"/>
                    </w:rPr>
                  </w:pPr>
                  <w:r>
                    <w:rPr>
                      <w:color w:val="auto"/>
                      <w:kern w:val="0"/>
                      <w:szCs w:val="21"/>
                    </w:rPr>
                    <w:t>/</w:t>
                  </w:r>
                </w:p>
              </w:tc>
              <w:tc>
                <w:tcPr>
                  <w:tcW w:w="646" w:type="pct"/>
                  <w:vMerge w:val="continue"/>
                  <w:vAlign w:val="center"/>
                </w:tcPr>
                <w:p w14:paraId="46BB606E">
                  <w:pPr>
                    <w:pStyle w:val="5"/>
                    <w:adjustRightInd w:val="0"/>
                    <w:snapToGrid w:val="0"/>
                    <w:ind w:firstLine="0"/>
                    <w:jc w:val="center"/>
                    <w:rPr>
                      <w:color w:val="auto"/>
                      <w:kern w:val="0"/>
                      <w:szCs w:val="21"/>
                    </w:rPr>
                  </w:pPr>
                </w:p>
              </w:tc>
            </w:tr>
            <w:tr w14:paraId="2C8D552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608" w:type="pct"/>
                  <w:vAlign w:val="center"/>
                </w:tcPr>
                <w:p w14:paraId="3828BE0F">
                  <w:pPr>
                    <w:pStyle w:val="5"/>
                    <w:adjustRightInd w:val="0"/>
                    <w:snapToGrid w:val="0"/>
                    <w:ind w:firstLine="0"/>
                    <w:jc w:val="center"/>
                    <w:rPr>
                      <w:rFonts w:hint="default"/>
                      <w:bCs/>
                      <w:color w:val="auto"/>
                      <w:kern w:val="0"/>
                      <w:szCs w:val="21"/>
                      <w:lang w:val="en-US" w:eastAsia="zh-CN"/>
                    </w:rPr>
                  </w:pPr>
                  <w:r>
                    <w:rPr>
                      <w:rFonts w:hint="eastAsia"/>
                      <w:bCs/>
                      <w:color w:val="auto"/>
                      <w:kern w:val="0"/>
                      <w:szCs w:val="21"/>
                      <w:lang w:val="en-US" w:eastAsia="zh-CN"/>
                    </w:rPr>
                    <w:t>漆渣</w:t>
                  </w:r>
                </w:p>
              </w:tc>
              <w:tc>
                <w:tcPr>
                  <w:tcW w:w="552" w:type="pct"/>
                  <w:vAlign w:val="center"/>
                </w:tcPr>
                <w:p w14:paraId="683799A6">
                  <w:pPr>
                    <w:widowControl/>
                    <w:adjustRightInd w:val="0"/>
                    <w:snapToGrid w:val="0"/>
                    <w:jc w:val="center"/>
                    <w:textAlignment w:val="center"/>
                    <w:rPr>
                      <w:rFonts w:hint="default"/>
                      <w:color w:val="auto"/>
                      <w:kern w:val="0"/>
                      <w:lang w:val="en-US" w:eastAsia="zh-CN"/>
                    </w:rPr>
                  </w:pPr>
                  <w:r>
                    <w:rPr>
                      <w:rFonts w:hint="eastAsia"/>
                      <w:color w:val="auto"/>
                      <w:kern w:val="0"/>
                      <w:lang w:val="en-US" w:eastAsia="zh-CN"/>
                    </w:rPr>
                    <w:t>喷漆</w:t>
                  </w:r>
                </w:p>
              </w:tc>
              <w:tc>
                <w:tcPr>
                  <w:tcW w:w="364" w:type="pct"/>
                  <w:vAlign w:val="center"/>
                </w:tcPr>
                <w:p w14:paraId="0D74669B">
                  <w:pPr>
                    <w:adjustRightInd w:val="0"/>
                    <w:snapToGrid w:val="0"/>
                    <w:jc w:val="center"/>
                    <w:rPr>
                      <w:rFonts w:hint="default"/>
                      <w:color w:val="auto"/>
                      <w:kern w:val="0"/>
                      <w:lang w:val="en-US" w:eastAsia="zh-CN"/>
                    </w:rPr>
                  </w:pPr>
                  <w:r>
                    <w:rPr>
                      <w:rFonts w:hint="eastAsia"/>
                      <w:color w:val="auto"/>
                      <w:kern w:val="0"/>
                      <w:lang w:val="en-US" w:eastAsia="zh-CN"/>
                    </w:rPr>
                    <w:t>固</w:t>
                  </w:r>
                </w:p>
              </w:tc>
              <w:tc>
                <w:tcPr>
                  <w:tcW w:w="1042" w:type="pct"/>
                  <w:vAlign w:val="center"/>
                </w:tcPr>
                <w:p w14:paraId="5F1B2008">
                  <w:pPr>
                    <w:widowControl/>
                    <w:adjustRightInd w:val="0"/>
                    <w:snapToGrid w:val="0"/>
                    <w:jc w:val="center"/>
                    <w:textAlignment w:val="center"/>
                    <w:rPr>
                      <w:rFonts w:hint="default"/>
                      <w:color w:val="auto"/>
                      <w:kern w:val="0"/>
                      <w:lang w:val="en-US" w:eastAsia="zh-CN" w:bidi="ar"/>
                    </w:rPr>
                  </w:pPr>
                  <w:r>
                    <w:rPr>
                      <w:rFonts w:hint="eastAsia"/>
                      <w:color w:val="auto"/>
                      <w:kern w:val="0"/>
                      <w:lang w:val="en-US" w:eastAsia="zh-CN" w:bidi="ar"/>
                    </w:rPr>
                    <w:t>漆渣</w:t>
                  </w:r>
                </w:p>
              </w:tc>
              <w:tc>
                <w:tcPr>
                  <w:tcW w:w="660" w:type="pct"/>
                  <w:vAlign w:val="center"/>
                </w:tcPr>
                <w:p w14:paraId="57CF404C">
                  <w:pPr>
                    <w:pStyle w:val="5"/>
                    <w:adjustRightInd w:val="0"/>
                    <w:snapToGrid w:val="0"/>
                    <w:ind w:firstLine="0"/>
                    <w:jc w:val="center"/>
                    <w:rPr>
                      <w:rFonts w:hint="default"/>
                      <w:color w:val="auto"/>
                      <w:kern w:val="0"/>
                      <w:szCs w:val="21"/>
                      <w:lang w:val="en-US" w:eastAsia="zh-CN"/>
                    </w:rPr>
                  </w:pPr>
                  <w:r>
                    <w:rPr>
                      <w:rFonts w:hint="eastAsia"/>
                      <w:color w:val="auto"/>
                      <w:kern w:val="0"/>
                      <w:szCs w:val="21"/>
                      <w:lang w:val="en-US" w:eastAsia="zh-CN"/>
                    </w:rPr>
                    <w:t>0.3738</w:t>
                  </w:r>
                </w:p>
              </w:tc>
              <w:tc>
                <w:tcPr>
                  <w:tcW w:w="609" w:type="pct"/>
                  <w:shd w:val="clear" w:color="auto" w:fill="auto"/>
                  <w:vAlign w:val="center"/>
                </w:tcPr>
                <w:p w14:paraId="6A450959">
                  <w:pPr>
                    <w:pStyle w:val="5"/>
                    <w:adjustRightInd w:val="0"/>
                    <w:snapToGrid w:val="0"/>
                    <w:ind w:firstLine="0" w:firstLineChars="0"/>
                    <w:jc w:val="center"/>
                    <w:rPr>
                      <w:rFonts w:ascii="Times New Roman" w:hAnsi="Times New Roman" w:eastAsia="宋体" w:cs="Times New Roman"/>
                      <w:snapToGrid w:val="0"/>
                      <w:color w:val="auto"/>
                      <w:kern w:val="0"/>
                      <w:sz w:val="21"/>
                      <w:szCs w:val="21"/>
                      <w:lang w:val="en-US" w:eastAsia="zh-CN" w:bidi="ar-SA"/>
                    </w:rPr>
                  </w:pPr>
                  <w:r>
                    <w:rPr>
                      <w:color w:val="auto"/>
                      <w:kern w:val="0"/>
                      <w:szCs w:val="21"/>
                    </w:rPr>
                    <w:t>√</w:t>
                  </w:r>
                </w:p>
              </w:tc>
              <w:tc>
                <w:tcPr>
                  <w:tcW w:w="516" w:type="pct"/>
                  <w:shd w:val="clear" w:color="auto" w:fill="auto"/>
                  <w:vAlign w:val="center"/>
                </w:tcPr>
                <w:p w14:paraId="72E842DC">
                  <w:pPr>
                    <w:pStyle w:val="5"/>
                    <w:adjustRightInd w:val="0"/>
                    <w:snapToGrid w:val="0"/>
                    <w:ind w:firstLine="0" w:firstLineChars="0"/>
                    <w:jc w:val="center"/>
                    <w:rPr>
                      <w:rFonts w:ascii="Times New Roman" w:hAnsi="Times New Roman" w:eastAsia="宋体" w:cs="Times New Roman"/>
                      <w:snapToGrid w:val="0"/>
                      <w:color w:val="auto"/>
                      <w:kern w:val="0"/>
                      <w:sz w:val="21"/>
                      <w:szCs w:val="21"/>
                      <w:lang w:val="en-US" w:eastAsia="zh-CN" w:bidi="ar-SA"/>
                    </w:rPr>
                  </w:pPr>
                  <w:r>
                    <w:rPr>
                      <w:color w:val="auto"/>
                      <w:kern w:val="0"/>
                      <w:szCs w:val="21"/>
                    </w:rPr>
                    <w:t>/</w:t>
                  </w:r>
                </w:p>
              </w:tc>
              <w:tc>
                <w:tcPr>
                  <w:tcW w:w="646" w:type="pct"/>
                  <w:vMerge w:val="continue"/>
                  <w:vAlign w:val="center"/>
                </w:tcPr>
                <w:p w14:paraId="353AC8D7">
                  <w:pPr>
                    <w:pStyle w:val="5"/>
                    <w:adjustRightInd w:val="0"/>
                    <w:snapToGrid w:val="0"/>
                    <w:ind w:firstLine="0"/>
                    <w:jc w:val="center"/>
                    <w:rPr>
                      <w:color w:val="auto"/>
                      <w:kern w:val="0"/>
                      <w:szCs w:val="21"/>
                    </w:rPr>
                  </w:pPr>
                </w:p>
              </w:tc>
            </w:tr>
            <w:tr w14:paraId="5D67EA9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608" w:type="pct"/>
                  <w:vAlign w:val="center"/>
                </w:tcPr>
                <w:p w14:paraId="2C942F2D">
                  <w:pPr>
                    <w:pStyle w:val="5"/>
                    <w:adjustRightInd w:val="0"/>
                    <w:snapToGrid w:val="0"/>
                    <w:ind w:firstLine="0"/>
                    <w:jc w:val="center"/>
                    <w:rPr>
                      <w:rFonts w:hint="default"/>
                      <w:bCs/>
                      <w:color w:val="auto"/>
                      <w:kern w:val="0"/>
                      <w:szCs w:val="21"/>
                      <w:lang w:val="en-US" w:eastAsia="zh-CN"/>
                    </w:rPr>
                  </w:pPr>
                  <w:r>
                    <w:rPr>
                      <w:rFonts w:hint="eastAsia"/>
                      <w:bCs/>
                      <w:color w:val="auto"/>
                      <w:kern w:val="0"/>
                      <w:szCs w:val="21"/>
                      <w:lang w:val="en-US" w:eastAsia="zh-CN"/>
                    </w:rPr>
                    <w:t>废包装桶</w:t>
                  </w:r>
                </w:p>
              </w:tc>
              <w:tc>
                <w:tcPr>
                  <w:tcW w:w="552" w:type="pct"/>
                  <w:vAlign w:val="center"/>
                </w:tcPr>
                <w:p w14:paraId="7A7A083F">
                  <w:pPr>
                    <w:widowControl/>
                    <w:adjustRightInd w:val="0"/>
                    <w:snapToGrid w:val="0"/>
                    <w:jc w:val="center"/>
                    <w:textAlignment w:val="center"/>
                    <w:rPr>
                      <w:rFonts w:hint="eastAsia"/>
                      <w:color w:val="auto"/>
                      <w:kern w:val="0"/>
                      <w:lang w:val="en-US" w:eastAsia="zh-CN"/>
                    </w:rPr>
                  </w:pPr>
                  <w:r>
                    <w:rPr>
                      <w:rFonts w:hint="eastAsia"/>
                      <w:color w:val="auto"/>
                      <w:kern w:val="0"/>
                      <w:lang w:val="en-US" w:eastAsia="zh-CN"/>
                    </w:rPr>
                    <w:t>原料</w:t>
                  </w:r>
                </w:p>
                <w:p w14:paraId="625E58A8">
                  <w:pPr>
                    <w:widowControl/>
                    <w:adjustRightInd w:val="0"/>
                    <w:snapToGrid w:val="0"/>
                    <w:jc w:val="center"/>
                    <w:textAlignment w:val="center"/>
                    <w:rPr>
                      <w:rFonts w:hint="default"/>
                      <w:color w:val="auto"/>
                      <w:kern w:val="0"/>
                      <w:lang w:val="en-US" w:eastAsia="zh-CN"/>
                    </w:rPr>
                  </w:pPr>
                  <w:r>
                    <w:rPr>
                      <w:rFonts w:hint="eastAsia"/>
                      <w:color w:val="auto"/>
                      <w:kern w:val="0"/>
                      <w:lang w:val="en-US" w:eastAsia="zh-CN"/>
                    </w:rPr>
                    <w:t>拆包</w:t>
                  </w:r>
                </w:p>
              </w:tc>
              <w:tc>
                <w:tcPr>
                  <w:tcW w:w="364" w:type="pct"/>
                  <w:vAlign w:val="center"/>
                </w:tcPr>
                <w:p w14:paraId="429B7E82">
                  <w:pPr>
                    <w:adjustRightInd w:val="0"/>
                    <w:snapToGrid w:val="0"/>
                    <w:jc w:val="center"/>
                    <w:rPr>
                      <w:rFonts w:hint="default"/>
                      <w:color w:val="auto"/>
                      <w:kern w:val="0"/>
                      <w:lang w:val="en-US" w:eastAsia="zh-CN"/>
                    </w:rPr>
                  </w:pPr>
                  <w:r>
                    <w:rPr>
                      <w:rFonts w:hint="eastAsia"/>
                      <w:color w:val="auto"/>
                      <w:kern w:val="0"/>
                      <w:lang w:val="en-US" w:eastAsia="zh-CN"/>
                    </w:rPr>
                    <w:t>固</w:t>
                  </w:r>
                </w:p>
              </w:tc>
              <w:tc>
                <w:tcPr>
                  <w:tcW w:w="1042" w:type="pct"/>
                  <w:vAlign w:val="center"/>
                </w:tcPr>
                <w:p w14:paraId="30D9BBC8">
                  <w:pPr>
                    <w:widowControl/>
                    <w:adjustRightInd w:val="0"/>
                    <w:snapToGrid w:val="0"/>
                    <w:jc w:val="center"/>
                    <w:textAlignment w:val="center"/>
                    <w:rPr>
                      <w:rFonts w:hint="default"/>
                      <w:color w:val="auto"/>
                      <w:kern w:val="0"/>
                      <w:lang w:val="en-US" w:eastAsia="zh-CN" w:bidi="ar"/>
                    </w:rPr>
                  </w:pPr>
                  <w:r>
                    <w:rPr>
                      <w:rFonts w:hint="eastAsia"/>
                      <w:color w:val="auto"/>
                      <w:kern w:val="0"/>
                      <w:lang w:val="en-US" w:eastAsia="zh-CN" w:bidi="ar"/>
                    </w:rPr>
                    <w:t>涂料、固化剂、稀释剂、切削液等</w:t>
                  </w:r>
                </w:p>
              </w:tc>
              <w:tc>
                <w:tcPr>
                  <w:tcW w:w="660" w:type="pct"/>
                  <w:vAlign w:val="center"/>
                </w:tcPr>
                <w:p w14:paraId="79C02335">
                  <w:pPr>
                    <w:pStyle w:val="5"/>
                    <w:adjustRightInd w:val="0"/>
                    <w:snapToGrid w:val="0"/>
                    <w:ind w:firstLine="0"/>
                    <w:jc w:val="center"/>
                    <w:rPr>
                      <w:rFonts w:hint="default"/>
                      <w:color w:val="auto"/>
                      <w:kern w:val="0"/>
                      <w:szCs w:val="21"/>
                      <w:lang w:val="en-US" w:eastAsia="zh-CN"/>
                    </w:rPr>
                  </w:pPr>
                  <w:r>
                    <w:rPr>
                      <w:rFonts w:hint="eastAsia"/>
                      <w:color w:val="auto"/>
                      <w:kern w:val="0"/>
                      <w:szCs w:val="21"/>
                      <w:lang w:val="en-US" w:eastAsia="zh-CN"/>
                    </w:rPr>
                    <w:t>1.2</w:t>
                  </w:r>
                </w:p>
              </w:tc>
              <w:tc>
                <w:tcPr>
                  <w:tcW w:w="609" w:type="pct"/>
                  <w:shd w:val="clear" w:color="auto" w:fill="auto"/>
                  <w:vAlign w:val="center"/>
                </w:tcPr>
                <w:p w14:paraId="7212AA09">
                  <w:pPr>
                    <w:pStyle w:val="5"/>
                    <w:adjustRightInd w:val="0"/>
                    <w:snapToGrid w:val="0"/>
                    <w:ind w:firstLine="0" w:firstLineChars="0"/>
                    <w:jc w:val="center"/>
                    <w:rPr>
                      <w:color w:val="auto"/>
                      <w:kern w:val="0"/>
                      <w:szCs w:val="21"/>
                    </w:rPr>
                  </w:pPr>
                  <w:r>
                    <w:rPr>
                      <w:color w:val="auto"/>
                      <w:kern w:val="0"/>
                      <w:szCs w:val="21"/>
                    </w:rPr>
                    <w:t>√</w:t>
                  </w:r>
                </w:p>
              </w:tc>
              <w:tc>
                <w:tcPr>
                  <w:tcW w:w="516" w:type="pct"/>
                  <w:shd w:val="clear" w:color="auto" w:fill="auto"/>
                  <w:vAlign w:val="center"/>
                </w:tcPr>
                <w:p w14:paraId="46772B90">
                  <w:pPr>
                    <w:pStyle w:val="5"/>
                    <w:adjustRightInd w:val="0"/>
                    <w:snapToGrid w:val="0"/>
                    <w:ind w:firstLine="0" w:firstLineChars="0"/>
                    <w:jc w:val="center"/>
                    <w:rPr>
                      <w:color w:val="auto"/>
                      <w:kern w:val="0"/>
                      <w:szCs w:val="21"/>
                    </w:rPr>
                  </w:pPr>
                  <w:r>
                    <w:rPr>
                      <w:color w:val="auto"/>
                      <w:kern w:val="0"/>
                      <w:szCs w:val="21"/>
                    </w:rPr>
                    <w:t>/</w:t>
                  </w:r>
                </w:p>
              </w:tc>
              <w:tc>
                <w:tcPr>
                  <w:tcW w:w="646" w:type="pct"/>
                  <w:vMerge w:val="continue"/>
                  <w:vAlign w:val="center"/>
                </w:tcPr>
                <w:p w14:paraId="7675A433">
                  <w:pPr>
                    <w:pStyle w:val="5"/>
                    <w:adjustRightInd w:val="0"/>
                    <w:snapToGrid w:val="0"/>
                    <w:ind w:firstLine="0"/>
                    <w:jc w:val="center"/>
                    <w:rPr>
                      <w:color w:val="auto"/>
                      <w:kern w:val="0"/>
                      <w:szCs w:val="21"/>
                    </w:rPr>
                  </w:pPr>
                </w:p>
              </w:tc>
            </w:tr>
            <w:tr w14:paraId="13A6B5A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608" w:type="pct"/>
                  <w:vAlign w:val="center"/>
                </w:tcPr>
                <w:p w14:paraId="08002DF4">
                  <w:pPr>
                    <w:pStyle w:val="5"/>
                    <w:adjustRightInd w:val="0"/>
                    <w:snapToGrid w:val="0"/>
                    <w:ind w:firstLine="0"/>
                    <w:jc w:val="center"/>
                    <w:rPr>
                      <w:rFonts w:hint="default"/>
                      <w:bCs/>
                      <w:color w:val="auto"/>
                      <w:kern w:val="0"/>
                      <w:szCs w:val="21"/>
                      <w:lang w:val="en-US" w:eastAsia="zh-CN"/>
                    </w:rPr>
                  </w:pPr>
                  <w:r>
                    <w:rPr>
                      <w:rFonts w:hint="eastAsia"/>
                      <w:bCs/>
                      <w:color w:val="auto"/>
                      <w:kern w:val="0"/>
                      <w:szCs w:val="21"/>
                      <w:lang w:val="en-US" w:eastAsia="zh-CN"/>
                    </w:rPr>
                    <w:t>含锌废物</w:t>
                  </w:r>
                </w:p>
              </w:tc>
              <w:tc>
                <w:tcPr>
                  <w:tcW w:w="552" w:type="pct"/>
                  <w:vAlign w:val="center"/>
                </w:tcPr>
                <w:p w14:paraId="5C9D4BE0">
                  <w:pPr>
                    <w:widowControl/>
                    <w:adjustRightInd w:val="0"/>
                    <w:snapToGrid w:val="0"/>
                    <w:jc w:val="center"/>
                    <w:textAlignment w:val="center"/>
                    <w:rPr>
                      <w:rFonts w:hint="eastAsia"/>
                      <w:color w:val="auto"/>
                      <w:kern w:val="0"/>
                      <w:lang w:val="en-US" w:eastAsia="zh-CN"/>
                    </w:rPr>
                  </w:pPr>
                  <w:r>
                    <w:rPr>
                      <w:rFonts w:hint="eastAsia"/>
                      <w:color w:val="auto"/>
                      <w:kern w:val="0"/>
                      <w:lang w:val="en-US" w:eastAsia="zh-CN"/>
                    </w:rPr>
                    <w:t>废气</w:t>
                  </w:r>
                </w:p>
                <w:p w14:paraId="6EFA4EEC">
                  <w:pPr>
                    <w:widowControl/>
                    <w:adjustRightInd w:val="0"/>
                    <w:snapToGrid w:val="0"/>
                    <w:jc w:val="center"/>
                    <w:textAlignment w:val="center"/>
                    <w:rPr>
                      <w:rFonts w:hint="default"/>
                      <w:color w:val="auto"/>
                      <w:kern w:val="0"/>
                      <w:lang w:val="en-US" w:eastAsia="zh-CN"/>
                    </w:rPr>
                  </w:pPr>
                  <w:r>
                    <w:rPr>
                      <w:rFonts w:hint="eastAsia"/>
                      <w:color w:val="auto"/>
                      <w:kern w:val="0"/>
                      <w:lang w:val="en-US" w:eastAsia="zh-CN"/>
                    </w:rPr>
                    <w:t>治理</w:t>
                  </w:r>
                </w:p>
              </w:tc>
              <w:tc>
                <w:tcPr>
                  <w:tcW w:w="364" w:type="pct"/>
                  <w:vAlign w:val="center"/>
                </w:tcPr>
                <w:p w14:paraId="57CC35CD">
                  <w:pPr>
                    <w:adjustRightInd w:val="0"/>
                    <w:snapToGrid w:val="0"/>
                    <w:jc w:val="center"/>
                    <w:rPr>
                      <w:rFonts w:hint="default"/>
                      <w:color w:val="auto"/>
                      <w:kern w:val="0"/>
                      <w:lang w:val="en-US" w:eastAsia="zh-CN"/>
                    </w:rPr>
                  </w:pPr>
                  <w:r>
                    <w:rPr>
                      <w:rFonts w:hint="eastAsia"/>
                      <w:color w:val="auto"/>
                      <w:kern w:val="0"/>
                      <w:lang w:val="en-US" w:eastAsia="zh-CN"/>
                    </w:rPr>
                    <w:t>固</w:t>
                  </w:r>
                </w:p>
              </w:tc>
              <w:tc>
                <w:tcPr>
                  <w:tcW w:w="1042" w:type="pct"/>
                  <w:vAlign w:val="center"/>
                </w:tcPr>
                <w:p w14:paraId="7EF2B41C">
                  <w:pPr>
                    <w:widowControl/>
                    <w:adjustRightInd w:val="0"/>
                    <w:snapToGrid w:val="0"/>
                    <w:jc w:val="center"/>
                    <w:textAlignment w:val="center"/>
                    <w:rPr>
                      <w:rFonts w:hint="default"/>
                      <w:color w:val="auto"/>
                      <w:kern w:val="0"/>
                      <w:lang w:val="en-US" w:eastAsia="zh-CN" w:bidi="ar"/>
                    </w:rPr>
                  </w:pPr>
                  <w:r>
                    <w:rPr>
                      <w:rFonts w:hint="eastAsia"/>
                      <w:color w:val="auto"/>
                      <w:kern w:val="0"/>
                      <w:lang w:val="en-US" w:eastAsia="zh-CN" w:bidi="ar"/>
                    </w:rPr>
                    <w:t>锌、钢</w:t>
                  </w:r>
                </w:p>
              </w:tc>
              <w:tc>
                <w:tcPr>
                  <w:tcW w:w="660" w:type="pct"/>
                  <w:vAlign w:val="center"/>
                </w:tcPr>
                <w:p w14:paraId="7F43421D">
                  <w:pPr>
                    <w:pStyle w:val="5"/>
                    <w:adjustRightInd w:val="0"/>
                    <w:snapToGrid w:val="0"/>
                    <w:ind w:firstLine="0"/>
                    <w:jc w:val="center"/>
                    <w:rPr>
                      <w:rFonts w:hint="default"/>
                      <w:color w:val="auto"/>
                      <w:kern w:val="0"/>
                      <w:szCs w:val="21"/>
                      <w:lang w:val="en-US" w:eastAsia="zh-CN"/>
                    </w:rPr>
                  </w:pPr>
                  <w:r>
                    <w:rPr>
                      <w:rFonts w:hint="eastAsia"/>
                      <w:color w:val="auto"/>
                      <w:kern w:val="0"/>
                      <w:szCs w:val="21"/>
                      <w:lang w:val="en-US" w:eastAsia="zh-CN"/>
                    </w:rPr>
                    <w:t>0.173</w:t>
                  </w:r>
                </w:p>
              </w:tc>
              <w:tc>
                <w:tcPr>
                  <w:tcW w:w="609" w:type="pct"/>
                  <w:shd w:val="clear" w:color="auto" w:fill="auto"/>
                  <w:vAlign w:val="center"/>
                </w:tcPr>
                <w:p w14:paraId="2EF10012">
                  <w:pPr>
                    <w:pStyle w:val="5"/>
                    <w:adjustRightInd w:val="0"/>
                    <w:snapToGrid w:val="0"/>
                    <w:ind w:firstLine="0" w:firstLineChars="0"/>
                    <w:jc w:val="center"/>
                    <w:rPr>
                      <w:rFonts w:ascii="Times New Roman" w:hAnsi="Times New Roman" w:eastAsia="宋体" w:cs="Times New Roman"/>
                      <w:snapToGrid w:val="0"/>
                      <w:color w:val="auto"/>
                      <w:kern w:val="0"/>
                      <w:sz w:val="21"/>
                      <w:szCs w:val="21"/>
                      <w:lang w:val="en-US" w:eastAsia="zh-CN" w:bidi="ar-SA"/>
                    </w:rPr>
                  </w:pPr>
                  <w:r>
                    <w:rPr>
                      <w:color w:val="auto"/>
                      <w:kern w:val="0"/>
                      <w:szCs w:val="21"/>
                    </w:rPr>
                    <w:t>√</w:t>
                  </w:r>
                </w:p>
              </w:tc>
              <w:tc>
                <w:tcPr>
                  <w:tcW w:w="516" w:type="pct"/>
                  <w:shd w:val="clear" w:color="auto" w:fill="auto"/>
                  <w:vAlign w:val="center"/>
                </w:tcPr>
                <w:p w14:paraId="5FAA03A5">
                  <w:pPr>
                    <w:pStyle w:val="5"/>
                    <w:adjustRightInd w:val="0"/>
                    <w:snapToGrid w:val="0"/>
                    <w:ind w:firstLine="0" w:firstLineChars="0"/>
                    <w:jc w:val="center"/>
                    <w:rPr>
                      <w:rFonts w:ascii="Times New Roman" w:hAnsi="Times New Roman" w:eastAsia="宋体" w:cs="Times New Roman"/>
                      <w:snapToGrid w:val="0"/>
                      <w:color w:val="auto"/>
                      <w:kern w:val="0"/>
                      <w:sz w:val="21"/>
                      <w:szCs w:val="21"/>
                      <w:lang w:val="en-US" w:eastAsia="zh-CN" w:bidi="ar-SA"/>
                    </w:rPr>
                  </w:pPr>
                  <w:r>
                    <w:rPr>
                      <w:color w:val="auto"/>
                      <w:kern w:val="0"/>
                      <w:szCs w:val="21"/>
                    </w:rPr>
                    <w:t>/</w:t>
                  </w:r>
                </w:p>
              </w:tc>
              <w:tc>
                <w:tcPr>
                  <w:tcW w:w="646" w:type="pct"/>
                  <w:vMerge w:val="continue"/>
                  <w:vAlign w:val="center"/>
                </w:tcPr>
                <w:p w14:paraId="0C7C6D79">
                  <w:pPr>
                    <w:pStyle w:val="5"/>
                    <w:adjustRightInd w:val="0"/>
                    <w:snapToGrid w:val="0"/>
                    <w:ind w:firstLine="0"/>
                    <w:jc w:val="center"/>
                    <w:rPr>
                      <w:color w:val="auto"/>
                      <w:kern w:val="0"/>
                      <w:szCs w:val="21"/>
                    </w:rPr>
                  </w:pPr>
                </w:p>
              </w:tc>
            </w:tr>
            <w:tr w14:paraId="1F14EB83">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608" w:type="pct"/>
                  <w:vAlign w:val="center"/>
                </w:tcPr>
                <w:p w14:paraId="371E87C3">
                  <w:pPr>
                    <w:pStyle w:val="5"/>
                    <w:adjustRightInd w:val="0"/>
                    <w:snapToGrid w:val="0"/>
                    <w:ind w:firstLine="0"/>
                    <w:jc w:val="center"/>
                    <w:rPr>
                      <w:rFonts w:hint="default"/>
                      <w:bCs/>
                      <w:color w:val="auto"/>
                      <w:kern w:val="0"/>
                      <w:szCs w:val="21"/>
                      <w:lang w:val="en-US" w:eastAsia="zh-CN"/>
                    </w:rPr>
                  </w:pPr>
                  <w:r>
                    <w:rPr>
                      <w:rFonts w:hint="eastAsia"/>
                      <w:bCs/>
                      <w:color w:val="auto"/>
                      <w:kern w:val="0"/>
                      <w:szCs w:val="21"/>
                      <w:lang w:val="en-US" w:eastAsia="zh-CN"/>
                    </w:rPr>
                    <w:t>含漆废物</w:t>
                  </w:r>
                </w:p>
              </w:tc>
              <w:tc>
                <w:tcPr>
                  <w:tcW w:w="552" w:type="pct"/>
                  <w:vAlign w:val="center"/>
                </w:tcPr>
                <w:p w14:paraId="49A10484">
                  <w:pPr>
                    <w:widowControl/>
                    <w:adjustRightInd w:val="0"/>
                    <w:snapToGrid w:val="0"/>
                    <w:jc w:val="center"/>
                    <w:textAlignment w:val="center"/>
                    <w:rPr>
                      <w:rFonts w:hint="default"/>
                      <w:color w:val="auto"/>
                      <w:kern w:val="0"/>
                      <w:lang w:val="en-US" w:eastAsia="zh-CN"/>
                    </w:rPr>
                  </w:pPr>
                  <w:r>
                    <w:rPr>
                      <w:rFonts w:hint="eastAsia"/>
                      <w:color w:val="auto"/>
                      <w:kern w:val="0"/>
                      <w:lang w:val="en-US" w:eastAsia="zh-CN"/>
                    </w:rPr>
                    <w:t>喷漆、废气治理</w:t>
                  </w:r>
                </w:p>
              </w:tc>
              <w:tc>
                <w:tcPr>
                  <w:tcW w:w="364" w:type="pct"/>
                  <w:vAlign w:val="center"/>
                </w:tcPr>
                <w:p w14:paraId="55027D5F">
                  <w:pPr>
                    <w:adjustRightInd w:val="0"/>
                    <w:snapToGrid w:val="0"/>
                    <w:jc w:val="center"/>
                    <w:rPr>
                      <w:rFonts w:hint="default"/>
                      <w:color w:val="auto"/>
                      <w:kern w:val="0"/>
                      <w:lang w:val="en-US" w:eastAsia="zh-CN"/>
                    </w:rPr>
                  </w:pPr>
                  <w:r>
                    <w:rPr>
                      <w:rFonts w:hint="eastAsia"/>
                      <w:color w:val="auto"/>
                      <w:kern w:val="0"/>
                      <w:lang w:val="en-US" w:eastAsia="zh-CN"/>
                    </w:rPr>
                    <w:t>固</w:t>
                  </w:r>
                </w:p>
              </w:tc>
              <w:tc>
                <w:tcPr>
                  <w:tcW w:w="1042" w:type="pct"/>
                  <w:vAlign w:val="center"/>
                </w:tcPr>
                <w:p w14:paraId="3F92F799">
                  <w:pPr>
                    <w:widowControl/>
                    <w:adjustRightInd w:val="0"/>
                    <w:snapToGrid w:val="0"/>
                    <w:jc w:val="center"/>
                    <w:textAlignment w:val="center"/>
                    <w:rPr>
                      <w:rFonts w:hint="default"/>
                      <w:color w:val="auto"/>
                      <w:kern w:val="0"/>
                      <w:lang w:val="en-US" w:eastAsia="zh-CN" w:bidi="ar"/>
                    </w:rPr>
                  </w:pPr>
                  <w:r>
                    <w:rPr>
                      <w:rFonts w:hint="eastAsia"/>
                      <w:color w:val="auto"/>
                      <w:kern w:val="0"/>
                      <w:lang w:val="en-US" w:eastAsia="zh-CN" w:bidi="ar"/>
                    </w:rPr>
                    <w:t>涂料、手套抹布</w:t>
                  </w:r>
                </w:p>
              </w:tc>
              <w:tc>
                <w:tcPr>
                  <w:tcW w:w="660" w:type="pct"/>
                  <w:vAlign w:val="center"/>
                </w:tcPr>
                <w:p w14:paraId="14373947">
                  <w:pPr>
                    <w:pStyle w:val="5"/>
                    <w:adjustRightInd w:val="0"/>
                    <w:snapToGrid w:val="0"/>
                    <w:ind w:firstLine="0"/>
                    <w:jc w:val="center"/>
                    <w:rPr>
                      <w:rFonts w:hint="default"/>
                      <w:color w:val="auto"/>
                      <w:kern w:val="0"/>
                      <w:szCs w:val="21"/>
                      <w:lang w:val="en-US" w:eastAsia="zh-CN"/>
                    </w:rPr>
                  </w:pPr>
                  <w:r>
                    <w:rPr>
                      <w:rFonts w:hint="eastAsia"/>
                      <w:color w:val="auto"/>
                      <w:kern w:val="0"/>
                      <w:szCs w:val="21"/>
                      <w:lang w:val="en-US" w:eastAsia="zh-CN"/>
                    </w:rPr>
                    <w:t>1.5</w:t>
                  </w:r>
                </w:p>
              </w:tc>
              <w:tc>
                <w:tcPr>
                  <w:tcW w:w="609" w:type="pct"/>
                  <w:shd w:val="clear" w:color="auto" w:fill="auto"/>
                  <w:vAlign w:val="center"/>
                </w:tcPr>
                <w:p w14:paraId="70FCB85B">
                  <w:pPr>
                    <w:pStyle w:val="5"/>
                    <w:adjustRightInd w:val="0"/>
                    <w:snapToGrid w:val="0"/>
                    <w:ind w:firstLine="0" w:firstLineChars="0"/>
                    <w:jc w:val="center"/>
                    <w:rPr>
                      <w:rFonts w:ascii="Times New Roman" w:hAnsi="Times New Roman" w:eastAsia="宋体" w:cs="Times New Roman"/>
                      <w:snapToGrid w:val="0"/>
                      <w:color w:val="auto"/>
                      <w:kern w:val="0"/>
                      <w:sz w:val="21"/>
                      <w:szCs w:val="21"/>
                      <w:lang w:val="en-US" w:eastAsia="zh-CN" w:bidi="ar-SA"/>
                    </w:rPr>
                  </w:pPr>
                  <w:r>
                    <w:rPr>
                      <w:color w:val="auto"/>
                      <w:kern w:val="0"/>
                      <w:szCs w:val="21"/>
                    </w:rPr>
                    <w:t>√</w:t>
                  </w:r>
                </w:p>
              </w:tc>
              <w:tc>
                <w:tcPr>
                  <w:tcW w:w="516" w:type="pct"/>
                  <w:shd w:val="clear" w:color="auto" w:fill="auto"/>
                  <w:vAlign w:val="center"/>
                </w:tcPr>
                <w:p w14:paraId="6A75EDAC">
                  <w:pPr>
                    <w:pStyle w:val="5"/>
                    <w:adjustRightInd w:val="0"/>
                    <w:snapToGrid w:val="0"/>
                    <w:ind w:firstLine="0" w:firstLineChars="0"/>
                    <w:jc w:val="center"/>
                    <w:rPr>
                      <w:rFonts w:ascii="Times New Roman" w:hAnsi="Times New Roman" w:eastAsia="宋体" w:cs="Times New Roman"/>
                      <w:snapToGrid w:val="0"/>
                      <w:color w:val="auto"/>
                      <w:kern w:val="0"/>
                      <w:sz w:val="21"/>
                      <w:szCs w:val="21"/>
                      <w:lang w:val="en-US" w:eastAsia="zh-CN" w:bidi="ar-SA"/>
                    </w:rPr>
                  </w:pPr>
                  <w:r>
                    <w:rPr>
                      <w:color w:val="auto"/>
                      <w:kern w:val="0"/>
                      <w:szCs w:val="21"/>
                    </w:rPr>
                    <w:t>/</w:t>
                  </w:r>
                </w:p>
              </w:tc>
              <w:tc>
                <w:tcPr>
                  <w:tcW w:w="646" w:type="pct"/>
                  <w:vMerge w:val="continue"/>
                  <w:vAlign w:val="center"/>
                </w:tcPr>
                <w:p w14:paraId="79DB79EF">
                  <w:pPr>
                    <w:pStyle w:val="5"/>
                    <w:adjustRightInd w:val="0"/>
                    <w:snapToGrid w:val="0"/>
                    <w:ind w:firstLine="0"/>
                    <w:jc w:val="center"/>
                    <w:rPr>
                      <w:color w:val="auto"/>
                      <w:kern w:val="0"/>
                      <w:szCs w:val="21"/>
                    </w:rPr>
                  </w:pPr>
                </w:p>
              </w:tc>
            </w:tr>
            <w:tr w14:paraId="187568A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608" w:type="pct"/>
                  <w:vAlign w:val="center"/>
                </w:tcPr>
                <w:p w14:paraId="3D560B3D">
                  <w:pPr>
                    <w:pStyle w:val="5"/>
                    <w:adjustRightInd w:val="0"/>
                    <w:snapToGrid w:val="0"/>
                    <w:ind w:firstLine="0"/>
                    <w:jc w:val="center"/>
                    <w:rPr>
                      <w:rFonts w:hint="default"/>
                      <w:bCs/>
                      <w:color w:val="auto"/>
                      <w:kern w:val="0"/>
                      <w:szCs w:val="21"/>
                      <w:lang w:val="en-US" w:eastAsia="zh-CN"/>
                    </w:rPr>
                  </w:pPr>
                  <w:r>
                    <w:rPr>
                      <w:rFonts w:hint="eastAsia"/>
                      <w:bCs/>
                      <w:color w:val="auto"/>
                      <w:kern w:val="0"/>
                      <w:szCs w:val="21"/>
                      <w:lang w:val="en-US" w:eastAsia="zh-CN"/>
                    </w:rPr>
                    <w:t>废活性炭</w:t>
                  </w:r>
                </w:p>
              </w:tc>
              <w:tc>
                <w:tcPr>
                  <w:tcW w:w="552" w:type="pct"/>
                  <w:vAlign w:val="center"/>
                </w:tcPr>
                <w:p w14:paraId="66EE2657">
                  <w:pPr>
                    <w:widowControl/>
                    <w:adjustRightInd w:val="0"/>
                    <w:snapToGrid w:val="0"/>
                    <w:jc w:val="center"/>
                    <w:textAlignment w:val="center"/>
                    <w:rPr>
                      <w:rFonts w:hint="eastAsia"/>
                      <w:color w:val="auto"/>
                      <w:kern w:val="0"/>
                      <w:lang w:val="en-US" w:eastAsia="zh-CN"/>
                    </w:rPr>
                  </w:pPr>
                  <w:r>
                    <w:rPr>
                      <w:rFonts w:hint="eastAsia"/>
                      <w:color w:val="auto"/>
                      <w:kern w:val="0"/>
                      <w:lang w:val="en-US" w:eastAsia="zh-CN"/>
                    </w:rPr>
                    <w:t>废气</w:t>
                  </w:r>
                </w:p>
                <w:p w14:paraId="1321CD72">
                  <w:pPr>
                    <w:widowControl/>
                    <w:adjustRightInd w:val="0"/>
                    <w:snapToGrid w:val="0"/>
                    <w:jc w:val="center"/>
                    <w:textAlignment w:val="center"/>
                    <w:rPr>
                      <w:rFonts w:hint="default"/>
                      <w:color w:val="auto"/>
                      <w:kern w:val="0"/>
                      <w:lang w:val="en-US" w:eastAsia="zh-CN"/>
                    </w:rPr>
                  </w:pPr>
                  <w:r>
                    <w:rPr>
                      <w:rFonts w:hint="eastAsia"/>
                      <w:color w:val="auto"/>
                      <w:kern w:val="0"/>
                      <w:lang w:val="en-US" w:eastAsia="zh-CN"/>
                    </w:rPr>
                    <w:t>治理</w:t>
                  </w:r>
                </w:p>
              </w:tc>
              <w:tc>
                <w:tcPr>
                  <w:tcW w:w="364" w:type="pct"/>
                  <w:vAlign w:val="center"/>
                </w:tcPr>
                <w:p w14:paraId="34ED9582">
                  <w:pPr>
                    <w:adjustRightInd w:val="0"/>
                    <w:snapToGrid w:val="0"/>
                    <w:jc w:val="center"/>
                    <w:rPr>
                      <w:rFonts w:hint="default"/>
                      <w:color w:val="auto"/>
                      <w:kern w:val="0"/>
                      <w:lang w:val="en-US" w:eastAsia="zh-CN"/>
                    </w:rPr>
                  </w:pPr>
                  <w:r>
                    <w:rPr>
                      <w:rFonts w:hint="eastAsia"/>
                      <w:color w:val="auto"/>
                      <w:kern w:val="0"/>
                      <w:lang w:val="en-US" w:eastAsia="zh-CN"/>
                    </w:rPr>
                    <w:t>固</w:t>
                  </w:r>
                </w:p>
              </w:tc>
              <w:tc>
                <w:tcPr>
                  <w:tcW w:w="1042" w:type="pct"/>
                  <w:vAlign w:val="center"/>
                </w:tcPr>
                <w:p w14:paraId="4CD15245">
                  <w:pPr>
                    <w:widowControl/>
                    <w:adjustRightInd w:val="0"/>
                    <w:snapToGrid w:val="0"/>
                    <w:jc w:val="center"/>
                    <w:textAlignment w:val="center"/>
                    <w:rPr>
                      <w:rFonts w:hint="default"/>
                      <w:color w:val="auto"/>
                      <w:kern w:val="0"/>
                      <w:lang w:val="en-US" w:eastAsia="zh-CN" w:bidi="ar"/>
                    </w:rPr>
                  </w:pPr>
                  <w:r>
                    <w:rPr>
                      <w:rFonts w:hint="eastAsia"/>
                      <w:color w:val="auto"/>
                      <w:kern w:val="0"/>
                      <w:lang w:val="en-US" w:eastAsia="zh-CN" w:bidi="ar"/>
                    </w:rPr>
                    <w:t>活性炭、VOCs</w:t>
                  </w:r>
                </w:p>
              </w:tc>
              <w:tc>
                <w:tcPr>
                  <w:tcW w:w="660" w:type="pct"/>
                  <w:vAlign w:val="center"/>
                </w:tcPr>
                <w:p w14:paraId="63E2776F">
                  <w:pPr>
                    <w:pStyle w:val="5"/>
                    <w:adjustRightInd w:val="0"/>
                    <w:snapToGrid w:val="0"/>
                    <w:ind w:firstLine="0"/>
                    <w:jc w:val="center"/>
                    <w:rPr>
                      <w:rFonts w:hint="default"/>
                      <w:color w:val="auto"/>
                      <w:kern w:val="0"/>
                      <w:szCs w:val="21"/>
                      <w:lang w:val="en-US" w:eastAsia="zh-CN"/>
                    </w:rPr>
                  </w:pPr>
                  <w:r>
                    <w:rPr>
                      <w:rFonts w:hint="eastAsia"/>
                      <w:color w:val="auto"/>
                      <w:kern w:val="0"/>
                      <w:szCs w:val="21"/>
                      <w:lang w:val="en-US" w:eastAsia="zh-CN"/>
                    </w:rPr>
                    <w:t>6.538</w:t>
                  </w:r>
                </w:p>
              </w:tc>
              <w:tc>
                <w:tcPr>
                  <w:tcW w:w="609" w:type="pct"/>
                  <w:shd w:val="clear" w:color="auto" w:fill="auto"/>
                  <w:vAlign w:val="center"/>
                </w:tcPr>
                <w:p w14:paraId="771CE08A">
                  <w:pPr>
                    <w:pStyle w:val="5"/>
                    <w:adjustRightInd w:val="0"/>
                    <w:snapToGrid w:val="0"/>
                    <w:ind w:firstLine="0" w:firstLineChars="0"/>
                    <w:jc w:val="center"/>
                    <w:rPr>
                      <w:rFonts w:ascii="Times New Roman" w:hAnsi="Times New Roman" w:eastAsia="宋体" w:cs="Times New Roman"/>
                      <w:snapToGrid w:val="0"/>
                      <w:color w:val="auto"/>
                      <w:kern w:val="0"/>
                      <w:sz w:val="21"/>
                      <w:szCs w:val="21"/>
                      <w:lang w:val="en-US" w:eastAsia="zh-CN" w:bidi="ar-SA"/>
                    </w:rPr>
                  </w:pPr>
                  <w:r>
                    <w:rPr>
                      <w:color w:val="auto"/>
                      <w:kern w:val="0"/>
                      <w:szCs w:val="21"/>
                    </w:rPr>
                    <w:t>√</w:t>
                  </w:r>
                </w:p>
              </w:tc>
              <w:tc>
                <w:tcPr>
                  <w:tcW w:w="516" w:type="pct"/>
                  <w:shd w:val="clear" w:color="auto" w:fill="auto"/>
                  <w:vAlign w:val="center"/>
                </w:tcPr>
                <w:p w14:paraId="507484B2">
                  <w:pPr>
                    <w:pStyle w:val="5"/>
                    <w:adjustRightInd w:val="0"/>
                    <w:snapToGrid w:val="0"/>
                    <w:ind w:firstLine="0" w:firstLineChars="0"/>
                    <w:jc w:val="center"/>
                    <w:rPr>
                      <w:rFonts w:ascii="Times New Roman" w:hAnsi="Times New Roman" w:eastAsia="宋体" w:cs="Times New Roman"/>
                      <w:snapToGrid w:val="0"/>
                      <w:color w:val="auto"/>
                      <w:kern w:val="0"/>
                      <w:sz w:val="21"/>
                      <w:szCs w:val="21"/>
                      <w:lang w:val="en-US" w:eastAsia="zh-CN" w:bidi="ar-SA"/>
                    </w:rPr>
                  </w:pPr>
                  <w:r>
                    <w:rPr>
                      <w:color w:val="auto"/>
                      <w:kern w:val="0"/>
                      <w:szCs w:val="21"/>
                    </w:rPr>
                    <w:t>/</w:t>
                  </w:r>
                </w:p>
              </w:tc>
              <w:tc>
                <w:tcPr>
                  <w:tcW w:w="646" w:type="pct"/>
                  <w:vMerge w:val="continue"/>
                  <w:vAlign w:val="center"/>
                </w:tcPr>
                <w:p w14:paraId="4EF50C26">
                  <w:pPr>
                    <w:pStyle w:val="5"/>
                    <w:adjustRightInd w:val="0"/>
                    <w:snapToGrid w:val="0"/>
                    <w:ind w:firstLine="0"/>
                    <w:jc w:val="center"/>
                    <w:rPr>
                      <w:color w:val="auto"/>
                      <w:kern w:val="0"/>
                      <w:szCs w:val="21"/>
                    </w:rPr>
                  </w:pPr>
                </w:p>
              </w:tc>
            </w:tr>
            <w:tr w14:paraId="507357B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608" w:type="pct"/>
                  <w:vAlign w:val="center"/>
                </w:tcPr>
                <w:p w14:paraId="2AFCC477">
                  <w:pPr>
                    <w:pStyle w:val="5"/>
                    <w:adjustRightInd w:val="0"/>
                    <w:snapToGrid w:val="0"/>
                    <w:ind w:firstLine="0"/>
                    <w:jc w:val="center"/>
                    <w:rPr>
                      <w:bCs/>
                      <w:color w:val="auto"/>
                      <w:kern w:val="0"/>
                      <w:szCs w:val="21"/>
                    </w:rPr>
                  </w:pPr>
                  <w:r>
                    <w:rPr>
                      <w:rFonts w:hint="eastAsia"/>
                      <w:bCs/>
                      <w:color w:val="auto"/>
                      <w:kern w:val="0"/>
                      <w:szCs w:val="21"/>
                    </w:rPr>
                    <w:t>生活垃圾</w:t>
                  </w:r>
                </w:p>
              </w:tc>
              <w:tc>
                <w:tcPr>
                  <w:tcW w:w="552" w:type="pct"/>
                  <w:vAlign w:val="center"/>
                </w:tcPr>
                <w:p w14:paraId="4F62DC03">
                  <w:pPr>
                    <w:widowControl/>
                    <w:adjustRightInd w:val="0"/>
                    <w:snapToGrid w:val="0"/>
                    <w:jc w:val="center"/>
                    <w:textAlignment w:val="center"/>
                    <w:rPr>
                      <w:rFonts w:hint="eastAsia"/>
                      <w:color w:val="auto"/>
                      <w:kern w:val="0"/>
                    </w:rPr>
                  </w:pPr>
                  <w:r>
                    <w:rPr>
                      <w:rFonts w:hint="eastAsia"/>
                      <w:color w:val="auto"/>
                      <w:kern w:val="0"/>
                    </w:rPr>
                    <w:t>员工</w:t>
                  </w:r>
                </w:p>
                <w:p w14:paraId="458D500A">
                  <w:pPr>
                    <w:widowControl/>
                    <w:adjustRightInd w:val="0"/>
                    <w:snapToGrid w:val="0"/>
                    <w:jc w:val="center"/>
                    <w:textAlignment w:val="center"/>
                    <w:rPr>
                      <w:color w:val="auto"/>
                      <w:kern w:val="0"/>
                    </w:rPr>
                  </w:pPr>
                  <w:r>
                    <w:rPr>
                      <w:rFonts w:hint="eastAsia"/>
                      <w:color w:val="auto"/>
                      <w:kern w:val="0"/>
                    </w:rPr>
                    <w:t>生活</w:t>
                  </w:r>
                </w:p>
              </w:tc>
              <w:tc>
                <w:tcPr>
                  <w:tcW w:w="364" w:type="pct"/>
                  <w:vAlign w:val="center"/>
                </w:tcPr>
                <w:p w14:paraId="168039DE">
                  <w:pPr>
                    <w:adjustRightInd w:val="0"/>
                    <w:snapToGrid w:val="0"/>
                    <w:jc w:val="center"/>
                    <w:rPr>
                      <w:color w:val="auto"/>
                      <w:kern w:val="0"/>
                    </w:rPr>
                  </w:pPr>
                  <w:r>
                    <w:rPr>
                      <w:color w:val="auto"/>
                      <w:kern w:val="0"/>
                    </w:rPr>
                    <w:t>固</w:t>
                  </w:r>
                </w:p>
              </w:tc>
              <w:tc>
                <w:tcPr>
                  <w:tcW w:w="1042" w:type="pct"/>
                  <w:vAlign w:val="center"/>
                </w:tcPr>
                <w:p w14:paraId="07B72E24">
                  <w:pPr>
                    <w:widowControl/>
                    <w:adjustRightInd w:val="0"/>
                    <w:snapToGrid w:val="0"/>
                    <w:jc w:val="center"/>
                    <w:textAlignment w:val="center"/>
                    <w:rPr>
                      <w:color w:val="auto"/>
                      <w:kern w:val="0"/>
                      <w:lang w:bidi="ar"/>
                    </w:rPr>
                  </w:pPr>
                  <w:r>
                    <w:rPr>
                      <w:rFonts w:hint="eastAsia"/>
                      <w:color w:val="auto"/>
                      <w:kern w:val="0"/>
                      <w:lang w:bidi="ar"/>
                    </w:rPr>
                    <w:t>纸皮、瓜果等</w:t>
                  </w:r>
                </w:p>
              </w:tc>
              <w:tc>
                <w:tcPr>
                  <w:tcW w:w="660" w:type="pct"/>
                  <w:vAlign w:val="center"/>
                </w:tcPr>
                <w:p w14:paraId="0DB25337">
                  <w:pPr>
                    <w:pStyle w:val="5"/>
                    <w:adjustRightInd w:val="0"/>
                    <w:snapToGrid w:val="0"/>
                    <w:ind w:firstLine="0"/>
                    <w:jc w:val="center"/>
                    <w:rPr>
                      <w:rFonts w:hint="default" w:eastAsia="宋体"/>
                      <w:color w:val="auto"/>
                      <w:kern w:val="0"/>
                      <w:szCs w:val="21"/>
                      <w:lang w:val="en-US" w:eastAsia="zh-CN"/>
                    </w:rPr>
                  </w:pPr>
                  <w:r>
                    <w:rPr>
                      <w:rFonts w:hint="eastAsia"/>
                      <w:color w:val="auto"/>
                      <w:kern w:val="0"/>
                      <w:szCs w:val="21"/>
                      <w:lang w:val="en-US" w:eastAsia="zh-CN"/>
                    </w:rPr>
                    <w:t>9</w:t>
                  </w:r>
                </w:p>
              </w:tc>
              <w:tc>
                <w:tcPr>
                  <w:tcW w:w="609" w:type="pct"/>
                  <w:vAlign w:val="center"/>
                </w:tcPr>
                <w:p w14:paraId="0FF2966A">
                  <w:pPr>
                    <w:pStyle w:val="5"/>
                    <w:adjustRightInd w:val="0"/>
                    <w:snapToGrid w:val="0"/>
                    <w:ind w:firstLine="0"/>
                    <w:jc w:val="center"/>
                    <w:rPr>
                      <w:color w:val="auto"/>
                      <w:kern w:val="0"/>
                      <w:szCs w:val="21"/>
                    </w:rPr>
                  </w:pPr>
                  <w:r>
                    <w:rPr>
                      <w:color w:val="auto"/>
                      <w:kern w:val="0"/>
                      <w:szCs w:val="21"/>
                    </w:rPr>
                    <w:t>√</w:t>
                  </w:r>
                </w:p>
              </w:tc>
              <w:tc>
                <w:tcPr>
                  <w:tcW w:w="516" w:type="pct"/>
                  <w:vAlign w:val="center"/>
                </w:tcPr>
                <w:p w14:paraId="0F580D59">
                  <w:pPr>
                    <w:pStyle w:val="5"/>
                    <w:adjustRightInd w:val="0"/>
                    <w:snapToGrid w:val="0"/>
                    <w:ind w:firstLine="0"/>
                    <w:jc w:val="center"/>
                    <w:rPr>
                      <w:color w:val="auto"/>
                      <w:kern w:val="0"/>
                      <w:szCs w:val="21"/>
                    </w:rPr>
                  </w:pPr>
                  <w:r>
                    <w:rPr>
                      <w:color w:val="auto"/>
                      <w:kern w:val="0"/>
                      <w:szCs w:val="21"/>
                    </w:rPr>
                    <w:t>/</w:t>
                  </w:r>
                </w:p>
              </w:tc>
              <w:tc>
                <w:tcPr>
                  <w:tcW w:w="646" w:type="pct"/>
                  <w:vMerge w:val="continue"/>
                  <w:vAlign w:val="center"/>
                </w:tcPr>
                <w:p w14:paraId="4149F6FD">
                  <w:pPr>
                    <w:pStyle w:val="5"/>
                    <w:adjustRightInd w:val="0"/>
                    <w:snapToGrid w:val="0"/>
                    <w:ind w:firstLine="0"/>
                    <w:jc w:val="center"/>
                    <w:rPr>
                      <w:color w:val="auto"/>
                      <w:kern w:val="0"/>
                      <w:szCs w:val="21"/>
                    </w:rPr>
                  </w:pPr>
                </w:p>
              </w:tc>
            </w:tr>
          </w:tbl>
          <w:p w14:paraId="6D2C93F5">
            <w:pPr>
              <w:pStyle w:val="697"/>
              <w:adjustRightInd w:val="0"/>
              <w:snapToGrid w:val="0"/>
              <w:spacing w:line="360" w:lineRule="auto"/>
              <w:ind w:firstLine="420"/>
              <w:rPr>
                <w:rFonts w:eastAsia="宋体"/>
                <w:color w:val="auto"/>
                <w:kern w:val="0"/>
                <w:sz w:val="21"/>
                <w:szCs w:val="21"/>
              </w:rPr>
            </w:pPr>
            <w:r>
              <w:rPr>
                <w:rFonts w:eastAsia="宋体"/>
                <w:color w:val="auto"/>
                <w:kern w:val="0"/>
                <w:sz w:val="21"/>
                <w:szCs w:val="21"/>
              </w:rPr>
              <w:t>根据《国家危险废物名录》</w:t>
            </w:r>
            <w:r>
              <w:rPr>
                <w:rFonts w:hint="eastAsia" w:eastAsia="宋体"/>
                <w:color w:val="auto"/>
                <w:kern w:val="0"/>
                <w:sz w:val="21"/>
                <w:szCs w:val="21"/>
                <w:lang w:eastAsia="zh-CN"/>
              </w:rPr>
              <w:t>（</w:t>
            </w:r>
            <w:r>
              <w:rPr>
                <w:rFonts w:hint="eastAsia" w:eastAsia="宋体"/>
                <w:color w:val="auto"/>
                <w:kern w:val="0"/>
                <w:sz w:val="21"/>
                <w:szCs w:val="21"/>
                <w:lang w:val="en-US" w:eastAsia="zh-CN"/>
              </w:rPr>
              <w:t>2025年版</w:t>
            </w:r>
            <w:r>
              <w:rPr>
                <w:rFonts w:hint="eastAsia" w:eastAsia="宋体"/>
                <w:color w:val="auto"/>
                <w:kern w:val="0"/>
                <w:sz w:val="21"/>
                <w:szCs w:val="21"/>
                <w:lang w:eastAsia="zh-CN"/>
              </w:rPr>
              <w:t>）</w:t>
            </w:r>
            <w:r>
              <w:rPr>
                <w:rFonts w:eastAsia="宋体"/>
                <w:color w:val="auto"/>
                <w:kern w:val="0"/>
                <w:sz w:val="21"/>
                <w:szCs w:val="21"/>
              </w:rPr>
              <w:t>以及《危险废物鉴别标准》，判定建设项目的固体废物是否属于危险废物。项目固体废物产生源强汇总见</w:t>
            </w:r>
            <w:r>
              <w:rPr>
                <w:rFonts w:hint="eastAsia" w:eastAsia="宋体"/>
                <w:color w:val="auto"/>
                <w:kern w:val="0"/>
                <w:sz w:val="21"/>
                <w:szCs w:val="21"/>
              </w:rPr>
              <w:t>下表</w:t>
            </w:r>
            <w:r>
              <w:rPr>
                <w:rFonts w:eastAsia="宋体"/>
                <w:color w:val="auto"/>
                <w:kern w:val="0"/>
                <w:sz w:val="21"/>
                <w:szCs w:val="21"/>
              </w:rPr>
              <w:t>。</w:t>
            </w:r>
          </w:p>
          <w:p w14:paraId="01E2FC61">
            <w:pPr>
              <w:jc w:val="center"/>
              <w:rPr>
                <w:b/>
                <w:color w:val="auto"/>
                <w:kern w:val="0"/>
              </w:rPr>
            </w:pPr>
            <w:r>
              <w:rPr>
                <w:b/>
                <w:color w:val="auto"/>
                <w:kern w:val="0"/>
              </w:rPr>
              <w:t>表4-</w:t>
            </w:r>
            <w:r>
              <w:rPr>
                <w:rFonts w:hint="eastAsia"/>
                <w:b/>
                <w:color w:val="auto"/>
                <w:kern w:val="0"/>
                <w:lang w:val="en-US" w:eastAsia="zh-CN"/>
              </w:rPr>
              <w:t>23</w:t>
            </w:r>
            <w:r>
              <w:rPr>
                <w:rFonts w:hint="eastAsia"/>
                <w:b/>
                <w:color w:val="auto"/>
                <w:kern w:val="0"/>
              </w:rPr>
              <w:t xml:space="preserve"> </w:t>
            </w:r>
            <w:r>
              <w:rPr>
                <w:b/>
                <w:color w:val="auto"/>
                <w:kern w:val="0"/>
              </w:rPr>
              <w:t xml:space="preserve">  固体废物分析结果汇总表</w:t>
            </w:r>
          </w:p>
          <w:tbl>
            <w:tblPr>
              <w:tblStyle w:val="59"/>
              <w:tblW w:w="4997"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1153"/>
              <w:gridCol w:w="690"/>
              <w:gridCol w:w="975"/>
              <w:gridCol w:w="747"/>
              <w:gridCol w:w="1351"/>
              <w:gridCol w:w="810"/>
              <w:gridCol w:w="824"/>
              <w:gridCol w:w="1340"/>
              <w:gridCol w:w="966"/>
            </w:tblGrid>
            <w:tr w14:paraId="7C293FE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27" w:hRule="atLeast"/>
                <w:jc w:val="center"/>
              </w:trPr>
              <w:tc>
                <w:tcPr>
                  <w:tcW w:w="650" w:type="pct"/>
                  <w:vAlign w:val="center"/>
                </w:tcPr>
                <w:p w14:paraId="1F41BD78">
                  <w:pPr>
                    <w:adjustRightInd w:val="0"/>
                    <w:snapToGrid w:val="0"/>
                    <w:jc w:val="center"/>
                    <w:rPr>
                      <w:b/>
                      <w:bCs/>
                      <w:color w:val="auto"/>
                      <w:kern w:val="0"/>
                    </w:rPr>
                  </w:pPr>
                  <w:r>
                    <w:rPr>
                      <w:b/>
                      <w:bCs/>
                      <w:color w:val="auto"/>
                      <w:kern w:val="0"/>
                    </w:rPr>
                    <w:t>固废名称</w:t>
                  </w:r>
                </w:p>
              </w:tc>
              <w:tc>
                <w:tcPr>
                  <w:tcW w:w="389" w:type="pct"/>
                  <w:vAlign w:val="center"/>
                </w:tcPr>
                <w:p w14:paraId="5D541C8C">
                  <w:pPr>
                    <w:adjustRightInd w:val="0"/>
                    <w:snapToGrid w:val="0"/>
                    <w:jc w:val="center"/>
                    <w:rPr>
                      <w:b/>
                      <w:bCs/>
                      <w:color w:val="auto"/>
                      <w:kern w:val="0"/>
                    </w:rPr>
                  </w:pPr>
                  <w:r>
                    <w:rPr>
                      <w:b/>
                      <w:bCs/>
                      <w:color w:val="auto"/>
                      <w:kern w:val="0"/>
                    </w:rPr>
                    <w:t>属性</w:t>
                  </w:r>
                </w:p>
              </w:tc>
              <w:tc>
                <w:tcPr>
                  <w:tcW w:w="550" w:type="pct"/>
                  <w:vAlign w:val="center"/>
                </w:tcPr>
                <w:p w14:paraId="45900BCE">
                  <w:pPr>
                    <w:adjustRightInd w:val="0"/>
                    <w:snapToGrid w:val="0"/>
                    <w:jc w:val="center"/>
                    <w:rPr>
                      <w:b/>
                      <w:bCs/>
                      <w:color w:val="auto"/>
                      <w:kern w:val="0"/>
                    </w:rPr>
                  </w:pPr>
                  <w:r>
                    <w:rPr>
                      <w:b/>
                      <w:bCs/>
                      <w:color w:val="auto"/>
                      <w:kern w:val="0"/>
                    </w:rPr>
                    <w:t>产生工序</w:t>
                  </w:r>
                </w:p>
              </w:tc>
              <w:tc>
                <w:tcPr>
                  <w:tcW w:w="421" w:type="pct"/>
                  <w:vAlign w:val="center"/>
                </w:tcPr>
                <w:p w14:paraId="02267730">
                  <w:pPr>
                    <w:adjustRightInd w:val="0"/>
                    <w:snapToGrid w:val="0"/>
                    <w:jc w:val="center"/>
                    <w:rPr>
                      <w:b/>
                      <w:bCs/>
                      <w:color w:val="auto"/>
                      <w:kern w:val="0"/>
                    </w:rPr>
                  </w:pPr>
                  <w:r>
                    <w:rPr>
                      <w:b/>
                      <w:bCs/>
                      <w:color w:val="auto"/>
                      <w:kern w:val="0"/>
                    </w:rPr>
                    <w:t>形态</w:t>
                  </w:r>
                </w:p>
              </w:tc>
              <w:tc>
                <w:tcPr>
                  <w:tcW w:w="762" w:type="pct"/>
                  <w:vAlign w:val="center"/>
                </w:tcPr>
                <w:p w14:paraId="01D555D8">
                  <w:pPr>
                    <w:adjustRightInd w:val="0"/>
                    <w:snapToGrid w:val="0"/>
                    <w:jc w:val="center"/>
                    <w:rPr>
                      <w:b/>
                      <w:bCs/>
                      <w:color w:val="auto"/>
                      <w:kern w:val="0"/>
                    </w:rPr>
                  </w:pPr>
                  <w:r>
                    <w:rPr>
                      <w:b/>
                      <w:bCs/>
                      <w:color w:val="auto"/>
                      <w:kern w:val="0"/>
                    </w:rPr>
                    <w:t>主要成分</w:t>
                  </w:r>
                </w:p>
              </w:tc>
              <w:tc>
                <w:tcPr>
                  <w:tcW w:w="457" w:type="pct"/>
                  <w:vAlign w:val="center"/>
                </w:tcPr>
                <w:p w14:paraId="3DD787AA">
                  <w:pPr>
                    <w:adjustRightInd w:val="0"/>
                    <w:snapToGrid w:val="0"/>
                    <w:jc w:val="center"/>
                    <w:rPr>
                      <w:b/>
                      <w:bCs/>
                      <w:color w:val="auto"/>
                      <w:kern w:val="0"/>
                    </w:rPr>
                  </w:pPr>
                  <w:r>
                    <w:rPr>
                      <w:b/>
                      <w:bCs/>
                      <w:color w:val="auto"/>
                      <w:kern w:val="0"/>
                    </w:rPr>
                    <w:t>危险特性</w:t>
                  </w:r>
                </w:p>
              </w:tc>
              <w:tc>
                <w:tcPr>
                  <w:tcW w:w="465" w:type="pct"/>
                  <w:vAlign w:val="center"/>
                </w:tcPr>
                <w:p w14:paraId="242B5BDC">
                  <w:pPr>
                    <w:adjustRightInd w:val="0"/>
                    <w:snapToGrid w:val="0"/>
                    <w:jc w:val="center"/>
                    <w:rPr>
                      <w:b/>
                      <w:bCs/>
                      <w:color w:val="auto"/>
                      <w:kern w:val="0"/>
                    </w:rPr>
                  </w:pPr>
                  <w:r>
                    <w:rPr>
                      <w:b/>
                      <w:bCs/>
                      <w:color w:val="auto"/>
                      <w:kern w:val="0"/>
                    </w:rPr>
                    <w:t>废物类别</w:t>
                  </w:r>
                </w:p>
              </w:tc>
              <w:tc>
                <w:tcPr>
                  <w:tcW w:w="756" w:type="pct"/>
                  <w:vAlign w:val="center"/>
                </w:tcPr>
                <w:p w14:paraId="12641CFB">
                  <w:pPr>
                    <w:adjustRightInd w:val="0"/>
                    <w:snapToGrid w:val="0"/>
                    <w:jc w:val="center"/>
                    <w:rPr>
                      <w:b/>
                      <w:bCs/>
                      <w:color w:val="auto"/>
                      <w:kern w:val="0"/>
                    </w:rPr>
                  </w:pPr>
                  <w:r>
                    <w:rPr>
                      <w:b/>
                      <w:bCs/>
                      <w:color w:val="auto"/>
                      <w:kern w:val="0"/>
                    </w:rPr>
                    <w:t>废物代码</w:t>
                  </w:r>
                </w:p>
              </w:tc>
              <w:tc>
                <w:tcPr>
                  <w:tcW w:w="545" w:type="pct"/>
                  <w:vAlign w:val="center"/>
                </w:tcPr>
                <w:p w14:paraId="0EB75F9B">
                  <w:pPr>
                    <w:adjustRightInd w:val="0"/>
                    <w:snapToGrid w:val="0"/>
                    <w:jc w:val="center"/>
                    <w:rPr>
                      <w:b/>
                      <w:bCs/>
                      <w:color w:val="auto"/>
                      <w:kern w:val="0"/>
                    </w:rPr>
                  </w:pPr>
                  <w:r>
                    <w:rPr>
                      <w:b/>
                      <w:bCs/>
                      <w:color w:val="auto"/>
                      <w:kern w:val="0"/>
                    </w:rPr>
                    <w:t>估算产生量t/a</w:t>
                  </w:r>
                </w:p>
              </w:tc>
            </w:tr>
            <w:tr w14:paraId="04E4A02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27" w:hRule="atLeast"/>
                <w:jc w:val="center"/>
              </w:trPr>
              <w:tc>
                <w:tcPr>
                  <w:tcW w:w="650" w:type="pct"/>
                  <w:vAlign w:val="center"/>
                </w:tcPr>
                <w:p w14:paraId="1E3B9889">
                  <w:pPr>
                    <w:pStyle w:val="5"/>
                    <w:adjustRightInd w:val="0"/>
                    <w:snapToGrid w:val="0"/>
                    <w:ind w:firstLine="0" w:firstLineChars="0"/>
                    <w:jc w:val="center"/>
                    <w:rPr>
                      <w:rFonts w:hint="eastAsia"/>
                      <w:bCs/>
                      <w:color w:val="auto"/>
                      <w:kern w:val="0"/>
                      <w:szCs w:val="21"/>
                    </w:rPr>
                  </w:pPr>
                  <w:r>
                    <w:rPr>
                      <w:rFonts w:hint="eastAsia"/>
                      <w:bCs/>
                      <w:color w:val="auto"/>
                      <w:kern w:val="0"/>
                      <w:szCs w:val="21"/>
                      <w:lang w:val="en-US" w:eastAsia="zh-CN"/>
                    </w:rPr>
                    <w:t>废金属屑</w:t>
                  </w:r>
                </w:p>
              </w:tc>
              <w:tc>
                <w:tcPr>
                  <w:tcW w:w="389" w:type="pct"/>
                  <w:vMerge w:val="restart"/>
                  <w:vAlign w:val="center"/>
                </w:tcPr>
                <w:p w14:paraId="5733865A">
                  <w:pPr>
                    <w:adjustRightInd w:val="0"/>
                    <w:snapToGrid w:val="0"/>
                    <w:jc w:val="center"/>
                    <w:rPr>
                      <w:rFonts w:hint="eastAsia"/>
                      <w:color w:val="auto"/>
                      <w:kern w:val="0"/>
                    </w:rPr>
                  </w:pPr>
                  <w:r>
                    <w:rPr>
                      <w:rFonts w:hint="eastAsia"/>
                      <w:color w:val="auto"/>
                      <w:kern w:val="0"/>
                    </w:rPr>
                    <w:t>一般固废</w:t>
                  </w:r>
                </w:p>
              </w:tc>
              <w:tc>
                <w:tcPr>
                  <w:tcW w:w="550" w:type="pct"/>
                  <w:vAlign w:val="center"/>
                </w:tcPr>
                <w:p w14:paraId="7BE04302">
                  <w:pPr>
                    <w:widowControl/>
                    <w:adjustRightInd w:val="0"/>
                    <w:snapToGrid w:val="0"/>
                    <w:jc w:val="center"/>
                    <w:textAlignment w:val="center"/>
                    <w:rPr>
                      <w:rFonts w:hint="eastAsia"/>
                      <w:color w:val="auto"/>
                      <w:kern w:val="0"/>
                    </w:rPr>
                  </w:pPr>
                  <w:r>
                    <w:rPr>
                      <w:rFonts w:hint="eastAsia"/>
                      <w:color w:val="auto"/>
                      <w:kern w:val="0"/>
                      <w:lang w:val="en-US" w:eastAsia="zh-CN"/>
                    </w:rPr>
                    <w:t>铣床加工</w:t>
                  </w:r>
                </w:p>
              </w:tc>
              <w:tc>
                <w:tcPr>
                  <w:tcW w:w="421" w:type="pct"/>
                  <w:vAlign w:val="center"/>
                </w:tcPr>
                <w:p w14:paraId="236A21F3">
                  <w:pPr>
                    <w:pStyle w:val="5"/>
                    <w:adjustRightInd w:val="0"/>
                    <w:snapToGrid w:val="0"/>
                    <w:ind w:firstLine="0" w:firstLineChars="0"/>
                    <w:jc w:val="center"/>
                    <w:rPr>
                      <w:color w:val="auto"/>
                      <w:kern w:val="0"/>
                      <w:szCs w:val="21"/>
                    </w:rPr>
                  </w:pPr>
                  <w:r>
                    <w:rPr>
                      <w:color w:val="auto"/>
                      <w:kern w:val="0"/>
                      <w:szCs w:val="21"/>
                    </w:rPr>
                    <w:t>固</w:t>
                  </w:r>
                </w:p>
              </w:tc>
              <w:tc>
                <w:tcPr>
                  <w:tcW w:w="762" w:type="pct"/>
                  <w:vAlign w:val="center"/>
                </w:tcPr>
                <w:p w14:paraId="01639C7A">
                  <w:pPr>
                    <w:widowControl/>
                    <w:adjustRightInd w:val="0"/>
                    <w:snapToGrid w:val="0"/>
                    <w:jc w:val="center"/>
                    <w:textAlignment w:val="center"/>
                    <w:rPr>
                      <w:rFonts w:hint="eastAsia"/>
                      <w:color w:val="auto"/>
                      <w:kern w:val="0"/>
                      <w:lang w:bidi="ar"/>
                    </w:rPr>
                  </w:pPr>
                  <w:r>
                    <w:rPr>
                      <w:rFonts w:hint="eastAsia"/>
                      <w:color w:val="auto"/>
                      <w:kern w:val="0"/>
                      <w:lang w:val="en-US" w:eastAsia="zh-CN" w:bidi="ar"/>
                    </w:rPr>
                    <w:t>金属件</w:t>
                  </w:r>
                </w:p>
              </w:tc>
              <w:tc>
                <w:tcPr>
                  <w:tcW w:w="457" w:type="pct"/>
                  <w:vAlign w:val="center"/>
                </w:tcPr>
                <w:p w14:paraId="5FAFD35F">
                  <w:pPr>
                    <w:jc w:val="center"/>
                    <w:rPr>
                      <w:rFonts w:hint="default" w:eastAsia="宋体"/>
                      <w:color w:val="auto"/>
                      <w:kern w:val="0"/>
                      <w:lang w:val="en-US" w:eastAsia="zh-CN"/>
                    </w:rPr>
                  </w:pPr>
                  <w:r>
                    <w:rPr>
                      <w:rFonts w:hint="eastAsia"/>
                      <w:color w:val="auto"/>
                      <w:kern w:val="0"/>
                      <w:lang w:val="en-US" w:eastAsia="zh-CN"/>
                    </w:rPr>
                    <w:t>--</w:t>
                  </w:r>
                </w:p>
              </w:tc>
              <w:tc>
                <w:tcPr>
                  <w:tcW w:w="465" w:type="pct"/>
                  <w:shd w:val="clear" w:color="auto" w:fill="auto"/>
                  <w:vAlign w:val="center"/>
                </w:tcPr>
                <w:p w14:paraId="46283EFB">
                  <w:pPr>
                    <w:jc w:val="center"/>
                    <w:rPr>
                      <w:rFonts w:hint="eastAsia" w:ascii="Times New Roman" w:hAnsi="Times New Roman" w:eastAsia="宋体" w:cs="Times New Roman"/>
                      <w:snapToGrid w:val="0"/>
                      <w:color w:val="auto"/>
                      <w:kern w:val="0"/>
                      <w:sz w:val="21"/>
                      <w:szCs w:val="21"/>
                      <w:lang w:val="en-US" w:eastAsia="zh-CN" w:bidi="ar-SA"/>
                    </w:rPr>
                  </w:pPr>
                  <w:r>
                    <w:rPr>
                      <w:rFonts w:hint="eastAsia"/>
                      <w:color w:val="auto"/>
                      <w:kern w:val="0"/>
                      <w:lang w:val="en-US" w:eastAsia="zh-CN"/>
                    </w:rPr>
                    <w:t>SW17</w:t>
                  </w:r>
                </w:p>
              </w:tc>
              <w:tc>
                <w:tcPr>
                  <w:tcW w:w="756" w:type="pct"/>
                  <w:shd w:val="clear" w:color="auto" w:fill="auto"/>
                  <w:vAlign w:val="center"/>
                </w:tcPr>
                <w:p w14:paraId="3E632ECB">
                  <w:pPr>
                    <w:jc w:val="center"/>
                    <w:rPr>
                      <w:rFonts w:hint="eastAsia" w:ascii="Times New Roman" w:hAnsi="Times New Roman" w:eastAsia="宋体" w:cs="Times New Roman"/>
                      <w:snapToGrid w:val="0"/>
                      <w:color w:val="auto"/>
                      <w:kern w:val="0"/>
                      <w:sz w:val="21"/>
                      <w:szCs w:val="21"/>
                      <w:lang w:val="en-US" w:eastAsia="zh-CN" w:bidi="ar-SA"/>
                    </w:rPr>
                  </w:pPr>
                  <w:r>
                    <w:rPr>
                      <w:rFonts w:hint="eastAsia"/>
                      <w:color w:val="auto"/>
                      <w:kern w:val="0"/>
                      <w:lang w:val="en-US" w:eastAsia="zh-CN"/>
                    </w:rPr>
                    <w:t>900-099-S59</w:t>
                  </w:r>
                </w:p>
              </w:tc>
              <w:tc>
                <w:tcPr>
                  <w:tcW w:w="545" w:type="pct"/>
                  <w:vAlign w:val="center"/>
                </w:tcPr>
                <w:p w14:paraId="001805F0">
                  <w:pPr>
                    <w:pStyle w:val="5"/>
                    <w:adjustRightInd w:val="0"/>
                    <w:snapToGrid w:val="0"/>
                    <w:ind w:firstLine="0" w:firstLineChars="0"/>
                    <w:jc w:val="center"/>
                    <w:rPr>
                      <w:rFonts w:hint="eastAsia"/>
                      <w:color w:val="auto"/>
                      <w:kern w:val="0"/>
                      <w:szCs w:val="21"/>
                      <w:lang w:val="en-US" w:eastAsia="zh-CN"/>
                    </w:rPr>
                  </w:pPr>
                  <w:r>
                    <w:rPr>
                      <w:rFonts w:hint="eastAsia"/>
                      <w:color w:val="auto"/>
                      <w:kern w:val="0"/>
                      <w:szCs w:val="21"/>
                      <w:lang w:val="en-US" w:eastAsia="zh-CN"/>
                    </w:rPr>
                    <w:t>2</w:t>
                  </w:r>
                </w:p>
              </w:tc>
            </w:tr>
            <w:tr w14:paraId="15E085AF">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27" w:hRule="atLeast"/>
                <w:jc w:val="center"/>
              </w:trPr>
              <w:tc>
                <w:tcPr>
                  <w:tcW w:w="650" w:type="pct"/>
                  <w:vAlign w:val="center"/>
                </w:tcPr>
                <w:p w14:paraId="20B8541E">
                  <w:pPr>
                    <w:pStyle w:val="5"/>
                    <w:adjustRightInd w:val="0"/>
                    <w:snapToGrid w:val="0"/>
                    <w:ind w:firstLine="0" w:firstLineChars="0"/>
                    <w:jc w:val="center"/>
                    <w:rPr>
                      <w:color w:val="auto"/>
                      <w:kern w:val="0"/>
                      <w:szCs w:val="21"/>
                    </w:rPr>
                  </w:pPr>
                  <w:r>
                    <w:rPr>
                      <w:rFonts w:hint="eastAsia"/>
                      <w:bCs/>
                      <w:color w:val="auto"/>
                      <w:kern w:val="0"/>
                      <w:szCs w:val="21"/>
                      <w:lang w:val="en-US" w:eastAsia="zh-CN"/>
                    </w:rPr>
                    <w:t>一般废包材</w:t>
                  </w:r>
                </w:p>
              </w:tc>
              <w:tc>
                <w:tcPr>
                  <w:tcW w:w="389" w:type="pct"/>
                  <w:vMerge w:val="continue"/>
                  <w:vAlign w:val="center"/>
                </w:tcPr>
                <w:p w14:paraId="5B25057E">
                  <w:pPr>
                    <w:adjustRightInd w:val="0"/>
                    <w:snapToGrid w:val="0"/>
                    <w:jc w:val="center"/>
                    <w:rPr>
                      <w:color w:val="auto"/>
                      <w:kern w:val="0"/>
                    </w:rPr>
                  </w:pPr>
                </w:p>
              </w:tc>
              <w:tc>
                <w:tcPr>
                  <w:tcW w:w="550" w:type="pct"/>
                  <w:vAlign w:val="center"/>
                </w:tcPr>
                <w:p w14:paraId="442AE724">
                  <w:pPr>
                    <w:widowControl/>
                    <w:adjustRightInd w:val="0"/>
                    <w:snapToGrid w:val="0"/>
                    <w:jc w:val="center"/>
                    <w:textAlignment w:val="center"/>
                    <w:rPr>
                      <w:color w:val="auto"/>
                      <w:kern w:val="0"/>
                      <w:lang w:bidi="ar"/>
                    </w:rPr>
                  </w:pPr>
                  <w:r>
                    <w:rPr>
                      <w:rFonts w:hint="eastAsia"/>
                      <w:color w:val="auto"/>
                      <w:kern w:val="0"/>
                    </w:rPr>
                    <w:t>原料拆包</w:t>
                  </w:r>
                </w:p>
              </w:tc>
              <w:tc>
                <w:tcPr>
                  <w:tcW w:w="421" w:type="pct"/>
                  <w:vAlign w:val="center"/>
                </w:tcPr>
                <w:p w14:paraId="14972F3B">
                  <w:pPr>
                    <w:pStyle w:val="5"/>
                    <w:adjustRightInd w:val="0"/>
                    <w:snapToGrid w:val="0"/>
                    <w:ind w:firstLine="0" w:firstLineChars="0"/>
                    <w:jc w:val="center"/>
                    <w:rPr>
                      <w:color w:val="auto"/>
                      <w:kern w:val="0"/>
                      <w:szCs w:val="21"/>
                    </w:rPr>
                  </w:pPr>
                  <w:r>
                    <w:rPr>
                      <w:color w:val="auto"/>
                      <w:kern w:val="0"/>
                      <w:szCs w:val="21"/>
                    </w:rPr>
                    <w:t>固</w:t>
                  </w:r>
                </w:p>
              </w:tc>
              <w:tc>
                <w:tcPr>
                  <w:tcW w:w="762" w:type="pct"/>
                  <w:vAlign w:val="center"/>
                </w:tcPr>
                <w:p w14:paraId="04C9E475">
                  <w:pPr>
                    <w:widowControl/>
                    <w:adjustRightInd w:val="0"/>
                    <w:snapToGrid w:val="0"/>
                    <w:jc w:val="center"/>
                    <w:textAlignment w:val="center"/>
                    <w:rPr>
                      <w:color w:val="auto"/>
                      <w:kern w:val="0"/>
                    </w:rPr>
                  </w:pPr>
                  <w:r>
                    <w:rPr>
                      <w:rFonts w:hint="eastAsia"/>
                      <w:color w:val="auto"/>
                      <w:kern w:val="0"/>
                      <w:lang w:bidi="ar"/>
                    </w:rPr>
                    <w:t>废</w:t>
                  </w:r>
                  <w:r>
                    <w:rPr>
                      <w:rFonts w:hint="eastAsia"/>
                      <w:color w:val="auto"/>
                      <w:kern w:val="0"/>
                      <w:lang w:val="en-US" w:eastAsia="zh-CN" w:bidi="ar"/>
                    </w:rPr>
                    <w:t>包装袋</w:t>
                  </w:r>
                  <w:r>
                    <w:rPr>
                      <w:rFonts w:hint="eastAsia"/>
                      <w:color w:val="auto"/>
                      <w:kern w:val="0"/>
                      <w:lang w:bidi="ar"/>
                    </w:rPr>
                    <w:t>等</w:t>
                  </w:r>
                </w:p>
              </w:tc>
              <w:tc>
                <w:tcPr>
                  <w:tcW w:w="457" w:type="pct"/>
                  <w:vAlign w:val="center"/>
                </w:tcPr>
                <w:p w14:paraId="6B7916B0">
                  <w:pPr>
                    <w:jc w:val="center"/>
                    <w:rPr>
                      <w:color w:val="auto"/>
                      <w:kern w:val="0"/>
                    </w:rPr>
                  </w:pPr>
                  <w:r>
                    <w:rPr>
                      <w:rFonts w:hint="eastAsia"/>
                      <w:color w:val="auto"/>
                      <w:kern w:val="0"/>
                    </w:rPr>
                    <w:t>--</w:t>
                  </w:r>
                </w:p>
              </w:tc>
              <w:tc>
                <w:tcPr>
                  <w:tcW w:w="465" w:type="pct"/>
                  <w:vAlign w:val="center"/>
                </w:tcPr>
                <w:p w14:paraId="29B2C73D">
                  <w:pPr>
                    <w:jc w:val="center"/>
                    <w:rPr>
                      <w:rFonts w:hint="default" w:eastAsia="宋体"/>
                      <w:color w:val="auto"/>
                      <w:kern w:val="0"/>
                      <w:lang w:val="en-US" w:eastAsia="zh-CN"/>
                    </w:rPr>
                  </w:pPr>
                  <w:r>
                    <w:rPr>
                      <w:rFonts w:hint="eastAsia"/>
                      <w:color w:val="auto"/>
                      <w:kern w:val="0"/>
                    </w:rPr>
                    <w:t>SW</w:t>
                  </w:r>
                  <w:r>
                    <w:rPr>
                      <w:rFonts w:hint="eastAsia"/>
                      <w:color w:val="auto"/>
                      <w:kern w:val="0"/>
                      <w:lang w:val="en-US" w:eastAsia="zh-CN"/>
                    </w:rPr>
                    <w:t>17</w:t>
                  </w:r>
                </w:p>
              </w:tc>
              <w:tc>
                <w:tcPr>
                  <w:tcW w:w="756" w:type="pct"/>
                  <w:vAlign w:val="center"/>
                </w:tcPr>
                <w:p w14:paraId="233E5ED3">
                  <w:pPr>
                    <w:jc w:val="center"/>
                    <w:rPr>
                      <w:rFonts w:hint="default" w:eastAsia="宋体"/>
                      <w:color w:val="auto"/>
                      <w:kern w:val="0"/>
                      <w:lang w:val="en-US" w:eastAsia="zh-CN"/>
                    </w:rPr>
                  </w:pPr>
                  <w:r>
                    <w:rPr>
                      <w:rFonts w:hint="eastAsia"/>
                      <w:color w:val="auto"/>
                      <w:kern w:val="0"/>
                    </w:rPr>
                    <w:t>900-00</w:t>
                  </w:r>
                  <w:r>
                    <w:rPr>
                      <w:rFonts w:hint="eastAsia"/>
                      <w:color w:val="auto"/>
                      <w:kern w:val="0"/>
                      <w:lang w:val="en-US" w:eastAsia="zh-CN"/>
                    </w:rPr>
                    <w:t>5-S17</w:t>
                  </w:r>
                </w:p>
              </w:tc>
              <w:tc>
                <w:tcPr>
                  <w:tcW w:w="545" w:type="pct"/>
                  <w:vAlign w:val="center"/>
                </w:tcPr>
                <w:p w14:paraId="6137AA24">
                  <w:pPr>
                    <w:pStyle w:val="5"/>
                    <w:adjustRightInd w:val="0"/>
                    <w:snapToGrid w:val="0"/>
                    <w:ind w:firstLine="0" w:firstLineChars="0"/>
                    <w:jc w:val="center"/>
                    <w:rPr>
                      <w:color w:val="auto"/>
                      <w:kern w:val="0"/>
                      <w:szCs w:val="21"/>
                    </w:rPr>
                  </w:pPr>
                  <w:r>
                    <w:rPr>
                      <w:rFonts w:hint="eastAsia"/>
                      <w:color w:val="auto"/>
                      <w:kern w:val="0"/>
                      <w:szCs w:val="21"/>
                      <w:lang w:val="en-US" w:eastAsia="zh-CN"/>
                    </w:rPr>
                    <w:t>1</w:t>
                  </w:r>
                </w:p>
              </w:tc>
            </w:tr>
            <w:tr w14:paraId="3370E5A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27" w:hRule="atLeast"/>
                <w:jc w:val="center"/>
              </w:trPr>
              <w:tc>
                <w:tcPr>
                  <w:tcW w:w="650" w:type="pct"/>
                  <w:vAlign w:val="center"/>
                </w:tcPr>
                <w:p w14:paraId="68D697DF">
                  <w:pPr>
                    <w:pStyle w:val="5"/>
                    <w:adjustRightInd w:val="0"/>
                    <w:snapToGrid w:val="0"/>
                    <w:ind w:firstLine="0" w:firstLineChars="0"/>
                    <w:jc w:val="center"/>
                    <w:rPr>
                      <w:rFonts w:hint="eastAsia" w:eastAsia="宋体"/>
                      <w:color w:val="auto"/>
                      <w:kern w:val="0"/>
                      <w:szCs w:val="21"/>
                      <w:lang w:eastAsia="zh-CN"/>
                    </w:rPr>
                  </w:pPr>
                  <w:r>
                    <w:rPr>
                      <w:rFonts w:hint="eastAsia"/>
                      <w:bCs/>
                      <w:color w:val="auto"/>
                      <w:kern w:val="0"/>
                      <w:szCs w:val="21"/>
                      <w:lang w:val="en-US" w:eastAsia="zh-CN"/>
                    </w:rPr>
                    <w:t>废切削液</w:t>
                  </w:r>
                </w:p>
              </w:tc>
              <w:tc>
                <w:tcPr>
                  <w:tcW w:w="389" w:type="pct"/>
                  <w:vMerge w:val="restart"/>
                  <w:vAlign w:val="center"/>
                </w:tcPr>
                <w:p w14:paraId="5FC7EB76">
                  <w:pPr>
                    <w:adjustRightInd w:val="0"/>
                    <w:snapToGrid w:val="0"/>
                    <w:jc w:val="center"/>
                    <w:rPr>
                      <w:color w:val="auto"/>
                      <w:kern w:val="0"/>
                    </w:rPr>
                  </w:pPr>
                  <w:r>
                    <w:rPr>
                      <w:color w:val="auto"/>
                      <w:kern w:val="0"/>
                    </w:rPr>
                    <w:t>危险废物</w:t>
                  </w:r>
                </w:p>
              </w:tc>
              <w:tc>
                <w:tcPr>
                  <w:tcW w:w="550" w:type="pct"/>
                  <w:vAlign w:val="center"/>
                </w:tcPr>
                <w:p w14:paraId="4F8F09A6">
                  <w:pPr>
                    <w:widowControl/>
                    <w:adjustRightInd w:val="0"/>
                    <w:snapToGrid w:val="0"/>
                    <w:jc w:val="center"/>
                    <w:textAlignment w:val="center"/>
                    <w:rPr>
                      <w:color w:val="auto"/>
                      <w:kern w:val="0"/>
                    </w:rPr>
                  </w:pPr>
                  <w:r>
                    <w:rPr>
                      <w:rFonts w:hint="eastAsia"/>
                      <w:color w:val="auto"/>
                      <w:kern w:val="0"/>
                      <w:lang w:val="en-US" w:eastAsia="zh-CN"/>
                    </w:rPr>
                    <w:t>铣床加工</w:t>
                  </w:r>
                </w:p>
              </w:tc>
              <w:tc>
                <w:tcPr>
                  <w:tcW w:w="421" w:type="pct"/>
                  <w:vAlign w:val="center"/>
                </w:tcPr>
                <w:p w14:paraId="1E8A4130">
                  <w:pPr>
                    <w:pStyle w:val="5"/>
                    <w:adjustRightInd w:val="0"/>
                    <w:snapToGrid w:val="0"/>
                    <w:ind w:firstLine="0" w:firstLineChars="0"/>
                    <w:jc w:val="center"/>
                    <w:rPr>
                      <w:color w:val="auto"/>
                      <w:kern w:val="0"/>
                      <w:szCs w:val="21"/>
                    </w:rPr>
                  </w:pPr>
                  <w:r>
                    <w:rPr>
                      <w:rFonts w:hint="eastAsia"/>
                      <w:color w:val="auto"/>
                      <w:kern w:val="0"/>
                      <w:szCs w:val="21"/>
                      <w:lang w:val="en-US" w:eastAsia="zh-CN"/>
                    </w:rPr>
                    <w:t>液</w:t>
                  </w:r>
                </w:p>
              </w:tc>
              <w:tc>
                <w:tcPr>
                  <w:tcW w:w="762" w:type="pct"/>
                  <w:vAlign w:val="center"/>
                </w:tcPr>
                <w:p w14:paraId="70CAFC2D">
                  <w:pPr>
                    <w:widowControl/>
                    <w:adjustRightInd w:val="0"/>
                    <w:snapToGrid w:val="0"/>
                    <w:jc w:val="center"/>
                    <w:textAlignment w:val="center"/>
                    <w:rPr>
                      <w:color w:val="auto"/>
                      <w:kern w:val="0"/>
                    </w:rPr>
                  </w:pPr>
                  <w:r>
                    <w:rPr>
                      <w:rFonts w:hint="eastAsia"/>
                      <w:color w:val="auto"/>
                      <w:kern w:val="0"/>
                      <w:lang w:val="en-US" w:eastAsia="zh-CN" w:bidi="ar"/>
                    </w:rPr>
                    <w:t>切削液、水</w:t>
                  </w:r>
                </w:p>
              </w:tc>
              <w:tc>
                <w:tcPr>
                  <w:tcW w:w="457" w:type="pct"/>
                  <w:vAlign w:val="center"/>
                </w:tcPr>
                <w:p w14:paraId="3299C71E">
                  <w:pPr>
                    <w:jc w:val="center"/>
                    <w:rPr>
                      <w:color w:val="auto"/>
                      <w:kern w:val="0"/>
                      <w:szCs w:val="21"/>
                    </w:rPr>
                  </w:pPr>
                  <w:r>
                    <w:rPr>
                      <w:rFonts w:hint="eastAsia"/>
                      <w:color w:val="auto"/>
                      <w:highlight w:val="none"/>
                    </w:rPr>
                    <w:t>T</w:t>
                  </w:r>
                </w:p>
              </w:tc>
              <w:tc>
                <w:tcPr>
                  <w:tcW w:w="465" w:type="pct"/>
                  <w:vAlign w:val="center"/>
                </w:tcPr>
                <w:p w14:paraId="36CFED55">
                  <w:pPr>
                    <w:jc w:val="center"/>
                    <w:rPr>
                      <w:color w:val="auto"/>
                      <w:kern w:val="0"/>
                    </w:rPr>
                  </w:pPr>
                  <w:r>
                    <w:rPr>
                      <w:rFonts w:hint="eastAsia"/>
                      <w:color w:val="auto"/>
                      <w:highlight w:val="none"/>
                    </w:rPr>
                    <w:t>HW09</w:t>
                  </w:r>
                </w:p>
              </w:tc>
              <w:tc>
                <w:tcPr>
                  <w:tcW w:w="756" w:type="pct"/>
                  <w:vAlign w:val="center"/>
                </w:tcPr>
                <w:p w14:paraId="17FDE444">
                  <w:pPr>
                    <w:jc w:val="center"/>
                    <w:rPr>
                      <w:color w:val="auto"/>
                      <w:kern w:val="0"/>
                    </w:rPr>
                  </w:pPr>
                  <w:r>
                    <w:rPr>
                      <w:color w:val="auto"/>
                      <w:highlight w:val="none"/>
                    </w:rPr>
                    <w:t>900-</w:t>
                  </w:r>
                  <w:r>
                    <w:rPr>
                      <w:rFonts w:hint="eastAsia"/>
                      <w:color w:val="auto"/>
                      <w:highlight w:val="none"/>
                    </w:rPr>
                    <w:t>006-09</w:t>
                  </w:r>
                </w:p>
              </w:tc>
              <w:tc>
                <w:tcPr>
                  <w:tcW w:w="545" w:type="pct"/>
                  <w:vAlign w:val="center"/>
                </w:tcPr>
                <w:p w14:paraId="3F665A4B">
                  <w:pPr>
                    <w:pStyle w:val="5"/>
                    <w:adjustRightInd w:val="0"/>
                    <w:snapToGrid w:val="0"/>
                    <w:ind w:firstLine="0" w:firstLineChars="0"/>
                    <w:jc w:val="center"/>
                    <w:rPr>
                      <w:rFonts w:hint="default" w:eastAsia="宋体"/>
                      <w:color w:val="auto"/>
                      <w:kern w:val="0"/>
                      <w:szCs w:val="21"/>
                      <w:lang w:val="en-US" w:eastAsia="zh-CN"/>
                    </w:rPr>
                  </w:pPr>
                  <w:r>
                    <w:rPr>
                      <w:rFonts w:hint="eastAsia"/>
                      <w:color w:val="auto"/>
                      <w:kern w:val="0"/>
                      <w:szCs w:val="21"/>
                      <w:lang w:val="en-US" w:eastAsia="zh-CN"/>
                    </w:rPr>
                    <w:t>0.88</w:t>
                  </w:r>
                </w:p>
              </w:tc>
            </w:tr>
            <w:tr w14:paraId="4909027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27" w:hRule="atLeast"/>
                <w:jc w:val="center"/>
              </w:trPr>
              <w:tc>
                <w:tcPr>
                  <w:tcW w:w="650" w:type="pct"/>
                  <w:vAlign w:val="center"/>
                </w:tcPr>
                <w:p w14:paraId="760F620A">
                  <w:pPr>
                    <w:pStyle w:val="5"/>
                    <w:adjustRightInd w:val="0"/>
                    <w:snapToGrid w:val="0"/>
                    <w:ind w:firstLine="0" w:firstLineChars="0"/>
                    <w:jc w:val="center"/>
                    <w:rPr>
                      <w:color w:val="auto"/>
                      <w:kern w:val="0"/>
                      <w:szCs w:val="21"/>
                    </w:rPr>
                  </w:pPr>
                  <w:r>
                    <w:rPr>
                      <w:rFonts w:hint="eastAsia"/>
                      <w:bCs/>
                      <w:color w:val="auto"/>
                      <w:kern w:val="0"/>
                      <w:szCs w:val="21"/>
                      <w:lang w:val="en-US" w:eastAsia="zh-CN"/>
                    </w:rPr>
                    <w:t>清洗废液</w:t>
                  </w:r>
                </w:p>
              </w:tc>
              <w:tc>
                <w:tcPr>
                  <w:tcW w:w="389" w:type="pct"/>
                  <w:vMerge w:val="continue"/>
                  <w:vAlign w:val="center"/>
                </w:tcPr>
                <w:p w14:paraId="26EE1D60">
                  <w:pPr>
                    <w:adjustRightInd w:val="0"/>
                    <w:snapToGrid w:val="0"/>
                    <w:jc w:val="center"/>
                    <w:rPr>
                      <w:color w:val="auto"/>
                      <w:kern w:val="0"/>
                    </w:rPr>
                  </w:pPr>
                </w:p>
              </w:tc>
              <w:tc>
                <w:tcPr>
                  <w:tcW w:w="550" w:type="pct"/>
                  <w:vAlign w:val="center"/>
                </w:tcPr>
                <w:p w14:paraId="13AA087D">
                  <w:pPr>
                    <w:widowControl/>
                    <w:adjustRightInd w:val="0"/>
                    <w:snapToGrid w:val="0"/>
                    <w:jc w:val="center"/>
                    <w:textAlignment w:val="center"/>
                    <w:rPr>
                      <w:color w:val="auto"/>
                      <w:kern w:val="0"/>
                      <w:lang w:bidi="ar"/>
                    </w:rPr>
                  </w:pPr>
                  <w:r>
                    <w:rPr>
                      <w:rFonts w:hint="eastAsia"/>
                      <w:color w:val="auto"/>
                      <w:kern w:val="0"/>
                      <w:lang w:val="en-US" w:eastAsia="zh-CN"/>
                    </w:rPr>
                    <w:t>高温清洗</w:t>
                  </w:r>
                </w:p>
              </w:tc>
              <w:tc>
                <w:tcPr>
                  <w:tcW w:w="421" w:type="pct"/>
                  <w:vAlign w:val="center"/>
                </w:tcPr>
                <w:p w14:paraId="53C850E9">
                  <w:pPr>
                    <w:adjustRightInd w:val="0"/>
                    <w:snapToGrid w:val="0"/>
                    <w:jc w:val="center"/>
                    <w:rPr>
                      <w:color w:val="auto"/>
                      <w:kern w:val="0"/>
                    </w:rPr>
                  </w:pPr>
                  <w:r>
                    <w:rPr>
                      <w:rFonts w:hint="eastAsia"/>
                      <w:color w:val="auto"/>
                      <w:kern w:val="0"/>
                      <w:lang w:val="en-US" w:eastAsia="zh-CN"/>
                    </w:rPr>
                    <w:t>液</w:t>
                  </w:r>
                </w:p>
              </w:tc>
              <w:tc>
                <w:tcPr>
                  <w:tcW w:w="762" w:type="pct"/>
                  <w:vAlign w:val="center"/>
                </w:tcPr>
                <w:p w14:paraId="1488EBF4">
                  <w:pPr>
                    <w:widowControl/>
                    <w:adjustRightInd w:val="0"/>
                    <w:snapToGrid w:val="0"/>
                    <w:jc w:val="center"/>
                    <w:textAlignment w:val="center"/>
                    <w:rPr>
                      <w:color w:val="auto"/>
                      <w:kern w:val="0"/>
                    </w:rPr>
                  </w:pPr>
                  <w:r>
                    <w:rPr>
                      <w:rFonts w:hint="eastAsia"/>
                      <w:color w:val="auto"/>
                      <w:kern w:val="0"/>
                      <w:lang w:val="en-US" w:eastAsia="zh-CN" w:bidi="ar"/>
                    </w:rPr>
                    <w:t>切削液、水</w:t>
                  </w:r>
                </w:p>
              </w:tc>
              <w:tc>
                <w:tcPr>
                  <w:tcW w:w="457" w:type="pct"/>
                  <w:vAlign w:val="center"/>
                </w:tcPr>
                <w:p w14:paraId="121805D7">
                  <w:pPr>
                    <w:jc w:val="center"/>
                    <w:rPr>
                      <w:rFonts w:hint="eastAsia" w:eastAsia="宋体"/>
                      <w:color w:val="auto"/>
                      <w:kern w:val="0"/>
                      <w:lang w:val="en-US" w:eastAsia="zh-CN"/>
                    </w:rPr>
                  </w:pPr>
                  <w:r>
                    <w:rPr>
                      <w:rFonts w:hint="eastAsia"/>
                      <w:color w:val="auto"/>
                      <w:kern w:val="0"/>
                      <w:lang w:val="en-US" w:eastAsia="zh-CN"/>
                    </w:rPr>
                    <w:t>T</w:t>
                  </w:r>
                </w:p>
              </w:tc>
              <w:tc>
                <w:tcPr>
                  <w:tcW w:w="465" w:type="pct"/>
                  <w:vAlign w:val="center"/>
                </w:tcPr>
                <w:p w14:paraId="12C31456">
                  <w:pPr>
                    <w:jc w:val="center"/>
                    <w:rPr>
                      <w:rFonts w:hint="default" w:eastAsia="宋体"/>
                      <w:bCs/>
                      <w:color w:val="auto"/>
                      <w:kern w:val="0"/>
                      <w:lang w:val="en-US" w:eastAsia="zh-CN"/>
                    </w:rPr>
                  </w:pPr>
                  <w:r>
                    <w:rPr>
                      <w:rFonts w:hint="eastAsia"/>
                      <w:bCs/>
                      <w:color w:val="auto"/>
                      <w:kern w:val="0"/>
                      <w:lang w:val="en-US" w:eastAsia="zh-CN"/>
                    </w:rPr>
                    <w:t>HW09</w:t>
                  </w:r>
                </w:p>
              </w:tc>
              <w:tc>
                <w:tcPr>
                  <w:tcW w:w="756" w:type="pct"/>
                  <w:vAlign w:val="center"/>
                </w:tcPr>
                <w:p w14:paraId="6E5E6C05">
                  <w:pPr>
                    <w:jc w:val="center"/>
                    <w:rPr>
                      <w:rFonts w:hint="default" w:eastAsia="宋体"/>
                      <w:bCs/>
                      <w:color w:val="auto"/>
                      <w:kern w:val="0"/>
                      <w:lang w:val="en-US" w:eastAsia="zh-CN"/>
                    </w:rPr>
                  </w:pPr>
                  <w:r>
                    <w:rPr>
                      <w:rFonts w:hint="eastAsia"/>
                      <w:bCs/>
                      <w:color w:val="auto"/>
                      <w:kern w:val="0"/>
                      <w:lang w:val="en-US" w:eastAsia="zh-CN"/>
                    </w:rPr>
                    <w:t>900-007-09</w:t>
                  </w:r>
                </w:p>
              </w:tc>
              <w:tc>
                <w:tcPr>
                  <w:tcW w:w="545" w:type="pct"/>
                  <w:vAlign w:val="center"/>
                </w:tcPr>
                <w:p w14:paraId="7BE276F3">
                  <w:pPr>
                    <w:pStyle w:val="5"/>
                    <w:adjustRightInd w:val="0"/>
                    <w:snapToGrid w:val="0"/>
                    <w:ind w:firstLine="0" w:firstLineChars="0"/>
                    <w:jc w:val="center"/>
                    <w:rPr>
                      <w:rFonts w:hint="default"/>
                      <w:color w:val="auto"/>
                      <w:kern w:val="0"/>
                      <w:szCs w:val="21"/>
                      <w:lang w:val="en-US"/>
                    </w:rPr>
                  </w:pPr>
                  <w:r>
                    <w:rPr>
                      <w:rFonts w:hint="eastAsia"/>
                      <w:color w:val="auto"/>
                      <w:kern w:val="0"/>
                      <w:szCs w:val="21"/>
                      <w:lang w:val="en-US" w:eastAsia="zh-CN"/>
                    </w:rPr>
                    <w:t>1.8</w:t>
                  </w:r>
                </w:p>
              </w:tc>
            </w:tr>
            <w:tr w14:paraId="5F38611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27" w:hRule="atLeast"/>
                <w:jc w:val="center"/>
              </w:trPr>
              <w:tc>
                <w:tcPr>
                  <w:tcW w:w="650" w:type="pct"/>
                  <w:vAlign w:val="center"/>
                </w:tcPr>
                <w:p w14:paraId="3B515D83">
                  <w:pPr>
                    <w:pStyle w:val="5"/>
                    <w:adjustRightInd w:val="0"/>
                    <w:snapToGrid w:val="0"/>
                    <w:ind w:firstLine="0" w:firstLineChars="0"/>
                    <w:jc w:val="center"/>
                    <w:rPr>
                      <w:rFonts w:hint="default" w:eastAsia="宋体"/>
                      <w:bCs/>
                      <w:color w:val="auto"/>
                      <w:kern w:val="0"/>
                      <w:szCs w:val="21"/>
                      <w:lang w:val="en-US" w:eastAsia="zh-CN"/>
                    </w:rPr>
                  </w:pPr>
                  <w:r>
                    <w:rPr>
                      <w:rFonts w:hint="eastAsia"/>
                      <w:bCs/>
                      <w:color w:val="auto"/>
                      <w:kern w:val="0"/>
                      <w:szCs w:val="21"/>
                      <w:lang w:val="en-US" w:eastAsia="zh-CN"/>
                    </w:rPr>
                    <w:t>洗枪废液</w:t>
                  </w:r>
                </w:p>
              </w:tc>
              <w:tc>
                <w:tcPr>
                  <w:tcW w:w="389" w:type="pct"/>
                  <w:vMerge w:val="continue"/>
                  <w:vAlign w:val="center"/>
                </w:tcPr>
                <w:p w14:paraId="1DED4CF1">
                  <w:pPr>
                    <w:adjustRightInd w:val="0"/>
                    <w:snapToGrid w:val="0"/>
                    <w:jc w:val="center"/>
                    <w:rPr>
                      <w:color w:val="auto"/>
                      <w:kern w:val="0"/>
                    </w:rPr>
                  </w:pPr>
                </w:p>
              </w:tc>
              <w:tc>
                <w:tcPr>
                  <w:tcW w:w="550" w:type="pct"/>
                  <w:vAlign w:val="center"/>
                </w:tcPr>
                <w:p w14:paraId="4C503B49">
                  <w:pPr>
                    <w:widowControl/>
                    <w:adjustRightInd w:val="0"/>
                    <w:snapToGrid w:val="0"/>
                    <w:jc w:val="center"/>
                    <w:textAlignment w:val="center"/>
                    <w:rPr>
                      <w:rFonts w:hint="eastAsia"/>
                      <w:color w:val="auto"/>
                      <w:kern w:val="0"/>
                    </w:rPr>
                  </w:pPr>
                  <w:r>
                    <w:rPr>
                      <w:rFonts w:hint="eastAsia"/>
                      <w:color w:val="auto"/>
                      <w:kern w:val="0"/>
                      <w:lang w:val="en-US" w:eastAsia="zh-CN"/>
                    </w:rPr>
                    <w:t>喷枪清洗</w:t>
                  </w:r>
                </w:p>
              </w:tc>
              <w:tc>
                <w:tcPr>
                  <w:tcW w:w="421" w:type="pct"/>
                  <w:vAlign w:val="center"/>
                </w:tcPr>
                <w:p w14:paraId="6E9C647C">
                  <w:pPr>
                    <w:adjustRightInd w:val="0"/>
                    <w:snapToGrid w:val="0"/>
                    <w:jc w:val="center"/>
                    <w:rPr>
                      <w:color w:val="auto"/>
                      <w:kern w:val="0"/>
                    </w:rPr>
                  </w:pPr>
                  <w:r>
                    <w:rPr>
                      <w:rFonts w:hint="eastAsia"/>
                      <w:color w:val="auto"/>
                      <w:kern w:val="0"/>
                      <w:lang w:val="en-US" w:eastAsia="zh-CN"/>
                    </w:rPr>
                    <w:t>液</w:t>
                  </w:r>
                </w:p>
              </w:tc>
              <w:tc>
                <w:tcPr>
                  <w:tcW w:w="762" w:type="pct"/>
                  <w:vAlign w:val="center"/>
                </w:tcPr>
                <w:p w14:paraId="7D170952">
                  <w:pPr>
                    <w:widowControl/>
                    <w:adjustRightInd w:val="0"/>
                    <w:snapToGrid w:val="0"/>
                    <w:jc w:val="center"/>
                    <w:textAlignment w:val="center"/>
                    <w:rPr>
                      <w:rFonts w:hint="eastAsia"/>
                      <w:color w:val="auto"/>
                      <w:kern w:val="0"/>
                      <w:lang w:bidi="ar"/>
                    </w:rPr>
                  </w:pPr>
                  <w:r>
                    <w:rPr>
                      <w:rFonts w:hint="eastAsia"/>
                      <w:color w:val="auto"/>
                      <w:kern w:val="0"/>
                      <w:lang w:val="en-US" w:eastAsia="zh-CN" w:bidi="ar"/>
                    </w:rPr>
                    <w:t>喷枪清洗剂</w:t>
                  </w:r>
                </w:p>
              </w:tc>
              <w:tc>
                <w:tcPr>
                  <w:tcW w:w="457" w:type="pct"/>
                  <w:vAlign w:val="center"/>
                </w:tcPr>
                <w:p w14:paraId="3CBA57C6">
                  <w:pPr>
                    <w:jc w:val="center"/>
                    <w:rPr>
                      <w:rFonts w:hint="default"/>
                      <w:color w:val="auto"/>
                      <w:kern w:val="0"/>
                      <w:lang w:val="en-US" w:eastAsia="zh-CN"/>
                    </w:rPr>
                  </w:pPr>
                  <w:r>
                    <w:rPr>
                      <w:rFonts w:hint="eastAsia"/>
                      <w:color w:val="auto"/>
                      <w:kern w:val="0"/>
                      <w:lang w:val="en-US" w:eastAsia="zh-CN"/>
                    </w:rPr>
                    <w:t>T,I,R</w:t>
                  </w:r>
                </w:p>
              </w:tc>
              <w:tc>
                <w:tcPr>
                  <w:tcW w:w="465" w:type="pct"/>
                  <w:vAlign w:val="center"/>
                </w:tcPr>
                <w:p w14:paraId="42EA6FFE">
                  <w:pPr>
                    <w:jc w:val="center"/>
                    <w:rPr>
                      <w:rFonts w:hint="default" w:eastAsia="宋体"/>
                      <w:color w:val="auto"/>
                      <w:kern w:val="0"/>
                      <w:lang w:val="en-US" w:eastAsia="zh-CN"/>
                    </w:rPr>
                  </w:pPr>
                  <w:r>
                    <w:rPr>
                      <w:rFonts w:hint="eastAsia"/>
                      <w:color w:val="auto"/>
                      <w:kern w:val="0"/>
                      <w:lang w:val="en-US" w:eastAsia="zh-CN"/>
                    </w:rPr>
                    <w:t>HW06</w:t>
                  </w:r>
                </w:p>
              </w:tc>
              <w:tc>
                <w:tcPr>
                  <w:tcW w:w="756" w:type="pct"/>
                  <w:vAlign w:val="center"/>
                </w:tcPr>
                <w:p w14:paraId="477940B7">
                  <w:pPr>
                    <w:jc w:val="center"/>
                    <w:rPr>
                      <w:rFonts w:hint="default" w:eastAsia="宋体"/>
                      <w:color w:val="auto"/>
                      <w:kern w:val="0"/>
                      <w:lang w:val="en-US" w:eastAsia="zh-CN"/>
                    </w:rPr>
                  </w:pPr>
                  <w:r>
                    <w:rPr>
                      <w:rFonts w:hint="eastAsia"/>
                      <w:color w:val="auto"/>
                      <w:kern w:val="0"/>
                      <w:lang w:val="en-US" w:eastAsia="zh-CN"/>
                    </w:rPr>
                    <w:t>900-402-06</w:t>
                  </w:r>
                </w:p>
              </w:tc>
              <w:tc>
                <w:tcPr>
                  <w:tcW w:w="545" w:type="pct"/>
                  <w:vAlign w:val="center"/>
                </w:tcPr>
                <w:p w14:paraId="163A02D5">
                  <w:pPr>
                    <w:pStyle w:val="5"/>
                    <w:adjustRightInd w:val="0"/>
                    <w:snapToGrid w:val="0"/>
                    <w:ind w:firstLine="0" w:firstLineChars="0"/>
                    <w:jc w:val="center"/>
                    <w:rPr>
                      <w:rFonts w:hint="eastAsia"/>
                      <w:color w:val="auto"/>
                      <w:kern w:val="0"/>
                      <w:szCs w:val="21"/>
                    </w:rPr>
                  </w:pPr>
                  <w:r>
                    <w:rPr>
                      <w:rFonts w:hint="eastAsia"/>
                      <w:color w:val="auto"/>
                      <w:kern w:val="0"/>
                      <w:szCs w:val="21"/>
                      <w:lang w:val="en-US" w:eastAsia="zh-CN"/>
                    </w:rPr>
                    <w:t>0.1</w:t>
                  </w:r>
                </w:p>
              </w:tc>
            </w:tr>
            <w:tr w14:paraId="49842D5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27" w:hRule="atLeast"/>
                <w:jc w:val="center"/>
              </w:trPr>
              <w:tc>
                <w:tcPr>
                  <w:tcW w:w="650" w:type="pct"/>
                  <w:vAlign w:val="center"/>
                </w:tcPr>
                <w:p w14:paraId="0DB1121A">
                  <w:pPr>
                    <w:pStyle w:val="5"/>
                    <w:adjustRightInd w:val="0"/>
                    <w:snapToGrid w:val="0"/>
                    <w:ind w:firstLine="0" w:firstLineChars="0"/>
                    <w:jc w:val="center"/>
                    <w:rPr>
                      <w:rFonts w:hint="default"/>
                      <w:bCs/>
                      <w:color w:val="auto"/>
                      <w:kern w:val="0"/>
                      <w:szCs w:val="21"/>
                      <w:lang w:val="en-US" w:eastAsia="zh-CN"/>
                    </w:rPr>
                  </w:pPr>
                  <w:r>
                    <w:rPr>
                      <w:rFonts w:hint="eastAsia"/>
                      <w:bCs/>
                      <w:color w:val="auto"/>
                      <w:kern w:val="0"/>
                      <w:szCs w:val="21"/>
                      <w:lang w:val="en-US" w:eastAsia="zh-CN"/>
                    </w:rPr>
                    <w:t>漆渣</w:t>
                  </w:r>
                </w:p>
              </w:tc>
              <w:tc>
                <w:tcPr>
                  <w:tcW w:w="389" w:type="pct"/>
                  <w:vMerge w:val="continue"/>
                  <w:vAlign w:val="center"/>
                </w:tcPr>
                <w:p w14:paraId="0B21E1A9">
                  <w:pPr>
                    <w:adjustRightInd w:val="0"/>
                    <w:snapToGrid w:val="0"/>
                    <w:jc w:val="center"/>
                    <w:rPr>
                      <w:color w:val="auto"/>
                      <w:kern w:val="0"/>
                    </w:rPr>
                  </w:pPr>
                </w:p>
              </w:tc>
              <w:tc>
                <w:tcPr>
                  <w:tcW w:w="550" w:type="pct"/>
                  <w:vAlign w:val="center"/>
                </w:tcPr>
                <w:p w14:paraId="29BDFB4A">
                  <w:pPr>
                    <w:widowControl/>
                    <w:adjustRightInd w:val="0"/>
                    <w:snapToGrid w:val="0"/>
                    <w:jc w:val="center"/>
                    <w:textAlignment w:val="center"/>
                    <w:rPr>
                      <w:rFonts w:hint="default"/>
                      <w:color w:val="auto"/>
                      <w:kern w:val="0"/>
                      <w:lang w:val="en-US" w:eastAsia="zh-CN"/>
                    </w:rPr>
                  </w:pPr>
                  <w:r>
                    <w:rPr>
                      <w:rFonts w:hint="eastAsia"/>
                      <w:color w:val="auto"/>
                      <w:kern w:val="0"/>
                      <w:lang w:val="en-US" w:eastAsia="zh-CN"/>
                    </w:rPr>
                    <w:t>喷漆</w:t>
                  </w:r>
                </w:p>
              </w:tc>
              <w:tc>
                <w:tcPr>
                  <w:tcW w:w="421" w:type="pct"/>
                  <w:vAlign w:val="center"/>
                </w:tcPr>
                <w:p w14:paraId="40BDDB02">
                  <w:pPr>
                    <w:adjustRightInd w:val="0"/>
                    <w:snapToGrid w:val="0"/>
                    <w:jc w:val="center"/>
                    <w:rPr>
                      <w:rFonts w:hint="default"/>
                      <w:color w:val="auto"/>
                      <w:kern w:val="0"/>
                      <w:lang w:val="en-US" w:eastAsia="zh-CN"/>
                    </w:rPr>
                  </w:pPr>
                  <w:r>
                    <w:rPr>
                      <w:rFonts w:hint="eastAsia"/>
                      <w:color w:val="auto"/>
                      <w:kern w:val="0"/>
                      <w:lang w:val="en-US" w:eastAsia="zh-CN"/>
                    </w:rPr>
                    <w:t>固</w:t>
                  </w:r>
                </w:p>
              </w:tc>
              <w:tc>
                <w:tcPr>
                  <w:tcW w:w="762" w:type="pct"/>
                  <w:vAlign w:val="center"/>
                </w:tcPr>
                <w:p w14:paraId="33E8D8F7">
                  <w:pPr>
                    <w:widowControl/>
                    <w:adjustRightInd w:val="0"/>
                    <w:snapToGrid w:val="0"/>
                    <w:jc w:val="center"/>
                    <w:textAlignment w:val="center"/>
                    <w:rPr>
                      <w:rFonts w:hint="default"/>
                      <w:color w:val="auto"/>
                      <w:kern w:val="0"/>
                      <w:lang w:val="en-US" w:eastAsia="zh-CN" w:bidi="ar"/>
                    </w:rPr>
                  </w:pPr>
                  <w:r>
                    <w:rPr>
                      <w:rFonts w:hint="eastAsia"/>
                      <w:color w:val="auto"/>
                      <w:kern w:val="0"/>
                      <w:lang w:val="en-US" w:eastAsia="zh-CN" w:bidi="ar"/>
                    </w:rPr>
                    <w:t>漆渣</w:t>
                  </w:r>
                </w:p>
              </w:tc>
              <w:tc>
                <w:tcPr>
                  <w:tcW w:w="457" w:type="pct"/>
                  <w:shd w:val="clear" w:color="auto" w:fill="auto"/>
                  <w:vAlign w:val="center"/>
                </w:tcPr>
                <w:p w14:paraId="42C1A2F0">
                  <w:pPr>
                    <w:jc w:val="center"/>
                    <w:rPr>
                      <w:rFonts w:hint="default" w:ascii="Times New Roman" w:hAnsi="Times New Roman" w:eastAsia="宋体" w:cs="Times New Roman"/>
                      <w:snapToGrid w:val="0"/>
                      <w:color w:val="auto"/>
                      <w:kern w:val="2"/>
                      <w:sz w:val="21"/>
                      <w:szCs w:val="21"/>
                      <w:highlight w:val="none"/>
                      <w:lang w:val="en-US" w:eastAsia="zh-CN" w:bidi="ar-SA"/>
                    </w:rPr>
                  </w:pPr>
                  <w:r>
                    <w:rPr>
                      <w:rFonts w:hint="eastAsia" w:cs="Times New Roman"/>
                      <w:snapToGrid w:val="0"/>
                      <w:color w:val="auto"/>
                      <w:kern w:val="2"/>
                      <w:sz w:val="21"/>
                      <w:szCs w:val="21"/>
                      <w:highlight w:val="none"/>
                      <w:lang w:val="en-US" w:eastAsia="zh-CN" w:bidi="ar-SA"/>
                    </w:rPr>
                    <w:t>T,I</w:t>
                  </w:r>
                </w:p>
              </w:tc>
              <w:tc>
                <w:tcPr>
                  <w:tcW w:w="465" w:type="pct"/>
                  <w:shd w:val="clear" w:color="auto" w:fill="auto"/>
                  <w:vAlign w:val="center"/>
                </w:tcPr>
                <w:p w14:paraId="63CCD474">
                  <w:pPr>
                    <w:jc w:val="center"/>
                    <w:rPr>
                      <w:rFonts w:hint="default" w:ascii="Times New Roman" w:hAnsi="Times New Roman" w:eastAsia="宋体" w:cs="Times New Roman"/>
                      <w:snapToGrid w:val="0"/>
                      <w:color w:val="auto"/>
                      <w:kern w:val="2"/>
                      <w:sz w:val="21"/>
                      <w:szCs w:val="21"/>
                      <w:highlight w:val="none"/>
                      <w:lang w:val="en-US" w:eastAsia="zh-CN" w:bidi="ar-SA"/>
                    </w:rPr>
                  </w:pPr>
                  <w:r>
                    <w:rPr>
                      <w:rFonts w:hint="eastAsia" w:cs="Times New Roman"/>
                      <w:snapToGrid w:val="0"/>
                      <w:color w:val="auto"/>
                      <w:kern w:val="2"/>
                      <w:sz w:val="21"/>
                      <w:szCs w:val="21"/>
                      <w:highlight w:val="none"/>
                      <w:lang w:val="en-US" w:eastAsia="zh-CN" w:bidi="ar-SA"/>
                    </w:rPr>
                    <w:t>HW12</w:t>
                  </w:r>
                </w:p>
              </w:tc>
              <w:tc>
                <w:tcPr>
                  <w:tcW w:w="756" w:type="pct"/>
                  <w:shd w:val="clear" w:color="auto" w:fill="auto"/>
                  <w:vAlign w:val="center"/>
                </w:tcPr>
                <w:p w14:paraId="10298E7E">
                  <w:pPr>
                    <w:jc w:val="center"/>
                    <w:rPr>
                      <w:rFonts w:hint="default" w:ascii="Times New Roman" w:hAnsi="Times New Roman" w:eastAsia="宋体" w:cs="Times New Roman"/>
                      <w:snapToGrid w:val="0"/>
                      <w:color w:val="auto"/>
                      <w:kern w:val="2"/>
                      <w:sz w:val="21"/>
                      <w:szCs w:val="21"/>
                      <w:highlight w:val="none"/>
                      <w:lang w:val="en-US" w:eastAsia="zh-CN" w:bidi="ar-SA"/>
                    </w:rPr>
                  </w:pPr>
                  <w:r>
                    <w:rPr>
                      <w:rFonts w:hint="eastAsia" w:cs="Times New Roman"/>
                      <w:snapToGrid w:val="0"/>
                      <w:color w:val="auto"/>
                      <w:kern w:val="2"/>
                      <w:sz w:val="21"/>
                      <w:szCs w:val="21"/>
                      <w:highlight w:val="none"/>
                      <w:lang w:val="en-US" w:eastAsia="zh-CN" w:bidi="ar-SA"/>
                    </w:rPr>
                    <w:t>900-252-12</w:t>
                  </w:r>
                </w:p>
              </w:tc>
              <w:tc>
                <w:tcPr>
                  <w:tcW w:w="545" w:type="pct"/>
                  <w:vAlign w:val="center"/>
                </w:tcPr>
                <w:p w14:paraId="1CB870D6">
                  <w:pPr>
                    <w:pStyle w:val="5"/>
                    <w:adjustRightInd w:val="0"/>
                    <w:snapToGrid w:val="0"/>
                    <w:ind w:firstLine="0" w:firstLineChars="0"/>
                    <w:jc w:val="center"/>
                    <w:rPr>
                      <w:rFonts w:hint="default"/>
                      <w:color w:val="auto"/>
                      <w:kern w:val="0"/>
                      <w:szCs w:val="21"/>
                      <w:lang w:val="en-US" w:eastAsia="zh-CN"/>
                    </w:rPr>
                  </w:pPr>
                  <w:r>
                    <w:rPr>
                      <w:rFonts w:hint="eastAsia"/>
                      <w:color w:val="auto"/>
                      <w:kern w:val="0"/>
                      <w:szCs w:val="21"/>
                      <w:lang w:val="en-US" w:eastAsia="zh-CN"/>
                    </w:rPr>
                    <w:t>0.3738</w:t>
                  </w:r>
                </w:p>
              </w:tc>
            </w:tr>
            <w:tr w14:paraId="1011142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27" w:hRule="atLeast"/>
                <w:jc w:val="center"/>
              </w:trPr>
              <w:tc>
                <w:tcPr>
                  <w:tcW w:w="650" w:type="pct"/>
                  <w:vAlign w:val="center"/>
                </w:tcPr>
                <w:p w14:paraId="61DB369D">
                  <w:pPr>
                    <w:pStyle w:val="5"/>
                    <w:adjustRightInd w:val="0"/>
                    <w:snapToGrid w:val="0"/>
                    <w:ind w:firstLine="0" w:firstLineChars="0"/>
                    <w:jc w:val="center"/>
                    <w:rPr>
                      <w:rFonts w:hint="eastAsia"/>
                      <w:bCs/>
                      <w:color w:val="auto"/>
                      <w:kern w:val="0"/>
                      <w:szCs w:val="21"/>
                      <w:lang w:val="en-US" w:eastAsia="zh-CN"/>
                    </w:rPr>
                  </w:pPr>
                  <w:r>
                    <w:rPr>
                      <w:rFonts w:hint="eastAsia"/>
                      <w:bCs/>
                      <w:color w:val="auto"/>
                      <w:kern w:val="0"/>
                      <w:szCs w:val="21"/>
                      <w:lang w:val="en-US" w:eastAsia="zh-CN"/>
                    </w:rPr>
                    <w:t>废包装桶</w:t>
                  </w:r>
                </w:p>
              </w:tc>
              <w:tc>
                <w:tcPr>
                  <w:tcW w:w="389" w:type="pct"/>
                  <w:vMerge w:val="continue"/>
                  <w:vAlign w:val="center"/>
                </w:tcPr>
                <w:p w14:paraId="1C9EFF11">
                  <w:pPr>
                    <w:adjustRightInd w:val="0"/>
                    <w:snapToGrid w:val="0"/>
                    <w:jc w:val="center"/>
                    <w:rPr>
                      <w:color w:val="auto"/>
                      <w:kern w:val="0"/>
                    </w:rPr>
                  </w:pPr>
                </w:p>
              </w:tc>
              <w:tc>
                <w:tcPr>
                  <w:tcW w:w="550" w:type="pct"/>
                  <w:vAlign w:val="center"/>
                </w:tcPr>
                <w:p w14:paraId="632D8B88">
                  <w:pPr>
                    <w:widowControl/>
                    <w:adjustRightInd w:val="0"/>
                    <w:snapToGrid w:val="0"/>
                    <w:jc w:val="center"/>
                    <w:textAlignment w:val="center"/>
                    <w:rPr>
                      <w:rFonts w:hint="eastAsia"/>
                      <w:color w:val="auto"/>
                      <w:kern w:val="0"/>
                      <w:lang w:val="en-US" w:eastAsia="zh-CN"/>
                    </w:rPr>
                  </w:pPr>
                  <w:r>
                    <w:rPr>
                      <w:rFonts w:hint="eastAsia"/>
                      <w:color w:val="auto"/>
                      <w:kern w:val="0"/>
                      <w:lang w:val="en-US" w:eastAsia="zh-CN"/>
                    </w:rPr>
                    <w:t>原料拆包</w:t>
                  </w:r>
                </w:p>
              </w:tc>
              <w:tc>
                <w:tcPr>
                  <w:tcW w:w="421" w:type="pct"/>
                  <w:vAlign w:val="center"/>
                </w:tcPr>
                <w:p w14:paraId="01D001F5">
                  <w:pPr>
                    <w:adjustRightInd w:val="0"/>
                    <w:snapToGrid w:val="0"/>
                    <w:jc w:val="center"/>
                    <w:rPr>
                      <w:rFonts w:hint="eastAsia"/>
                      <w:color w:val="auto"/>
                      <w:kern w:val="0"/>
                      <w:lang w:val="en-US" w:eastAsia="zh-CN"/>
                    </w:rPr>
                  </w:pPr>
                  <w:r>
                    <w:rPr>
                      <w:rFonts w:hint="eastAsia"/>
                      <w:color w:val="auto"/>
                      <w:kern w:val="0"/>
                      <w:lang w:val="en-US" w:eastAsia="zh-CN"/>
                    </w:rPr>
                    <w:t>固</w:t>
                  </w:r>
                </w:p>
              </w:tc>
              <w:tc>
                <w:tcPr>
                  <w:tcW w:w="762" w:type="pct"/>
                  <w:vAlign w:val="center"/>
                </w:tcPr>
                <w:p w14:paraId="06881CF6">
                  <w:pPr>
                    <w:widowControl/>
                    <w:adjustRightInd w:val="0"/>
                    <w:snapToGrid w:val="0"/>
                    <w:jc w:val="center"/>
                    <w:textAlignment w:val="center"/>
                    <w:rPr>
                      <w:rFonts w:hint="eastAsia"/>
                      <w:color w:val="auto"/>
                      <w:kern w:val="0"/>
                      <w:lang w:val="en-US" w:eastAsia="zh-CN" w:bidi="ar"/>
                    </w:rPr>
                  </w:pPr>
                  <w:r>
                    <w:rPr>
                      <w:rFonts w:hint="eastAsia"/>
                      <w:color w:val="auto"/>
                      <w:kern w:val="0"/>
                      <w:lang w:val="en-US" w:eastAsia="zh-CN" w:bidi="ar"/>
                    </w:rPr>
                    <w:t>涂料、固化剂、稀释剂、切削液等</w:t>
                  </w:r>
                </w:p>
              </w:tc>
              <w:tc>
                <w:tcPr>
                  <w:tcW w:w="457" w:type="pct"/>
                  <w:shd w:val="clear" w:color="auto" w:fill="auto"/>
                  <w:vAlign w:val="center"/>
                </w:tcPr>
                <w:p w14:paraId="33BB5A3E">
                  <w:pPr>
                    <w:contextualSpacing/>
                    <w:jc w:val="center"/>
                    <w:rPr>
                      <w:rFonts w:hint="eastAsia" w:ascii="Times New Roman" w:hAnsi="Times New Roman" w:eastAsia="宋体" w:cs="Times New Roman"/>
                      <w:snapToGrid w:val="0"/>
                      <w:color w:val="auto"/>
                      <w:kern w:val="0"/>
                      <w:sz w:val="21"/>
                      <w:szCs w:val="21"/>
                      <w:lang w:val="en-US" w:eastAsia="zh-CN" w:bidi="ar-SA"/>
                    </w:rPr>
                  </w:pPr>
                  <w:r>
                    <w:rPr>
                      <w:color w:val="auto"/>
                      <w:kern w:val="0"/>
                    </w:rPr>
                    <w:t>T/In</w:t>
                  </w:r>
                </w:p>
              </w:tc>
              <w:tc>
                <w:tcPr>
                  <w:tcW w:w="465" w:type="pct"/>
                  <w:shd w:val="clear" w:color="auto" w:fill="auto"/>
                  <w:vAlign w:val="center"/>
                </w:tcPr>
                <w:p w14:paraId="5BE89A6B">
                  <w:pPr>
                    <w:contextualSpacing/>
                    <w:jc w:val="center"/>
                    <w:rPr>
                      <w:rFonts w:hint="eastAsia" w:ascii="Times New Roman" w:hAnsi="Times New Roman" w:eastAsia="宋体" w:cs="Times New Roman"/>
                      <w:snapToGrid w:val="0"/>
                      <w:color w:val="auto"/>
                      <w:kern w:val="0"/>
                      <w:sz w:val="21"/>
                      <w:szCs w:val="21"/>
                      <w:lang w:val="en-US" w:eastAsia="zh-CN" w:bidi="ar-SA"/>
                    </w:rPr>
                  </w:pPr>
                  <w:r>
                    <w:rPr>
                      <w:rFonts w:hint="eastAsia"/>
                      <w:color w:val="auto"/>
                      <w:kern w:val="0"/>
                      <w:lang w:val="en-US" w:eastAsia="zh-CN"/>
                    </w:rPr>
                    <w:t>HW49</w:t>
                  </w:r>
                </w:p>
              </w:tc>
              <w:tc>
                <w:tcPr>
                  <w:tcW w:w="756" w:type="pct"/>
                  <w:shd w:val="clear" w:color="auto" w:fill="auto"/>
                  <w:vAlign w:val="center"/>
                </w:tcPr>
                <w:p w14:paraId="4E3009B8">
                  <w:pPr>
                    <w:contextualSpacing/>
                    <w:jc w:val="center"/>
                    <w:rPr>
                      <w:rFonts w:ascii="Times New Roman" w:hAnsi="Times New Roman" w:eastAsia="宋体" w:cs="Times New Roman"/>
                      <w:snapToGrid w:val="0"/>
                      <w:color w:val="auto"/>
                      <w:kern w:val="0"/>
                      <w:sz w:val="21"/>
                      <w:szCs w:val="21"/>
                      <w:lang w:val="en-US" w:eastAsia="zh-CN" w:bidi="ar-SA"/>
                    </w:rPr>
                  </w:pPr>
                  <w:r>
                    <w:rPr>
                      <w:rFonts w:hint="eastAsia"/>
                      <w:color w:val="auto"/>
                      <w:kern w:val="0"/>
                      <w:lang w:val="en-US" w:eastAsia="zh-CN"/>
                    </w:rPr>
                    <w:t>900-041-49</w:t>
                  </w:r>
                </w:p>
              </w:tc>
              <w:tc>
                <w:tcPr>
                  <w:tcW w:w="545" w:type="pct"/>
                  <w:vAlign w:val="center"/>
                </w:tcPr>
                <w:p w14:paraId="14789BE0">
                  <w:pPr>
                    <w:pStyle w:val="5"/>
                    <w:adjustRightInd w:val="0"/>
                    <w:snapToGrid w:val="0"/>
                    <w:ind w:firstLine="0" w:firstLineChars="0"/>
                    <w:jc w:val="center"/>
                    <w:rPr>
                      <w:rFonts w:hint="eastAsia"/>
                      <w:color w:val="auto"/>
                      <w:kern w:val="0"/>
                      <w:szCs w:val="21"/>
                      <w:lang w:val="en-US" w:eastAsia="zh-CN"/>
                    </w:rPr>
                  </w:pPr>
                  <w:r>
                    <w:rPr>
                      <w:rFonts w:hint="eastAsia"/>
                      <w:color w:val="auto"/>
                      <w:kern w:val="0"/>
                      <w:szCs w:val="21"/>
                      <w:lang w:val="en-US" w:eastAsia="zh-CN"/>
                    </w:rPr>
                    <w:t>1.2</w:t>
                  </w:r>
                </w:p>
              </w:tc>
            </w:tr>
            <w:tr w14:paraId="4DAB4E1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27" w:hRule="atLeast"/>
                <w:jc w:val="center"/>
              </w:trPr>
              <w:tc>
                <w:tcPr>
                  <w:tcW w:w="650" w:type="pct"/>
                  <w:vAlign w:val="center"/>
                </w:tcPr>
                <w:p w14:paraId="3ECA20FF">
                  <w:pPr>
                    <w:pStyle w:val="5"/>
                    <w:adjustRightInd w:val="0"/>
                    <w:snapToGrid w:val="0"/>
                    <w:ind w:firstLine="0" w:firstLineChars="0"/>
                    <w:jc w:val="center"/>
                    <w:rPr>
                      <w:rFonts w:hint="eastAsia"/>
                      <w:bCs/>
                      <w:color w:val="auto"/>
                      <w:kern w:val="0"/>
                      <w:szCs w:val="21"/>
                      <w:lang w:val="en-US" w:eastAsia="zh-CN"/>
                    </w:rPr>
                  </w:pPr>
                  <w:r>
                    <w:rPr>
                      <w:rFonts w:hint="eastAsia"/>
                      <w:bCs/>
                      <w:color w:val="auto"/>
                      <w:kern w:val="0"/>
                      <w:szCs w:val="21"/>
                      <w:lang w:val="en-US" w:eastAsia="zh-CN"/>
                    </w:rPr>
                    <w:t>含锌废物</w:t>
                  </w:r>
                </w:p>
              </w:tc>
              <w:tc>
                <w:tcPr>
                  <w:tcW w:w="389" w:type="pct"/>
                  <w:vMerge w:val="continue"/>
                  <w:vAlign w:val="center"/>
                </w:tcPr>
                <w:p w14:paraId="7C1C9CB1">
                  <w:pPr>
                    <w:adjustRightInd w:val="0"/>
                    <w:snapToGrid w:val="0"/>
                    <w:jc w:val="center"/>
                    <w:rPr>
                      <w:color w:val="auto"/>
                      <w:kern w:val="0"/>
                    </w:rPr>
                  </w:pPr>
                </w:p>
              </w:tc>
              <w:tc>
                <w:tcPr>
                  <w:tcW w:w="550" w:type="pct"/>
                  <w:vAlign w:val="center"/>
                </w:tcPr>
                <w:p w14:paraId="02FEAB68">
                  <w:pPr>
                    <w:widowControl/>
                    <w:adjustRightInd w:val="0"/>
                    <w:snapToGrid w:val="0"/>
                    <w:jc w:val="center"/>
                    <w:textAlignment w:val="center"/>
                    <w:rPr>
                      <w:rFonts w:hint="eastAsia"/>
                      <w:color w:val="auto"/>
                      <w:kern w:val="0"/>
                      <w:lang w:val="en-US" w:eastAsia="zh-CN"/>
                    </w:rPr>
                  </w:pPr>
                  <w:r>
                    <w:rPr>
                      <w:rFonts w:hint="eastAsia"/>
                      <w:color w:val="auto"/>
                      <w:kern w:val="0"/>
                      <w:lang w:val="en-US" w:eastAsia="zh-CN"/>
                    </w:rPr>
                    <w:t>废气治理</w:t>
                  </w:r>
                </w:p>
              </w:tc>
              <w:tc>
                <w:tcPr>
                  <w:tcW w:w="421" w:type="pct"/>
                  <w:vAlign w:val="center"/>
                </w:tcPr>
                <w:p w14:paraId="1324DAE9">
                  <w:pPr>
                    <w:adjustRightInd w:val="0"/>
                    <w:snapToGrid w:val="0"/>
                    <w:jc w:val="center"/>
                    <w:rPr>
                      <w:rFonts w:hint="eastAsia"/>
                      <w:color w:val="auto"/>
                      <w:kern w:val="0"/>
                      <w:lang w:val="en-US" w:eastAsia="zh-CN"/>
                    </w:rPr>
                  </w:pPr>
                  <w:r>
                    <w:rPr>
                      <w:rFonts w:hint="eastAsia"/>
                      <w:color w:val="auto"/>
                      <w:kern w:val="0"/>
                      <w:lang w:val="en-US" w:eastAsia="zh-CN"/>
                    </w:rPr>
                    <w:t>固</w:t>
                  </w:r>
                </w:p>
              </w:tc>
              <w:tc>
                <w:tcPr>
                  <w:tcW w:w="762" w:type="pct"/>
                  <w:vAlign w:val="center"/>
                </w:tcPr>
                <w:p w14:paraId="11B89CE1">
                  <w:pPr>
                    <w:widowControl/>
                    <w:adjustRightInd w:val="0"/>
                    <w:snapToGrid w:val="0"/>
                    <w:jc w:val="center"/>
                    <w:textAlignment w:val="center"/>
                    <w:rPr>
                      <w:rFonts w:hint="default"/>
                      <w:color w:val="auto"/>
                      <w:kern w:val="0"/>
                      <w:lang w:val="en-US" w:eastAsia="zh-CN" w:bidi="ar"/>
                    </w:rPr>
                  </w:pPr>
                  <w:r>
                    <w:rPr>
                      <w:rFonts w:hint="eastAsia"/>
                      <w:color w:val="auto"/>
                      <w:kern w:val="0"/>
                      <w:lang w:val="en-US" w:eastAsia="zh-CN" w:bidi="ar"/>
                    </w:rPr>
                    <w:t>锌、钢</w:t>
                  </w:r>
                </w:p>
              </w:tc>
              <w:tc>
                <w:tcPr>
                  <w:tcW w:w="457" w:type="pct"/>
                  <w:shd w:val="clear" w:color="auto" w:fill="auto"/>
                  <w:vAlign w:val="center"/>
                </w:tcPr>
                <w:p w14:paraId="0C4BEC5F">
                  <w:pPr>
                    <w:contextualSpacing/>
                    <w:jc w:val="center"/>
                    <w:rPr>
                      <w:rFonts w:hint="eastAsia" w:ascii="Times New Roman" w:hAnsi="Times New Roman" w:eastAsia="宋体" w:cs="Times New Roman"/>
                      <w:snapToGrid w:val="0"/>
                      <w:color w:val="auto"/>
                      <w:kern w:val="0"/>
                      <w:sz w:val="21"/>
                      <w:szCs w:val="21"/>
                      <w:lang w:val="en-US" w:eastAsia="zh-CN" w:bidi="ar-SA"/>
                    </w:rPr>
                  </w:pPr>
                  <w:r>
                    <w:rPr>
                      <w:color w:val="auto"/>
                      <w:kern w:val="0"/>
                    </w:rPr>
                    <w:t>T</w:t>
                  </w:r>
                </w:p>
              </w:tc>
              <w:tc>
                <w:tcPr>
                  <w:tcW w:w="465" w:type="pct"/>
                  <w:shd w:val="clear" w:color="auto" w:fill="auto"/>
                  <w:vAlign w:val="center"/>
                </w:tcPr>
                <w:p w14:paraId="4B44A1D4">
                  <w:pPr>
                    <w:contextualSpacing/>
                    <w:jc w:val="center"/>
                    <w:rPr>
                      <w:rFonts w:hint="default" w:ascii="Times New Roman" w:hAnsi="Times New Roman" w:eastAsia="宋体" w:cs="Times New Roman"/>
                      <w:snapToGrid w:val="0"/>
                      <w:color w:val="auto"/>
                      <w:kern w:val="0"/>
                      <w:sz w:val="21"/>
                      <w:szCs w:val="21"/>
                      <w:lang w:val="en-US" w:eastAsia="zh-CN" w:bidi="ar-SA"/>
                    </w:rPr>
                  </w:pPr>
                  <w:r>
                    <w:rPr>
                      <w:rFonts w:hint="eastAsia"/>
                      <w:color w:val="auto"/>
                      <w:kern w:val="0"/>
                      <w:lang w:val="en-US" w:eastAsia="zh-CN"/>
                    </w:rPr>
                    <w:t>HW23</w:t>
                  </w:r>
                </w:p>
              </w:tc>
              <w:tc>
                <w:tcPr>
                  <w:tcW w:w="756" w:type="pct"/>
                  <w:shd w:val="clear" w:color="auto" w:fill="auto"/>
                  <w:vAlign w:val="center"/>
                </w:tcPr>
                <w:p w14:paraId="0C522366">
                  <w:pPr>
                    <w:contextualSpacing/>
                    <w:jc w:val="center"/>
                    <w:rPr>
                      <w:rFonts w:hint="default" w:ascii="Times New Roman" w:hAnsi="Times New Roman" w:eastAsia="宋体" w:cs="Times New Roman"/>
                      <w:snapToGrid w:val="0"/>
                      <w:color w:val="auto"/>
                      <w:kern w:val="0"/>
                      <w:sz w:val="21"/>
                      <w:szCs w:val="21"/>
                      <w:lang w:val="en-US" w:eastAsia="zh-CN" w:bidi="ar-SA"/>
                    </w:rPr>
                  </w:pPr>
                  <w:r>
                    <w:rPr>
                      <w:rFonts w:hint="eastAsia"/>
                      <w:color w:val="auto"/>
                      <w:kern w:val="0"/>
                      <w:lang w:val="en-US" w:eastAsia="zh-CN"/>
                    </w:rPr>
                    <w:t>336-103-23</w:t>
                  </w:r>
                </w:p>
              </w:tc>
              <w:tc>
                <w:tcPr>
                  <w:tcW w:w="545" w:type="pct"/>
                  <w:vAlign w:val="center"/>
                </w:tcPr>
                <w:p w14:paraId="47A31E4D">
                  <w:pPr>
                    <w:pStyle w:val="5"/>
                    <w:adjustRightInd w:val="0"/>
                    <w:snapToGrid w:val="0"/>
                    <w:ind w:firstLine="0" w:firstLineChars="0"/>
                    <w:jc w:val="center"/>
                    <w:rPr>
                      <w:rFonts w:hint="default"/>
                      <w:color w:val="auto"/>
                      <w:kern w:val="0"/>
                      <w:szCs w:val="21"/>
                      <w:lang w:val="en-US" w:eastAsia="zh-CN"/>
                    </w:rPr>
                  </w:pPr>
                  <w:r>
                    <w:rPr>
                      <w:rFonts w:hint="eastAsia"/>
                      <w:color w:val="auto"/>
                      <w:kern w:val="0"/>
                      <w:szCs w:val="21"/>
                      <w:lang w:val="en-US" w:eastAsia="zh-CN"/>
                    </w:rPr>
                    <w:t>0.173</w:t>
                  </w:r>
                </w:p>
              </w:tc>
            </w:tr>
            <w:tr w14:paraId="4B5F466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27" w:hRule="atLeast"/>
                <w:jc w:val="center"/>
              </w:trPr>
              <w:tc>
                <w:tcPr>
                  <w:tcW w:w="650" w:type="pct"/>
                  <w:vAlign w:val="center"/>
                </w:tcPr>
                <w:p w14:paraId="1B694DB0">
                  <w:pPr>
                    <w:pStyle w:val="5"/>
                    <w:adjustRightInd w:val="0"/>
                    <w:snapToGrid w:val="0"/>
                    <w:ind w:firstLine="0" w:firstLineChars="0"/>
                    <w:jc w:val="center"/>
                    <w:rPr>
                      <w:rFonts w:hint="default"/>
                      <w:bCs/>
                      <w:color w:val="auto"/>
                      <w:kern w:val="0"/>
                      <w:szCs w:val="21"/>
                      <w:lang w:val="en-US" w:eastAsia="zh-CN"/>
                    </w:rPr>
                  </w:pPr>
                  <w:r>
                    <w:rPr>
                      <w:rFonts w:hint="eastAsia"/>
                      <w:bCs/>
                      <w:color w:val="auto"/>
                      <w:kern w:val="0"/>
                      <w:szCs w:val="21"/>
                      <w:lang w:val="en-US" w:eastAsia="zh-CN"/>
                    </w:rPr>
                    <w:t>含漆废物</w:t>
                  </w:r>
                </w:p>
              </w:tc>
              <w:tc>
                <w:tcPr>
                  <w:tcW w:w="389" w:type="pct"/>
                  <w:vMerge w:val="continue"/>
                  <w:vAlign w:val="center"/>
                </w:tcPr>
                <w:p w14:paraId="5BB2AA43">
                  <w:pPr>
                    <w:adjustRightInd w:val="0"/>
                    <w:snapToGrid w:val="0"/>
                    <w:jc w:val="center"/>
                    <w:rPr>
                      <w:color w:val="auto"/>
                      <w:kern w:val="0"/>
                    </w:rPr>
                  </w:pPr>
                </w:p>
              </w:tc>
              <w:tc>
                <w:tcPr>
                  <w:tcW w:w="550" w:type="pct"/>
                  <w:shd w:val="clear" w:color="auto" w:fill="auto"/>
                  <w:vAlign w:val="center"/>
                </w:tcPr>
                <w:p w14:paraId="5B1803EC">
                  <w:pPr>
                    <w:widowControl/>
                    <w:adjustRightInd w:val="0"/>
                    <w:snapToGrid w:val="0"/>
                    <w:jc w:val="center"/>
                    <w:textAlignment w:val="center"/>
                    <w:rPr>
                      <w:rFonts w:hint="default" w:ascii="Times New Roman" w:hAnsi="Times New Roman" w:eastAsia="宋体" w:cs="Times New Roman"/>
                      <w:snapToGrid w:val="0"/>
                      <w:color w:val="auto"/>
                      <w:kern w:val="0"/>
                      <w:sz w:val="21"/>
                      <w:szCs w:val="21"/>
                      <w:lang w:val="en-US" w:eastAsia="zh-CN" w:bidi="ar"/>
                    </w:rPr>
                  </w:pPr>
                  <w:r>
                    <w:rPr>
                      <w:rFonts w:hint="eastAsia"/>
                      <w:color w:val="auto"/>
                      <w:kern w:val="0"/>
                    </w:rPr>
                    <w:t>喷涂</w:t>
                  </w:r>
                  <w:r>
                    <w:rPr>
                      <w:rFonts w:hint="eastAsia"/>
                      <w:color w:val="auto"/>
                      <w:kern w:val="0"/>
                      <w:lang w:eastAsia="zh-CN"/>
                    </w:rPr>
                    <w:t>、</w:t>
                  </w:r>
                  <w:r>
                    <w:rPr>
                      <w:rFonts w:hint="eastAsia"/>
                      <w:color w:val="auto"/>
                      <w:kern w:val="0"/>
                      <w:lang w:val="en-US" w:eastAsia="zh-CN"/>
                    </w:rPr>
                    <w:t>废气治理</w:t>
                  </w:r>
                </w:p>
              </w:tc>
              <w:tc>
                <w:tcPr>
                  <w:tcW w:w="421" w:type="pct"/>
                  <w:shd w:val="clear" w:color="auto" w:fill="auto"/>
                  <w:vAlign w:val="center"/>
                </w:tcPr>
                <w:p w14:paraId="0AD52635">
                  <w:pPr>
                    <w:adjustRightInd w:val="0"/>
                    <w:snapToGrid w:val="0"/>
                    <w:jc w:val="center"/>
                    <w:rPr>
                      <w:rFonts w:hint="eastAsia" w:ascii="Times New Roman" w:hAnsi="Times New Roman" w:eastAsia="宋体" w:cs="Times New Roman"/>
                      <w:snapToGrid w:val="0"/>
                      <w:color w:val="auto"/>
                      <w:kern w:val="0"/>
                      <w:sz w:val="21"/>
                      <w:szCs w:val="21"/>
                      <w:lang w:val="en-US" w:eastAsia="zh-CN" w:bidi="ar-SA"/>
                    </w:rPr>
                  </w:pPr>
                  <w:r>
                    <w:rPr>
                      <w:color w:val="auto"/>
                      <w:kern w:val="0"/>
                    </w:rPr>
                    <w:t>固</w:t>
                  </w:r>
                </w:p>
              </w:tc>
              <w:tc>
                <w:tcPr>
                  <w:tcW w:w="762" w:type="pct"/>
                  <w:shd w:val="clear" w:color="auto" w:fill="auto"/>
                  <w:vAlign w:val="center"/>
                </w:tcPr>
                <w:p w14:paraId="3352AD99">
                  <w:pPr>
                    <w:widowControl/>
                    <w:adjustRightInd w:val="0"/>
                    <w:snapToGrid w:val="0"/>
                    <w:jc w:val="center"/>
                    <w:textAlignment w:val="center"/>
                    <w:rPr>
                      <w:rFonts w:hint="eastAsia" w:ascii="Times New Roman" w:hAnsi="Times New Roman" w:eastAsia="宋体" w:cs="Times New Roman"/>
                      <w:snapToGrid w:val="0"/>
                      <w:color w:val="auto"/>
                      <w:kern w:val="0"/>
                      <w:sz w:val="21"/>
                      <w:szCs w:val="21"/>
                      <w:lang w:val="en-US" w:eastAsia="zh-CN" w:bidi="ar-SA"/>
                    </w:rPr>
                  </w:pPr>
                  <w:r>
                    <w:rPr>
                      <w:rFonts w:hint="eastAsia"/>
                      <w:color w:val="auto"/>
                      <w:kern w:val="0"/>
                      <w:lang w:bidi="ar"/>
                    </w:rPr>
                    <w:t>涂料、手套抹布</w:t>
                  </w:r>
                </w:p>
              </w:tc>
              <w:tc>
                <w:tcPr>
                  <w:tcW w:w="457" w:type="pct"/>
                  <w:shd w:val="clear" w:color="auto" w:fill="auto"/>
                  <w:vAlign w:val="center"/>
                </w:tcPr>
                <w:p w14:paraId="3B2EC4A9">
                  <w:pPr>
                    <w:contextualSpacing/>
                    <w:jc w:val="center"/>
                    <w:rPr>
                      <w:rFonts w:ascii="Times New Roman" w:hAnsi="Times New Roman" w:eastAsia="宋体" w:cs="Times New Roman"/>
                      <w:snapToGrid w:val="0"/>
                      <w:color w:val="auto"/>
                      <w:kern w:val="0"/>
                      <w:sz w:val="21"/>
                      <w:szCs w:val="21"/>
                      <w:lang w:val="en-US" w:eastAsia="zh-CN" w:bidi="ar-SA"/>
                    </w:rPr>
                  </w:pPr>
                  <w:r>
                    <w:rPr>
                      <w:color w:val="auto"/>
                      <w:kern w:val="0"/>
                    </w:rPr>
                    <w:t>T/In</w:t>
                  </w:r>
                </w:p>
              </w:tc>
              <w:tc>
                <w:tcPr>
                  <w:tcW w:w="465" w:type="pct"/>
                  <w:shd w:val="clear" w:color="auto" w:fill="auto"/>
                  <w:vAlign w:val="center"/>
                </w:tcPr>
                <w:p w14:paraId="6847F0C2">
                  <w:pPr>
                    <w:contextualSpacing/>
                    <w:jc w:val="center"/>
                    <w:rPr>
                      <w:rFonts w:hint="eastAsia" w:ascii="Times New Roman" w:hAnsi="Times New Roman" w:eastAsia="宋体" w:cs="Times New Roman"/>
                      <w:bCs/>
                      <w:snapToGrid w:val="0"/>
                      <w:color w:val="auto"/>
                      <w:kern w:val="0"/>
                      <w:sz w:val="21"/>
                      <w:szCs w:val="21"/>
                      <w:lang w:val="en-US" w:eastAsia="zh-CN" w:bidi="ar-SA"/>
                    </w:rPr>
                  </w:pPr>
                  <w:r>
                    <w:rPr>
                      <w:color w:val="auto"/>
                      <w:kern w:val="0"/>
                    </w:rPr>
                    <w:t>HW49</w:t>
                  </w:r>
                </w:p>
              </w:tc>
              <w:tc>
                <w:tcPr>
                  <w:tcW w:w="756" w:type="pct"/>
                  <w:shd w:val="clear" w:color="auto" w:fill="auto"/>
                  <w:vAlign w:val="center"/>
                </w:tcPr>
                <w:p w14:paraId="56BE6FCA">
                  <w:pPr>
                    <w:contextualSpacing/>
                    <w:jc w:val="center"/>
                    <w:rPr>
                      <w:rFonts w:hint="eastAsia" w:ascii="Times New Roman" w:hAnsi="Times New Roman" w:eastAsia="宋体" w:cs="Times New Roman"/>
                      <w:bCs/>
                      <w:snapToGrid w:val="0"/>
                      <w:color w:val="auto"/>
                      <w:kern w:val="0"/>
                      <w:sz w:val="21"/>
                      <w:szCs w:val="21"/>
                      <w:lang w:val="en-US" w:eastAsia="zh-CN" w:bidi="ar-SA"/>
                    </w:rPr>
                  </w:pPr>
                  <w:r>
                    <w:rPr>
                      <w:color w:val="auto"/>
                      <w:kern w:val="0"/>
                    </w:rPr>
                    <w:t>900-041-49</w:t>
                  </w:r>
                </w:p>
              </w:tc>
              <w:tc>
                <w:tcPr>
                  <w:tcW w:w="545" w:type="pct"/>
                  <w:vAlign w:val="center"/>
                </w:tcPr>
                <w:p w14:paraId="7BCA3E5A">
                  <w:pPr>
                    <w:pStyle w:val="5"/>
                    <w:adjustRightInd w:val="0"/>
                    <w:snapToGrid w:val="0"/>
                    <w:ind w:firstLine="0" w:firstLineChars="0"/>
                    <w:jc w:val="center"/>
                    <w:rPr>
                      <w:rFonts w:hint="default"/>
                      <w:color w:val="auto"/>
                      <w:kern w:val="0"/>
                      <w:szCs w:val="21"/>
                      <w:lang w:val="en-US" w:eastAsia="zh-CN"/>
                    </w:rPr>
                  </w:pPr>
                  <w:r>
                    <w:rPr>
                      <w:rFonts w:hint="eastAsia"/>
                      <w:color w:val="auto"/>
                      <w:kern w:val="0"/>
                      <w:szCs w:val="21"/>
                      <w:lang w:val="en-US" w:eastAsia="zh-CN"/>
                    </w:rPr>
                    <w:t>1.5</w:t>
                  </w:r>
                </w:p>
              </w:tc>
            </w:tr>
            <w:tr w14:paraId="1D6DF58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27" w:hRule="atLeast"/>
                <w:jc w:val="center"/>
              </w:trPr>
              <w:tc>
                <w:tcPr>
                  <w:tcW w:w="650" w:type="pct"/>
                  <w:vAlign w:val="center"/>
                </w:tcPr>
                <w:p w14:paraId="64E92757">
                  <w:pPr>
                    <w:pStyle w:val="5"/>
                    <w:adjustRightInd w:val="0"/>
                    <w:snapToGrid w:val="0"/>
                    <w:ind w:firstLine="0" w:firstLineChars="0"/>
                    <w:jc w:val="center"/>
                    <w:rPr>
                      <w:rFonts w:hint="eastAsia"/>
                      <w:bCs/>
                      <w:color w:val="auto"/>
                      <w:kern w:val="0"/>
                      <w:szCs w:val="21"/>
                      <w:lang w:val="en-US" w:eastAsia="zh-CN"/>
                    </w:rPr>
                  </w:pPr>
                  <w:r>
                    <w:rPr>
                      <w:rFonts w:hint="eastAsia"/>
                      <w:bCs/>
                      <w:color w:val="auto"/>
                      <w:kern w:val="0"/>
                      <w:szCs w:val="21"/>
                      <w:lang w:val="en-US" w:eastAsia="zh-CN"/>
                    </w:rPr>
                    <w:t>废活性炭</w:t>
                  </w:r>
                </w:p>
              </w:tc>
              <w:tc>
                <w:tcPr>
                  <w:tcW w:w="389" w:type="pct"/>
                  <w:vMerge w:val="continue"/>
                  <w:vAlign w:val="center"/>
                </w:tcPr>
                <w:p w14:paraId="1513B54E">
                  <w:pPr>
                    <w:adjustRightInd w:val="0"/>
                    <w:snapToGrid w:val="0"/>
                    <w:jc w:val="center"/>
                    <w:rPr>
                      <w:color w:val="auto"/>
                      <w:kern w:val="0"/>
                    </w:rPr>
                  </w:pPr>
                </w:p>
              </w:tc>
              <w:tc>
                <w:tcPr>
                  <w:tcW w:w="550" w:type="pct"/>
                  <w:vAlign w:val="center"/>
                </w:tcPr>
                <w:p w14:paraId="73E2BE77">
                  <w:pPr>
                    <w:widowControl/>
                    <w:adjustRightInd w:val="0"/>
                    <w:snapToGrid w:val="0"/>
                    <w:jc w:val="center"/>
                    <w:textAlignment w:val="center"/>
                    <w:rPr>
                      <w:rFonts w:hint="eastAsia"/>
                      <w:color w:val="auto"/>
                      <w:kern w:val="0"/>
                      <w:lang w:val="en-US" w:eastAsia="zh-CN"/>
                    </w:rPr>
                  </w:pPr>
                  <w:r>
                    <w:rPr>
                      <w:rFonts w:hint="eastAsia"/>
                      <w:color w:val="auto"/>
                      <w:kern w:val="0"/>
                      <w:lang w:val="en-US" w:eastAsia="zh-CN"/>
                    </w:rPr>
                    <w:t>废气治理</w:t>
                  </w:r>
                </w:p>
              </w:tc>
              <w:tc>
                <w:tcPr>
                  <w:tcW w:w="421" w:type="pct"/>
                  <w:vAlign w:val="center"/>
                </w:tcPr>
                <w:p w14:paraId="0F1DB276">
                  <w:pPr>
                    <w:adjustRightInd w:val="0"/>
                    <w:snapToGrid w:val="0"/>
                    <w:jc w:val="center"/>
                    <w:rPr>
                      <w:rFonts w:hint="eastAsia"/>
                      <w:color w:val="auto"/>
                      <w:kern w:val="0"/>
                      <w:lang w:val="en-US" w:eastAsia="zh-CN"/>
                    </w:rPr>
                  </w:pPr>
                  <w:r>
                    <w:rPr>
                      <w:rFonts w:hint="eastAsia"/>
                      <w:color w:val="auto"/>
                      <w:kern w:val="0"/>
                      <w:lang w:val="en-US" w:eastAsia="zh-CN"/>
                    </w:rPr>
                    <w:t>固</w:t>
                  </w:r>
                </w:p>
              </w:tc>
              <w:tc>
                <w:tcPr>
                  <w:tcW w:w="762" w:type="pct"/>
                  <w:vAlign w:val="center"/>
                </w:tcPr>
                <w:p w14:paraId="139F046B">
                  <w:pPr>
                    <w:widowControl/>
                    <w:adjustRightInd w:val="0"/>
                    <w:snapToGrid w:val="0"/>
                    <w:jc w:val="center"/>
                    <w:textAlignment w:val="center"/>
                    <w:rPr>
                      <w:rFonts w:hint="eastAsia"/>
                      <w:color w:val="auto"/>
                      <w:kern w:val="0"/>
                      <w:lang w:val="en-US" w:eastAsia="zh-CN" w:bidi="ar"/>
                    </w:rPr>
                  </w:pPr>
                  <w:r>
                    <w:rPr>
                      <w:rFonts w:hint="eastAsia"/>
                      <w:color w:val="auto"/>
                      <w:kern w:val="0"/>
                      <w:lang w:val="en-US" w:eastAsia="zh-CN" w:bidi="ar"/>
                    </w:rPr>
                    <w:t>活性炭、VOCs</w:t>
                  </w:r>
                </w:p>
              </w:tc>
              <w:tc>
                <w:tcPr>
                  <w:tcW w:w="457" w:type="pct"/>
                  <w:shd w:val="clear" w:color="auto" w:fill="auto"/>
                  <w:vAlign w:val="center"/>
                </w:tcPr>
                <w:p w14:paraId="37C945EF">
                  <w:pPr>
                    <w:jc w:val="center"/>
                    <w:rPr>
                      <w:rFonts w:hint="eastAsia" w:eastAsia="宋体"/>
                      <w:color w:val="auto"/>
                      <w:highlight w:val="none"/>
                      <w:lang w:val="en-US" w:eastAsia="zh-CN"/>
                    </w:rPr>
                  </w:pPr>
                  <w:r>
                    <w:rPr>
                      <w:rFonts w:hint="eastAsia"/>
                      <w:color w:val="auto"/>
                      <w:highlight w:val="none"/>
                      <w:lang w:val="en-US" w:eastAsia="zh-CN"/>
                    </w:rPr>
                    <w:t>I</w:t>
                  </w:r>
                </w:p>
              </w:tc>
              <w:tc>
                <w:tcPr>
                  <w:tcW w:w="465" w:type="pct"/>
                  <w:shd w:val="clear" w:color="auto" w:fill="auto"/>
                  <w:vAlign w:val="center"/>
                </w:tcPr>
                <w:p w14:paraId="3B84250B">
                  <w:pPr>
                    <w:contextualSpacing/>
                    <w:jc w:val="center"/>
                    <w:rPr>
                      <w:rFonts w:hint="eastAsia" w:ascii="Times New Roman" w:hAnsi="Times New Roman" w:eastAsia="宋体" w:cs="Times New Roman"/>
                      <w:snapToGrid w:val="0"/>
                      <w:color w:val="auto"/>
                      <w:kern w:val="0"/>
                      <w:sz w:val="21"/>
                      <w:szCs w:val="21"/>
                      <w:lang w:val="en-US" w:eastAsia="zh-CN" w:bidi="ar-SA"/>
                    </w:rPr>
                  </w:pPr>
                  <w:r>
                    <w:rPr>
                      <w:rFonts w:hint="eastAsia"/>
                      <w:color w:val="auto"/>
                      <w:kern w:val="0"/>
                      <w:lang w:val="en-US" w:eastAsia="zh-CN"/>
                    </w:rPr>
                    <w:t>HW49</w:t>
                  </w:r>
                </w:p>
              </w:tc>
              <w:tc>
                <w:tcPr>
                  <w:tcW w:w="756" w:type="pct"/>
                  <w:shd w:val="clear" w:color="auto" w:fill="auto"/>
                  <w:vAlign w:val="center"/>
                </w:tcPr>
                <w:p w14:paraId="361BC19B">
                  <w:pPr>
                    <w:contextualSpacing/>
                    <w:jc w:val="center"/>
                    <w:rPr>
                      <w:rFonts w:ascii="Times New Roman" w:hAnsi="Times New Roman" w:eastAsia="宋体" w:cs="Times New Roman"/>
                      <w:snapToGrid w:val="0"/>
                      <w:color w:val="auto"/>
                      <w:kern w:val="0"/>
                      <w:sz w:val="21"/>
                      <w:szCs w:val="21"/>
                      <w:lang w:val="en-US" w:eastAsia="zh-CN" w:bidi="ar-SA"/>
                    </w:rPr>
                  </w:pPr>
                  <w:r>
                    <w:rPr>
                      <w:rFonts w:hint="eastAsia"/>
                      <w:color w:val="auto"/>
                      <w:kern w:val="0"/>
                      <w:lang w:val="en-US" w:eastAsia="zh-CN"/>
                    </w:rPr>
                    <w:t>900-039-49</w:t>
                  </w:r>
                </w:p>
              </w:tc>
              <w:tc>
                <w:tcPr>
                  <w:tcW w:w="545" w:type="pct"/>
                  <w:vAlign w:val="center"/>
                </w:tcPr>
                <w:p w14:paraId="70BC711E">
                  <w:pPr>
                    <w:pStyle w:val="5"/>
                    <w:adjustRightInd w:val="0"/>
                    <w:snapToGrid w:val="0"/>
                    <w:ind w:firstLine="0" w:firstLineChars="0"/>
                    <w:jc w:val="center"/>
                    <w:rPr>
                      <w:rFonts w:hint="default"/>
                      <w:color w:val="auto"/>
                      <w:kern w:val="0"/>
                      <w:szCs w:val="21"/>
                      <w:lang w:val="en-US" w:eastAsia="zh-CN"/>
                    </w:rPr>
                  </w:pPr>
                  <w:r>
                    <w:rPr>
                      <w:rFonts w:hint="eastAsia"/>
                      <w:color w:val="auto"/>
                      <w:kern w:val="0"/>
                      <w:szCs w:val="21"/>
                      <w:lang w:val="en-US" w:eastAsia="zh-CN"/>
                    </w:rPr>
                    <w:t>6.538</w:t>
                  </w:r>
                </w:p>
              </w:tc>
            </w:tr>
            <w:tr w14:paraId="3AE5620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27" w:hRule="atLeast"/>
                <w:jc w:val="center"/>
              </w:trPr>
              <w:tc>
                <w:tcPr>
                  <w:tcW w:w="650" w:type="pct"/>
                  <w:vAlign w:val="center"/>
                </w:tcPr>
                <w:p w14:paraId="6A110443">
                  <w:pPr>
                    <w:pStyle w:val="5"/>
                    <w:adjustRightInd w:val="0"/>
                    <w:snapToGrid w:val="0"/>
                    <w:ind w:firstLine="0"/>
                    <w:jc w:val="center"/>
                    <w:rPr>
                      <w:color w:val="auto"/>
                      <w:kern w:val="0"/>
                      <w:szCs w:val="21"/>
                    </w:rPr>
                  </w:pPr>
                  <w:r>
                    <w:rPr>
                      <w:rFonts w:hint="eastAsia"/>
                      <w:bCs/>
                      <w:color w:val="auto"/>
                      <w:kern w:val="0"/>
                      <w:szCs w:val="21"/>
                    </w:rPr>
                    <w:t>生活垃圾</w:t>
                  </w:r>
                </w:p>
              </w:tc>
              <w:tc>
                <w:tcPr>
                  <w:tcW w:w="389" w:type="pct"/>
                  <w:vAlign w:val="center"/>
                </w:tcPr>
                <w:p w14:paraId="2A62CFB5">
                  <w:pPr>
                    <w:adjustRightInd w:val="0"/>
                    <w:snapToGrid w:val="0"/>
                    <w:jc w:val="center"/>
                    <w:rPr>
                      <w:color w:val="auto"/>
                      <w:kern w:val="0"/>
                    </w:rPr>
                  </w:pPr>
                  <w:r>
                    <w:rPr>
                      <w:rFonts w:hint="eastAsia"/>
                      <w:color w:val="auto"/>
                      <w:kern w:val="0"/>
                    </w:rPr>
                    <w:t>生活垃圾</w:t>
                  </w:r>
                </w:p>
              </w:tc>
              <w:tc>
                <w:tcPr>
                  <w:tcW w:w="550" w:type="pct"/>
                  <w:vAlign w:val="center"/>
                </w:tcPr>
                <w:p w14:paraId="51470343">
                  <w:pPr>
                    <w:widowControl/>
                    <w:adjustRightInd w:val="0"/>
                    <w:snapToGrid w:val="0"/>
                    <w:jc w:val="center"/>
                    <w:textAlignment w:val="center"/>
                    <w:rPr>
                      <w:color w:val="auto"/>
                      <w:kern w:val="0"/>
                      <w:lang w:bidi="ar"/>
                    </w:rPr>
                  </w:pPr>
                  <w:r>
                    <w:rPr>
                      <w:rFonts w:hint="eastAsia"/>
                      <w:color w:val="auto"/>
                      <w:kern w:val="0"/>
                    </w:rPr>
                    <w:t>员工生活</w:t>
                  </w:r>
                </w:p>
              </w:tc>
              <w:tc>
                <w:tcPr>
                  <w:tcW w:w="421" w:type="pct"/>
                  <w:vAlign w:val="center"/>
                </w:tcPr>
                <w:p w14:paraId="50C0675E">
                  <w:pPr>
                    <w:adjustRightInd w:val="0"/>
                    <w:snapToGrid w:val="0"/>
                    <w:jc w:val="center"/>
                    <w:rPr>
                      <w:color w:val="auto"/>
                      <w:kern w:val="0"/>
                    </w:rPr>
                  </w:pPr>
                  <w:r>
                    <w:rPr>
                      <w:color w:val="auto"/>
                      <w:kern w:val="0"/>
                    </w:rPr>
                    <w:t>固</w:t>
                  </w:r>
                </w:p>
              </w:tc>
              <w:tc>
                <w:tcPr>
                  <w:tcW w:w="762" w:type="pct"/>
                  <w:vAlign w:val="center"/>
                </w:tcPr>
                <w:p w14:paraId="7E33B618">
                  <w:pPr>
                    <w:widowControl/>
                    <w:adjustRightInd w:val="0"/>
                    <w:snapToGrid w:val="0"/>
                    <w:jc w:val="center"/>
                    <w:textAlignment w:val="center"/>
                    <w:rPr>
                      <w:color w:val="auto"/>
                      <w:kern w:val="0"/>
                    </w:rPr>
                  </w:pPr>
                  <w:r>
                    <w:rPr>
                      <w:rFonts w:hint="eastAsia"/>
                      <w:color w:val="auto"/>
                      <w:kern w:val="0"/>
                      <w:lang w:bidi="ar"/>
                    </w:rPr>
                    <w:t>纸皮、瓜果等</w:t>
                  </w:r>
                </w:p>
              </w:tc>
              <w:tc>
                <w:tcPr>
                  <w:tcW w:w="457" w:type="pct"/>
                  <w:vAlign w:val="center"/>
                </w:tcPr>
                <w:p w14:paraId="0B790C16">
                  <w:pPr>
                    <w:adjustRightInd w:val="0"/>
                    <w:snapToGrid w:val="0"/>
                    <w:jc w:val="center"/>
                    <w:rPr>
                      <w:color w:val="auto"/>
                      <w:kern w:val="0"/>
                    </w:rPr>
                  </w:pPr>
                  <w:r>
                    <w:rPr>
                      <w:rFonts w:hint="eastAsia"/>
                      <w:color w:val="auto"/>
                      <w:kern w:val="0"/>
                    </w:rPr>
                    <w:t>--</w:t>
                  </w:r>
                </w:p>
              </w:tc>
              <w:tc>
                <w:tcPr>
                  <w:tcW w:w="465" w:type="pct"/>
                  <w:vAlign w:val="center"/>
                </w:tcPr>
                <w:p w14:paraId="7C195116">
                  <w:pPr>
                    <w:pStyle w:val="55"/>
                    <w:widowControl w:val="0"/>
                    <w:ind w:left="-30" w:right="-30"/>
                    <w:rPr>
                      <w:b w:val="0"/>
                      <w:bCs w:val="0"/>
                      <w:color w:val="auto"/>
                      <w:sz w:val="21"/>
                      <w:szCs w:val="21"/>
                    </w:rPr>
                  </w:pPr>
                  <w:r>
                    <w:rPr>
                      <w:rFonts w:hint="eastAsia"/>
                      <w:b w:val="0"/>
                      <w:bCs w:val="0"/>
                      <w:color w:val="auto"/>
                      <w:sz w:val="21"/>
                      <w:szCs w:val="21"/>
                    </w:rPr>
                    <w:t>SW64</w:t>
                  </w:r>
                </w:p>
              </w:tc>
              <w:tc>
                <w:tcPr>
                  <w:tcW w:w="756" w:type="pct"/>
                  <w:vAlign w:val="center"/>
                </w:tcPr>
                <w:p w14:paraId="7BFBB4E7">
                  <w:pPr>
                    <w:pStyle w:val="55"/>
                    <w:widowControl w:val="0"/>
                    <w:ind w:left="-30" w:right="-30"/>
                    <w:rPr>
                      <w:b w:val="0"/>
                      <w:bCs w:val="0"/>
                      <w:color w:val="auto"/>
                      <w:sz w:val="21"/>
                      <w:szCs w:val="21"/>
                    </w:rPr>
                  </w:pPr>
                  <w:r>
                    <w:rPr>
                      <w:rFonts w:hint="eastAsia"/>
                      <w:b w:val="0"/>
                      <w:bCs w:val="0"/>
                      <w:color w:val="auto"/>
                      <w:sz w:val="21"/>
                      <w:szCs w:val="21"/>
                    </w:rPr>
                    <w:t>900-099-S64</w:t>
                  </w:r>
                </w:p>
              </w:tc>
              <w:tc>
                <w:tcPr>
                  <w:tcW w:w="545" w:type="pct"/>
                  <w:vAlign w:val="center"/>
                </w:tcPr>
                <w:p w14:paraId="3B332A19">
                  <w:pPr>
                    <w:pStyle w:val="5"/>
                    <w:adjustRightInd w:val="0"/>
                    <w:snapToGrid w:val="0"/>
                    <w:ind w:firstLine="0" w:firstLineChars="0"/>
                    <w:jc w:val="center"/>
                    <w:rPr>
                      <w:color w:val="auto"/>
                      <w:kern w:val="0"/>
                      <w:szCs w:val="21"/>
                    </w:rPr>
                  </w:pPr>
                  <w:r>
                    <w:rPr>
                      <w:rFonts w:hint="eastAsia"/>
                      <w:color w:val="auto"/>
                      <w:kern w:val="0"/>
                      <w:szCs w:val="21"/>
                      <w:lang w:val="en-US" w:eastAsia="zh-CN"/>
                    </w:rPr>
                    <w:t>9</w:t>
                  </w:r>
                </w:p>
              </w:tc>
            </w:tr>
          </w:tbl>
          <w:p w14:paraId="16897108">
            <w:pPr>
              <w:adjustRightInd w:val="0"/>
              <w:snapToGrid w:val="0"/>
              <w:spacing w:line="360" w:lineRule="auto"/>
              <w:ind w:firstLine="422" w:firstLineChars="200"/>
              <w:rPr>
                <w:b/>
                <w:color w:val="auto"/>
                <w:kern w:val="0"/>
              </w:rPr>
            </w:pPr>
            <w:r>
              <w:rPr>
                <w:rFonts w:hint="eastAsia"/>
                <w:b/>
                <w:color w:val="auto"/>
                <w:kern w:val="0"/>
              </w:rPr>
              <w:t>（3）固体废物处置方式</w:t>
            </w:r>
          </w:p>
          <w:p w14:paraId="609CF8AE">
            <w:pPr>
              <w:pStyle w:val="699"/>
              <w:spacing w:beforeLines="0" w:afterLines="0"/>
              <w:rPr>
                <w:rFonts w:eastAsia="宋体"/>
                <w:snapToGrid w:val="0"/>
                <w:color w:val="auto"/>
                <w:kern w:val="0"/>
                <w:sz w:val="21"/>
                <w:szCs w:val="21"/>
              </w:rPr>
            </w:pPr>
            <w:r>
              <w:rPr>
                <w:rFonts w:eastAsia="宋体"/>
                <w:snapToGrid w:val="0"/>
                <w:color w:val="auto"/>
                <w:kern w:val="0"/>
                <w:sz w:val="21"/>
                <w:szCs w:val="21"/>
              </w:rPr>
              <w:t>表4-</w:t>
            </w:r>
            <w:r>
              <w:rPr>
                <w:rFonts w:hint="eastAsia" w:eastAsia="宋体"/>
                <w:snapToGrid w:val="0"/>
                <w:color w:val="auto"/>
                <w:kern w:val="0"/>
                <w:sz w:val="21"/>
                <w:szCs w:val="21"/>
                <w:lang w:val="en-US" w:eastAsia="zh-CN"/>
              </w:rPr>
              <w:t>24</w:t>
            </w:r>
            <w:r>
              <w:rPr>
                <w:rFonts w:hint="eastAsia" w:eastAsia="宋体"/>
                <w:snapToGrid w:val="0"/>
                <w:color w:val="auto"/>
                <w:kern w:val="0"/>
                <w:sz w:val="21"/>
                <w:szCs w:val="21"/>
              </w:rPr>
              <w:t xml:space="preserve">  </w:t>
            </w:r>
            <w:r>
              <w:rPr>
                <w:rFonts w:eastAsia="宋体"/>
                <w:snapToGrid w:val="0"/>
                <w:color w:val="auto"/>
                <w:kern w:val="0"/>
                <w:sz w:val="21"/>
                <w:szCs w:val="21"/>
              </w:rPr>
              <w:t xml:space="preserve"> </w:t>
            </w:r>
            <w:r>
              <w:rPr>
                <w:rFonts w:hint="eastAsia" w:eastAsia="宋体"/>
                <w:snapToGrid w:val="0"/>
                <w:color w:val="auto"/>
                <w:kern w:val="0"/>
                <w:sz w:val="21"/>
                <w:szCs w:val="21"/>
              </w:rPr>
              <w:t>项目固体废物利用处置方式评价表</w:t>
            </w:r>
          </w:p>
          <w:tbl>
            <w:tblPr>
              <w:tblStyle w:val="59"/>
              <w:tblW w:w="4997"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0" w:type="dxa"/>
                <w:bottom w:w="0" w:type="dxa"/>
                <w:right w:w="0" w:type="dxa"/>
              </w:tblCellMar>
            </w:tblPr>
            <w:tblGrid>
              <w:gridCol w:w="1669"/>
              <w:gridCol w:w="1563"/>
              <w:gridCol w:w="957"/>
              <w:gridCol w:w="1451"/>
              <w:gridCol w:w="1056"/>
              <w:gridCol w:w="1010"/>
              <w:gridCol w:w="1150"/>
            </w:tblGrid>
            <w:tr w14:paraId="02670E0F">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942" w:type="pct"/>
                  <w:tcBorders>
                    <w:tl2br w:val="nil"/>
                    <w:tr2bl w:val="nil"/>
                  </w:tcBorders>
                  <w:vAlign w:val="center"/>
                </w:tcPr>
                <w:p w14:paraId="6EAF32C5">
                  <w:pPr>
                    <w:pStyle w:val="693"/>
                    <w:rPr>
                      <w:rFonts w:eastAsia="宋体"/>
                      <w:color w:val="auto"/>
                      <w:kern w:val="0"/>
                    </w:rPr>
                  </w:pPr>
                  <w:r>
                    <w:rPr>
                      <w:rFonts w:eastAsia="宋体"/>
                      <w:color w:val="auto"/>
                      <w:kern w:val="0"/>
                    </w:rPr>
                    <w:t>固体废物名称</w:t>
                  </w:r>
                </w:p>
              </w:tc>
              <w:tc>
                <w:tcPr>
                  <w:tcW w:w="882" w:type="pct"/>
                  <w:tcBorders>
                    <w:tl2br w:val="nil"/>
                    <w:tr2bl w:val="nil"/>
                  </w:tcBorders>
                  <w:vAlign w:val="center"/>
                </w:tcPr>
                <w:p w14:paraId="04BBA070">
                  <w:pPr>
                    <w:pStyle w:val="693"/>
                    <w:rPr>
                      <w:rFonts w:eastAsia="宋体"/>
                      <w:color w:val="auto"/>
                      <w:kern w:val="0"/>
                    </w:rPr>
                  </w:pPr>
                  <w:r>
                    <w:rPr>
                      <w:rFonts w:hint="eastAsia" w:eastAsia="宋体"/>
                      <w:color w:val="auto"/>
                      <w:kern w:val="0"/>
                    </w:rPr>
                    <w:t>产生</w:t>
                  </w:r>
                  <w:r>
                    <w:rPr>
                      <w:rFonts w:eastAsia="宋体"/>
                      <w:color w:val="auto"/>
                      <w:kern w:val="0"/>
                    </w:rPr>
                    <w:t>工序</w:t>
                  </w:r>
                </w:p>
              </w:tc>
              <w:tc>
                <w:tcPr>
                  <w:tcW w:w="540" w:type="pct"/>
                  <w:tcBorders>
                    <w:tl2br w:val="nil"/>
                    <w:tr2bl w:val="nil"/>
                  </w:tcBorders>
                  <w:vAlign w:val="center"/>
                </w:tcPr>
                <w:p w14:paraId="5E2F409D">
                  <w:pPr>
                    <w:pStyle w:val="693"/>
                    <w:rPr>
                      <w:rFonts w:eastAsia="宋体"/>
                      <w:color w:val="auto"/>
                      <w:kern w:val="0"/>
                    </w:rPr>
                  </w:pPr>
                  <w:r>
                    <w:rPr>
                      <w:rFonts w:eastAsia="宋体"/>
                      <w:color w:val="auto"/>
                      <w:kern w:val="0"/>
                    </w:rPr>
                    <w:t>固废属性</w:t>
                  </w:r>
                </w:p>
              </w:tc>
              <w:tc>
                <w:tcPr>
                  <w:tcW w:w="819" w:type="pct"/>
                  <w:tcBorders>
                    <w:tl2br w:val="nil"/>
                    <w:tr2bl w:val="nil"/>
                  </w:tcBorders>
                  <w:vAlign w:val="center"/>
                </w:tcPr>
                <w:p w14:paraId="5C08227E">
                  <w:pPr>
                    <w:pStyle w:val="693"/>
                    <w:rPr>
                      <w:rFonts w:eastAsia="宋体"/>
                      <w:color w:val="auto"/>
                      <w:kern w:val="0"/>
                    </w:rPr>
                  </w:pPr>
                  <w:r>
                    <w:rPr>
                      <w:rFonts w:hint="eastAsia" w:eastAsia="宋体"/>
                      <w:color w:val="auto"/>
                      <w:kern w:val="0"/>
                    </w:rPr>
                    <w:t>废物代码</w:t>
                  </w:r>
                </w:p>
              </w:tc>
              <w:tc>
                <w:tcPr>
                  <w:tcW w:w="596" w:type="pct"/>
                  <w:tcBorders>
                    <w:tl2br w:val="nil"/>
                    <w:tr2bl w:val="nil"/>
                  </w:tcBorders>
                  <w:vAlign w:val="center"/>
                </w:tcPr>
                <w:p w14:paraId="092769AA">
                  <w:pPr>
                    <w:pStyle w:val="693"/>
                    <w:rPr>
                      <w:rFonts w:eastAsia="宋体"/>
                      <w:color w:val="auto"/>
                      <w:kern w:val="0"/>
                    </w:rPr>
                  </w:pPr>
                  <w:r>
                    <w:rPr>
                      <w:rFonts w:hint="eastAsia" w:eastAsia="宋体"/>
                      <w:color w:val="auto"/>
                      <w:kern w:val="0"/>
                    </w:rPr>
                    <w:t>产生量（t/a）</w:t>
                  </w:r>
                </w:p>
              </w:tc>
              <w:tc>
                <w:tcPr>
                  <w:tcW w:w="570" w:type="pct"/>
                  <w:tcBorders>
                    <w:tl2br w:val="nil"/>
                    <w:tr2bl w:val="nil"/>
                  </w:tcBorders>
                  <w:vAlign w:val="center"/>
                </w:tcPr>
                <w:p w14:paraId="76EF21BB">
                  <w:pPr>
                    <w:pStyle w:val="696"/>
                    <w:rPr>
                      <w:color w:val="auto"/>
                      <w:kern w:val="0"/>
                    </w:rPr>
                  </w:pPr>
                  <w:r>
                    <w:rPr>
                      <w:b/>
                      <w:color w:val="auto"/>
                      <w:kern w:val="0"/>
                    </w:rPr>
                    <w:t>处理处置方式</w:t>
                  </w:r>
                </w:p>
              </w:tc>
              <w:tc>
                <w:tcPr>
                  <w:tcW w:w="649" w:type="pct"/>
                  <w:tcBorders>
                    <w:tl2br w:val="nil"/>
                    <w:tr2bl w:val="nil"/>
                  </w:tcBorders>
                  <w:vAlign w:val="center"/>
                </w:tcPr>
                <w:p w14:paraId="6020784A">
                  <w:pPr>
                    <w:pStyle w:val="696"/>
                    <w:rPr>
                      <w:color w:val="auto"/>
                      <w:kern w:val="0"/>
                    </w:rPr>
                  </w:pPr>
                  <w:r>
                    <w:rPr>
                      <w:b/>
                      <w:color w:val="auto"/>
                      <w:kern w:val="0"/>
                    </w:rPr>
                    <w:t>利用处置单位</w:t>
                  </w:r>
                </w:p>
              </w:tc>
            </w:tr>
            <w:tr w14:paraId="7C67A1D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942" w:type="pct"/>
                  <w:tcBorders>
                    <w:tl2br w:val="nil"/>
                    <w:tr2bl w:val="nil"/>
                  </w:tcBorders>
                  <w:vAlign w:val="center"/>
                </w:tcPr>
                <w:p w14:paraId="6BD24E40">
                  <w:pPr>
                    <w:pStyle w:val="5"/>
                    <w:adjustRightInd w:val="0"/>
                    <w:snapToGrid w:val="0"/>
                    <w:ind w:firstLine="0" w:firstLineChars="0"/>
                    <w:jc w:val="center"/>
                    <w:rPr>
                      <w:rFonts w:hint="eastAsia"/>
                      <w:bCs/>
                      <w:color w:val="auto"/>
                      <w:kern w:val="0"/>
                      <w:szCs w:val="21"/>
                    </w:rPr>
                  </w:pPr>
                  <w:r>
                    <w:rPr>
                      <w:rFonts w:hint="eastAsia"/>
                      <w:bCs/>
                      <w:color w:val="auto"/>
                      <w:kern w:val="0"/>
                      <w:szCs w:val="21"/>
                      <w:lang w:val="en-US" w:eastAsia="zh-CN"/>
                    </w:rPr>
                    <w:t>废金属屑</w:t>
                  </w:r>
                </w:p>
              </w:tc>
              <w:tc>
                <w:tcPr>
                  <w:tcW w:w="882" w:type="pct"/>
                  <w:tcBorders>
                    <w:tl2br w:val="nil"/>
                    <w:tr2bl w:val="nil"/>
                  </w:tcBorders>
                  <w:vAlign w:val="center"/>
                </w:tcPr>
                <w:p w14:paraId="07766A3E">
                  <w:pPr>
                    <w:widowControl/>
                    <w:adjustRightInd w:val="0"/>
                    <w:snapToGrid w:val="0"/>
                    <w:jc w:val="center"/>
                    <w:textAlignment w:val="center"/>
                    <w:rPr>
                      <w:rFonts w:hint="eastAsia"/>
                      <w:color w:val="auto"/>
                      <w:kern w:val="0"/>
                    </w:rPr>
                  </w:pPr>
                  <w:r>
                    <w:rPr>
                      <w:rFonts w:hint="eastAsia"/>
                      <w:color w:val="auto"/>
                      <w:kern w:val="0"/>
                      <w:lang w:val="en-US" w:eastAsia="zh-CN"/>
                    </w:rPr>
                    <w:t>铣床加工</w:t>
                  </w:r>
                </w:p>
              </w:tc>
              <w:tc>
                <w:tcPr>
                  <w:tcW w:w="540" w:type="pct"/>
                  <w:vMerge w:val="restart"/>
                  <w:tcBorders>
                    <w:tl2br w:val="nil"/>
                    <w:tr2bl w:val="nil"/>
                  </w:tcBorders>
                  <w:vAlign w:val="center"/>
                </w:tcPr>
                <w:p w14:paraId="469E55AC">
                  <w:pPr>
                    <w:pStyle w:val="693"/>
                    <w:rPr>
                      <w:rFonts w:eastAsia="宋体"/>
                      <w:b w:val="0"/>
                      <w:bCs/>
                      <w:color w:val="auto"/>
                      <w:kern w:val="0"/>
                    </w:rPr>
                  </w:pPr>
                  <w:r>
                    <w:rPr>
                      <w:rFonts w:hint="eastAsia" w:eastAsia="宋体"/>
                      <w:b w:val="0"/>
                      <w:bCs/>
                      <w:color w:val="auto"/>
                      <w:kern w:val="0"/>
                    </w:rPr>
                    <w:t>一般固废</w:t>
                  </w:r>
                </w:p>
              </w:tc>
              <w:tc>
                <w:tcPr>
                  <w:tcW w:w="819" w:type="pct"/>
                  <w:tcBorders>
                    <w:tl2br w:val="nil"/>
                    <w:tr2bl w:val="nil"/>
                  </w:tcBorders>
                  <w:vAlign w:val="center"/>
                </w:tcPr>
                <w:p w14:paraId="5C2F4DE1">
                  <w:pPr>
                    <w:jc w:val="center"/>
                    <w:rPr>
                      <w:rFonts w:hint="eastAsia"/>
                      <w:color w:val="auto"/>
                      <w:kern w:val="0"/>
                    </w:rPr>
                  </w:pPr>
                  <w:r>
                    <w:rPr>
                      <w:rFonts w:hint="eastAsia"/>
                      <w:color w:val="auto"/>
                      <w:kern w:val="0"/>
                      <w:lang w:val="en-US" w:eastAsia="zh-CN"/>
                    </w:rPr>
                    <w:t>900-099-S59</w:t>
                  </w:r>
                </w:p>
              </w:tc>
              <w:tc>
                <w:tcPr>
                  <w:tcW w:w="596" w:type="pct"/>
                  <w:tcBorders>
                    <w:tl2br w:val="nil"/>
                    <w:tr2bl w:val="nil"/>
                  </w:tcBorders>
                  <w:vAlign w:val="center"/>
                </w:tcPr>
                <w:p w14:paraId="0C297BAD">
                  <w:pPr>
                    <w:pStyle w:val="5"/>
                    <w:adjustRightInd w:val="0"/>
                    <w:snapToGrid w:val="0"/>
                    <w:ind w:firstLine="0" w:firstLineChars="0"/>
                    <w:jc w:val="center"/>
                    <w:rPr>
                      <w:rFonts w:hint="eastAsia"/>
                      <w:color w:val="auto"/>
                      <w:kern w:val="0"/>
                      <w:szCs w:val="21"/>
                      <w:lang w:val="en-US" w:eastAsia="zh-CN"/>
                    </w:rPr>
                  </w:pPr>
                  <w:r>
                    <w:rPr>
                      <w:rFonts w:hint="eastAsia"/>
                      <w:color w:val="auto"/>
                      <w:kern w:val="0"/>
                      <w:szCs w:val="21"/>
                      <w:lang w:val="en-US" w:eastAsia="zh-CN"/>
                    </w:rPr>
                    <w:t>2</w:t>
                  </w:r>
                </w:p>
              </w:tc>
              <w:tc>
                <w:tcPr>
                  <w:tcW w:w="570" w:type="pct"/>
                  <w:vMerge w:val="restart"/>
                  <w:tcBorders>
                    <w:tl2br w:val="nil"/>
                    <w:tr2bl w:val="nil"/>
                  </w:tcBorders>
                  <w:vAlign w:val="center"/>
                </w:tcPr>
                <w:p w14:paraId="21DDACB7">
                  <w:pPr>
                    <w:adjustRightInd w:val="0"/>
                    <w:snapToGrid w:val="0"/>
                    <w:jc w:val="center"/>
                    <w:rPr>
                      <w:color w:val="auto"/>
                      <w:kern w:val="0"/>
                    </w:rPr>
                  </w:pPr>
                  <w:r>
                    <w:rPr>
                      <w:rFonts w:hint="eastAsia"/>
                      <w:color w:val="auto"/>
                      <w:kern w:val="0"/>
                    </w:rPr>
                    <w:t>外售处置</w:t>
                  </w:r>
                </w:p>
              </w:tc>
              <w:tc>
                <w:tcPr>
                  <w:tcW w:w="649" w:type="pct"/>
                  <w:vMerge w:val="restart"/>
                  <w:tcBorders>
                    <w:tl2br w:val="nil"/>
                    <w:tr2bl w:val="nil"/>
                  </w:tcBorders>
                  <w:vAlign w:val="center"/>
                </w:tcPr>
                <w:p w14:paraId="2E574828">
                  <w:pPr>
                    <w:adjustRightInd w:val="0"/>
                    <w:snapToGrid w:val="0"/>
                    <w:jc w:val="center"/>
                    <w:rPr>
                      <w:bCs/>
                      <w:color w:val="auto"/>
                      <w:kern w:val="0"/>
                    </w:rPr>
                  </w:pPr>
                  <w:r>
                    <w:rPr>
                      <w:rFonts w:hint="eastAsia"/>
                      <w:color w:val="auto"/>
                      <w:kern w:val="0"/>
                    </w:rPr>
                    <w:t>外售处置</w:t>
                  </w:r>
                </w:p>
              </w:tc>
            </w:tr>
            <w:tr w14:paraId="07D652C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942" w:type="pct"/>
                  <w:tcBorders>
                    <w:tl2br w:val="nil"/>
                    <w:tr2bl w:val="nil"/>
                  </w:tcBorders>
                  <w:vAlign w:val="center"/>
                </w:tcPr>
                <w:p w14:paraId="50A000DB">
                  <w:pPr>
                    <w:pStyle w:val="5"/>
                    <w:adjustRightInd w:val="0"/>
                    <w:snapToGrid w:val="0"/>
                    <w:ind w:firstLine="0" w:firstLineChars="0"/>
                    <w:jc w:val="center"/>
                    <w:rPr>
                      <w:bCs/>
                      <w:color w:val="auto"/>
                      <w:kern w:val="0"/>
                      <w:szCs w:val="21"/>
                    </w:rPr>
                  </w:pPr>
                  <w:r>
                    <w:rPr>
                      <w:rFonts w:hint="eastAsia"/>
                      <w:bCs/>
                      <w:color w:val="auto"/>
                      <w:kern w:val="0"/>
                      <w:szCs w:val="21"/>
                      <w:lang w:val="en-US" w:eastAsia="zh-CN"/>
                    </w:rPr>
                    <w:t>一般废包材</w:t>
                  </w:r>
                </w:p>
              </w:tc>
              <w:tc>
                <w:tcPr>
                  <w:tcW w:w="882" w:type="pct"/>
                  <w:tcBorders>
                    <w:tl2br w:val="nil"/>
                    <w:tr2bl w:val="nil"/>
                  </w:tcBorders>
                  <w:vAlign w:val="center"/>
                </w:tcPr>
                <w:p w14:paraId="14220FE8">
                  <w:pPr>
                    <w:widowControl/>
                    <w:adjustRightInd w:val="0"/>
                    <w:snapToGrid w:val="0"/>
                    <w:jc w:val="center"/>
                    <w:textAlignment w:val="center"/>
                    <w:rPr>
                      <w:color w:val="auto"/>
                      <w:kern w:val="0"/>
                    </w:rPr>
                  </w:pPr>
                  <w:r>
                    <w:rPr>
                      <w:rFonts w:hint="eastAsia"/>
                      <w:color w:val="auto"/>
                      <w:kern w:val="0"/>
                    </w:rPr>
                    <w:t>原料拆包</w:t>
                  </w:r>
                </w:p>
              </w:tc>
              <w:tc>
                <w:tcPr>
                  <w:tcW w:w="540" w:type="pct"/>
                  <w:vMerge w:val="continue"/>
                  <w:tcBorders>
                    <w:tl2br w:val="nil"/>
                    <w:tr2bl w:val="nil"/>
                  </w:tcBorders>
                  <w:vAlign w:val="center"/>
                </w:tcPr>
                <w:p w14:paraId="1AC3D00F">
                  <w:pPr>
                    <w:pStyle w:val="693"/>
                    <w:rPr>
                      <w:rFonts w:eastAsia="宋体"/>
                      <w:b w:val="0"/>
                      <w:bCs/>
                      <w:color w:val="auto"/>
                      <w:kern w:val="0"/>
                    </w:rPr>
                  </w:pPr>
                </w:p>
              </w:tc>
              <w:tc>
                <w:tcPr>
                  <w:tcW w:w="819" w:type="pct"/>
                  <w:tcBorders>
                    <w:tl2br w:val="nil"/>
                    <w:tr2bl w:val="nil"/>
                  </w:tcBorders>
                  <w:vAlign w:val="center"/>
                </w:tcPr>
                <w:p w14:paraId="00C9BB57">
                  <w:pPr>
                    <w:jc w:val="center"/>
                    <w:rPr>
                      <w:color w:val="auto"/>
                      <w:kern w:val="0"/>
                    </w:rPr>
                  </w:pPr>
                  <w:r>
                    <w:rPr>
                      <w:rFonts w:hint="eastAsia"/>
                      <w:color w:val="auto"/>
                      <w:kern w:val="0"/>
                    </w:rPr>
                    <w:t>900-00</w:t>
                  </w:r>
                  <w:r>
                    <w:rPr>
                      <w:rFonts w:hint="eastAsia"/>
                      <w:color w:val="auto"/>
                      <w:kern w:val="0"/>
                      <w:lang w:val="en-US" w:eastAsia="zh-CN"/>
                    </w:rPr>
                    <w:t>5-S17</w:t>
                  </w:r>
                </w:p>
              </w:tc>
              <w:tc>
                <w:tcPr>
                  <w:tcW w:w="596" w:type="pct"/>
                  <w:tcBorders>
                    <w:tl2br w:val="nil"/>
                    <w:tr2bl w:val="nil"/>
                  </w:tcBorders>
                  <w:vAlign w:val="center"/>
                </w:tcPr>
                <w:p w14:paraId="4E090B62">
                  <w:pPr>
                    <w:pStyle w:val="5"/>
                    <w:adjustRightInd w:val="0"/>
                    <w:snapToGrid w:val="0"/>
                    <w:ind w:firstLine="0" w:firstLineChars="0"/>
                    <w:jc w:val="center"/>
                    <w:rPr>
                      <w:color w:val="auto"/>
                      <w:kern w:val="0"/>
                      <w:szCs w:val="21"/>
                    </w:rPr>
                  </w:pPr>
                  <w:r>
                    <w:rPr>
                      <w:rFonts w:hint="eastAsia"/>
                      <w:color w:val="auto"/>
                      <w:kern w:val="0"/>
                      <w:szCs w:val="21"/>
                      <w:lang w:val="en-US" w:eastAsia="zh-CN"/>
                    </w:rPr>
                    <w:t>1</w:t>
                  </w:r>
                </w:p>
              </w:tc>
              <w:tc>
                <w:tcPr>
                  <w:tcW w:w="570" w:type="pct"/>
                  <w:vMerge w:val="continue"/>
                  <w:tcBorders>
                    <w:tl2br w:val="nil"/>
                    <w:tr2bl w:val="nil"/>
                  </w:tcBorders>
                  <w:vAlign w:val="center"/>
                </w:tcPr>
                <w:p w14:paraId="4EA07B0A">
                  <w:pPr>
                    <w:adjustRightInd w:val="0"/>
                    <w:snapToGrid w:val="0"/>
                    <w:jc w:val="center"/>
                    <w:rPr>
                      <w:color w:val="auto"/>
                      <w:kern w:val="0"/>
                    </w:rPr>
                  </w:pPr>
                </w:p>
              </w:tc>
              <w:tc>
                <w:tcPr>
                  <w:tcW w:w="649" w:type="pct"/>
                  <w:vMerge w:val="continue"/>
                  <w:tcBorders>
                    <w:tl2br w:val="nil"/>
                    <w:tr2bl w:val="nil"/>
                  </w:tcBorders>
                  <w:vAlign w:val="center"/>
                </w:tcPr>
                <w:p w14:paraId="246E8BD0">
                  <w:pPr>
                    <w:adjustRightInd w:val="0"/>
                    <w:snapToGrid w:val="0"/>
                    <w:jc w:val="center"/>
                    <w:rPr>
                      <w:bCs/>
                      <w:color w:val="auto"/>
                      <w:kern w:val="0"/>
                    </w:rPr>
                  </w:pPr>
                </w:p>
              </w:tc>
            </w:tr>
            <w:tr w14:paraId="163EE35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942" w:type="pct"/>
                  <w:tcBorders>
                    <w:tl2br w:val="nil"/>
                    <w:tr2bl w:val="nil"/>
                  </w:tcBorders>
                  <w:vAlign w:val="center"/>
                </w:tcPr>
                <w:p w14:paraId="4EDCF196">
                  <w:pPr>
                    <w:pStyle w:val="5"/>
                    <w:adjustRightInd w:val="0"/>
                    <w:snapToGrid w:val="0"/>
                    <w:ind w:firstLine="0" w:firstLineChars="0"/>
                    <w:jc w:val="center"/>
                    <w:rPr>
                      <w:bCs/>
                      <w:color w:val="auto"/>
                      <w:kern w:val="0"/>
                      <w:szCs w:val="21"/>
                    </w:rPr>
                  </w:pPr>
                  <w:r>
                    <w:rPr>
                      <w:rFonts w:hint="eastAsia"/>
                      <w:bCs/>
                      <w:color w:val="auto"/>
                      <w:kern w:val="0"/>
                      <w:szCs w:val="21"/>
                      <w:lang w:val="en-US" w:eastAsia="zh-CN"/>
                    </w:rPr>
                    <w:t>废切削液</w:t>
                  </w:r>
                </w:p>
              </w:tc>
              <w:tc>
                <w:tcPr>
                  <w:tcW w:w="882" w:type="pct"/>
                  <w:tcBorders>
                    <w:tl2br w:val="nil"/>
                    <w:tr2bl w:val="nil"/>
                  </w:tcBorders>
                  <w:vAlign w:val="center"/>
                </w:tcPr>
                <w:p w14:paraId="7FE191C5">
                  <w:pPr>
                    <w:widowControl/>
                    <w:adjustRightInd w:val="0"/>
                    <w:snapToGrid w:val="0"/>
                    <w:jc w:val="center"/>
                    <w:textAlignment w:val="center"/>
                    <w:rPr>
                      <w:color w:val="auto"/>
                      <w:kern w:val="0"/>
                    </w:rPr>
                  </w:pPr>
                  <w:r>
                    <w:rPr>
                      <w:rFonts w:hint="eastAsia"/>
                      <w:color w:val="auto"/>
                      <w:kern w:val="0"/>
                      <w:lang w:val="en-US" w:eastAsia="zh-CN"/>
                    </w:rPr>
                    <w:t>铣床加工</w:t>
                  </w:r>
                </w:p>
              </w:tc>
              <w:tc>
                <w:tcPr>
                  <w:tcW w:w="540" w:type="pct"/>
                  <w:vMerge w:val="restart"/>
                  <w:tcBorders>
                    <w:tl2br w:val="nil"/>
                    <w:tr2bl w:val="nil"/>
                  </w:tcBorders>
                  <w:vAlign w:val="center"/>
                </w:tcPr>
                <w:p w14:paraId="50760557">
                  <w:pPr>
                    <w:pStyle w:val="693"/>
                    <w:rPr>
                      <w:rFonts w:eastAsia="宋体"/>
                      <w:b w:val="0"/>
                      <w:bCs/>
                      <w:color w:val="auto"/>
                      <w:kern w:val="0"/>
                    </w:rPr>
                  </w:pPr>
                  <w:r>
                    <w:rPr>
                      <w:rFonts w:hint="eastAsia" w:eastAsia="宋体"/>
                      <w:b w:val="0"/>
                      <w:bCs/>
                      <w:color w:val="auto"/>
                      <w:kern w:val="0"/>
                    </w:rPr>
                    <w:t>危险废物</w:t>
                  </w:r>
                </w:p>
              </w:tc>
              <w:tc>
                <w:tcPr>
                  <w:tcW w:w="819" w:type="pct"/>
                  <w:tcBorders>
                    <w:tl2br w:val="nil"/>
                    <w:tr2bl w:val="nil"/>
                  </w:tcBorders>
                  <w:vAlign w:val="center"/>
                </w:tcPr>
                <w:p w14:paraId="0F39341D">
                  <w:pPr>
                    <w:jc w:val="center"/>
                    <w:rPr>
                      <w:color w:val="auto"/>
                      <w:kern w:val="0"/>
                    </w:rPr>
                  </w:pPr>
                  <w:r>
                    <w:rPr>
                      <w:color w:val="auto"/>
                      <w:highlight w:val="none"/>
                    </w:rPr>
                    <w:t>900-</w:t>
                  </w:r>
                  <w:r>
                    <w:rPr>
                      <w:rFonts w:hint="eastAsia"/>
                      <w:color w:val="auto"/>
                      <w:highlight w:val="none"/>
                    </w:rPr>
                    <w:t>006-09</w:t>
                  </w:r>
                </w:p>
              </w:tc>
              <w:tc>
                <w:tcPr>
                  <w:tcW w:w="596" w:type="pct"/>
                  <w:tcBorders>
                    <w:tl2br w:val="nil"/>
                    <w:tr2bl w:val="nil"/>
                  </w:tcBorders>
                  <w:vAlign w:val="center"/>
                </w:tcPr>
                <w:p w14:paraId="2664CC0F">
                  <w:pPr>
                    <w:pStyle w:val="5"/>
                    <w:adjustRightInd w:val="0"/>
                    <w:snapToGrid w:val="0"/>
                    <w:ind w:firstLine="0" w:firstLineChars="0"/>
                    <w:jc w:val="center"/>
                    <w:rPr>
                      <w:rFonts w:hint="default" w:eastAsia="宋体"/>
                      <w:color w:val="auto"/>
                      <w:kern w:val="0"/>
                      <w:szCs w:val="21"/>
                      <w:lang w:val="en-US" w:eastAsia="zh-CN"/>
                    </w:rPr>
                  </w:pPr>
                  <w:r>
                    <w:rPr>
                      <w:rFonts w:hint="eastAsia"/>
                      <w:color w:val="auto"/>
                      <w:kern w:val="0"/>
                      <w:szCs w:val="21"/>
                      <w:lang w:val="en-US" w:eastAsia="zh-CN"/>
                    </w:rPr>
                    <w:t>0.88</w:t>
                  </w:r>
                </w:p>
              </w:tc>
              <w:tc>
                <w:tcPr>
                  <w:tcW w:w="570" w:type="pct"/>
                  <w:vMerge w:val="restart"/>
                  <w:tcBorders>
                    <w:tl2br w:val="nil"/>
                    <w:tr2bl w:val="nil"/>
                  </w:tcBorders>
                  <w:vAlign w:val="center"/>
                </w:tcPr>
                <w:p w14:paraId="48B85436">
                  <w:pPr>
                    <w:adjustRightInd w:val="0"/>
                    <w:snapToGrid w:val="0"/>
                    <w:jc w:val="center"/>
                    <w:rPr>
                      <w:color w:val="auto"/>
                      <w:kern w:val="0"/>
                    </w:rPr>
                  </w:pPr>
                  <w:r>
                    <w:rPr>
                      <w:rFonts w:hint="eastAsia"/>
                      <w:color w:val="auto"/>
                      <w:kern w:val="0"/>
                    </w:rPr>
                    <w:t>有资质单位处置</w:t>
                  </w:r>
                </w:p>
              </w:tc>
              <w:tc>
                <w:tcPr>
                  <w:tcW w:w="649" w:type="pct"/>
                  <w:vMerge w:val="restart"/>
                  <w:tcBorders>
                    <w:tl2br w:val="nil"/>
                    <w:tr2bl w:val="nil"/>
                  </w:tcBorders>
                  <w:vAlign w:val="center"/>
                </w:tcPr>
                <w:p w14:paraId="6170BF34">
                  <w:pPr>
                    <w:adjustRightInd w:val="0"/>
                    <w:snapToGrid w:val="0"/>
                    <w:jc w:val="center"/>
                    <w:rPr>
                      <w:bCs/>
                      <w:color w:val="auto"/>
                      <w:kern w:val="0"/>
                    </w:rPr>
                  </w:pPr>
                  <w:r>
                    <w:rPr>
                      <w:rFonts w:hint="eastAsia"/>
                      <w:color w:val="auto"/>
                      <w:kern w:val="0"/>
                    </w:rPr>
                    <w:t>有资质单位处置</w:t>
                  </w:r>
                </w:p>
              </w:tc>
            </w:tr>
            <w:tr w14:paraId="7ECE7D0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942" w:type="pct"/>
                  <w:tcBorders>
                    <w:tl2br w:val="nil"/>
                    <w:tr2bl w:val="nil"/>
                  </w:tcBorders>
                  <w:vAlign w:val="center"/>
                </w:tcPr>
                <w:p w14:paraId="5ED15DDC">
                  <w:pPr>
                    <w:pStyle w:val="5"/>
                    <w:adjustRightInd w:val="0"/>
                    <w:snapToGrid w:val="0"/>
                    <w:ind w:firstLine="0" w:firstLineChars="0"/>
                    <w:jc w:val="center"/>
                    <w:rPr>
                      <w:bCs/>
                      <w:color w:val="auto"/>
                      <w:kern w:val="0"/>
                      <w:szCs w:val="21"/>
                    </w:rPr>
                  </w:pPr>
                  <w:r>
                    <w:rPr>
                      <w:rFonts w:hint="eastAsia"/>
                      <w:bCs/>
                      <w:color w:val="auto"/>
                      <w:kern w:val="0"/>
                      <w:szCs w:val="21"/>
                      <w:lang w:val="en-US" w:eastAsia="zh-CN"/>
                    </w:rPr>
                    <w:t>清洗废液</w:t>
                  </w:r>
                </w:p>
              </w:tc>
              <w:tc>
                <w:tcPr>
                  <w:tcW w:w="882" w:type="pct"/>
                  <w:tcBorders>
                    <w:tl2br w:val="nil"/>
                    <w:tr2bl w:val="nil"/>
                  </w:tcBorders>
                  <w:vAlign w:val="center"/>
                </w:tcPr>
                <w:p w14:paraId="15675FE2">
                  <w:pPr>
                    <w:widowControl/>
                    <w:adjustRightInd w:val="0"/>
                    <w:snapToGrid w:val="0"/>
                    <w:jc w:val="center"/>
                    <w:textAlignment w:val="center"/>
                    <w:rPr>
                      <w:color w:val="auto"/>
                      <w:kern w:val="0"/>
                    </w:rPr>
                  </w:pPr>
                  <w:r>
                    <w:rPr>
                      <w:rFonts w:hint="eastAsia"/>
                      <w:color w:val="auto"/>
                      <w:kern w:val="0"/>
                      <w:lang w:val="en-US" w:eastAsia="zh-CN"/>
                    </w:rPr>
                    <w:t>高温清洗</w:t>
                  </w:r>
                </w:p>
              </w:tc>
              <w:tc>
                <w:tcPr>
                  <w:tcW w:w="540" w:type="pct"/>
                  <w:vMerge w:val="continue"/>
                  <w:tcBorders>
                    <w:tl2br w:val="nil"/>
                    <w:tr2bl w:val="nil"/>
                  </w:tcBorders>
                  <w:vAlign w:val="center"/>
                </w:tcPr>
                <w:p w14:paraId="58291B81">
                  <w:pPr>
                    <w:pStyle w:val="693"/>
                    <w:rPr>
                      <w:rFonts w:eastAsia="宋体"/>
                      <w:b w:val="0"/>
                      <w:bCs/>
                      <w:color w:val="auto"/>
                      <w:kern w:val="0"/>
                    </w:rPr>
                  </w:pPr>
                </w:p>
              </w:tc>
              <w:tc>
                <w:tcPr>
                  <w:tcW w:w="819" w:type="pct"/>
                  <w:tcBorders>
                    <w:tl2br w:val="nil"/>
                    <w:tr2bl w:val="nil"/>
                  </w:tcBorders>
                  <w:vAlign w:val="center"/>
                </w:tcPr>
                <w:p w14:paraId="43960CD7">
                  <w:pPr>
                    <w:jc w:val="center"/>
                    <w:rPr>
                      <w:color w:val="auto"/>
                      <w:kern w:val="0"/>
                    </w:rPr>
                  </w:pPr>
                  <w:r>
                    <w:rPr>
                      <w:rFonts w:hint="eastAsia"/>
                      <w:bCs/>
                      <w:color w:val="auto"/>
                      <w:kern w:val="0"/>
                      <w:lang w:val="en-US" w:eastAsia="zh-CN"/>
                    </w:rPr>
                    <w:t>900-007-09</w:t>
                  </w:r>
                </w:p>
              </w:tc>
              <w:tc>
                <w:tcPr>
                  <w:tcW w:w="596" w:type="pct"/>
                  <w:tcBorders>
                    <w:tl2br w:val="nil"/>
                    <w:tr2bl w:val="nil"/>
                  </w:tcBorders>
                  <w:vAlign w:val="center"/>
                </w:tcPr>
                <w:p w14:paraId="4D980739">
                  <w:pPr>
                    <w:pStyle w:val="5"/>
                    <w:adjustRightInd w:val="0"/>
                    <w:snapToGrid w:val="0"/>
                    <w:ind w:firstLine="0" w:firstLineChars="0"/>
                    <w:jc w:val="center"/>
                    <w:rPr>
                      <w:rFonts w:hint="default"/>
                      <w:color w:val="auto"/>
                      <w:kern w:val="0"/>
                      <w:szCs w:val="21"/>
                      <w:lang w:val="en-US"/>
                    </w:rPr>
                  </w:pPr>
                  <w:r>
                    <w:rPr>
                      <w:rFonts w:hint="eastAsia"/>
                      <w:color w:val="auto"/>
                      <w:kern w:val="0"/>
                      <w:szCs w:val="21"/>
                      <w:lang w:val="en-US" w:eastAsia="zh-CN"/>
                    </w:rPr>
                    <w:t>1.8</w:t>
                  </w:r>
                </w:p>
              </w:tc>
              <w:tc>
                <w:tcPr>
                  <w:tcW w:w="570" w:type="pct"/>
                  <w:vMerge w:val="continue"/>
                  <w:tcBorders>
                    <w:tl2br w:val="nil"/>
                    <w:tr2bl w:val="nil"/>
                  </w:tcBorders>
                  <w:vAlign w:val="center"/>
                </w:tcPr>
                <w:p w14:paraId="3C5654DA">
                  <w:pPr>
                    <w:adjustRightInd w:val="0"/>
                    <w:snapToGrid w:val="0"/>
                    <w:jc w:val="center"/>
                    <w:rPr>
                      <w:color w:val="auto"/>
                      <w:kern w:val="0"/>
                    </w:rPr>
                  </w:pPr>
                </w:p>
              </w:tc>
              <w:tc>
                <w:tcPr>
                  <w:tcW w:w="649" w:type="pct"/>
                  <w:vMerge w:val="continue"/>
                  <w:tcBorders>
                    <w:tl2br w:val="nil"/>
                    <w:tr2bl w:val="nil"/>
                  </w:tcBorders>
                  <w:vAlign w:val="center"/>
                </w:tcPr>
                <w:p w14:paraId="79EC3685">
                  <w:pPr>
                    <w:adjustRightInd w:val="0"/>
                    <w:snapToGrid w:val="0"/>
                    <w:jc w:val="center"/>
                    <w:rPr>
                      <w:bCs/>
                      <w:color w:val="auto"/>
                      <w:kern w:val="0"/>
                    </w:rPr>
                  </w:pPr>
                </w:p>
              </w:tc>
            </w:tr>
            <w:tr w14:paraId="0331CD2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942" w:type="pct"/>
                  <w:tcBorders>
                    <w:tl2br w:val="nil"/>
                    <w:tr2bl w:val="nil"/>
                  </w:tcBorders>
                  <w:vAlign w:val="center"/>
                </w:tcPr>
                <w:p w14:paraId="244B9F55">
                  <w:pPr>
                    <w:pStyle w:val="5"/>
                    <w:adjustRightInd w:val="0"/>
                    <w:snapToGrid w:val="0"/>
                    <w:ind w:firstLine="0" w:firstLineChars="0"/>
                    <w:jc w:val="center"/>
                    <w:rPr>
                      <w:bCs/>
                      <w:color w:val="auto"/>
                      <w:kern w:val="0"/>
                      <w:szCs w:val="21"/>
                    </w:rPr>
                  </w:pPr>
                  <w:r>
                    <w:rPr>
                      <w:rFonts w:hint="eastAsia"/>
                      <w:bCs/>
                      <w:color w:val="auto"/>
                      <w:kern w:val="0"/>
                      <w:szCs w:val="21"/>
                      <w:lang w:val="en-US" w:eastAsia="zh-CN"/>
                    </w:rPr>
                    <w:t>洗枪废液</w:t>
                  </w:r>
                </w:p>
              </w:tc>
              <w:tc>
                <w:tcPr>
                  <w:tcW w:w="882" w:type="pct"/>
                  <w:tcBorders>
                    <w:tl2br w:val="nil"/>
                    <w:tr2bl w:val="nil"/>
                  </w:tcBorders>
                  <w:vAlign w:val="center"/>
                </w:tcPr>
                <w:p w14:paraId="50A3A312">
                  <w:pPr>
                    <w:widowControl/>
                    <w:adjustRightInd w:val="0"/>
                    <w:snapToGrid w:val="0"/>
                    <w:jc w:val="center"/>
                    <w:textAlignment w:val="center"/>
                    <w:rPr>
                      <w:color w:val="auto"/>
                      <w:kern w:val="0"/>
                    </w:rPr>
                  </w:pPr>
                  <w:r>
                    <w:rPr>
                      <w:rFonts w:hint="eastAsia"/>
                      <w:color w:val="auto"/>
                      <w:kern w:val="0"/>
                      <w:lang w:val="en-US" w:eastAsia="zh-CN"/>
                    </w:rPr>
                    <w:t>喷枪清洗</w:t>
                  </w:r>
                </w:p>
              </w:tc>
              <w:tc>
                <w:tcPr>
                  <w:tcW w:w="540" w:type="pct"/>
                  <w:vMerge w:val="continue"/>
                  <w:tcBorders>
                    <w:tl2br w:val="nil"/>
                    <w:tr2bl w:val="nil"/>
                  </w:tcBorders>
                  <w:vAlign w:val="center"/>
                </w:tcPr>
                <w:p w14:paraId="75DB2991">
                  <w:pPr>
                    <w:pStyle w:val="693"/>
                    <w:rPr>
                      <w:rFonts w:eastAsia="宋体"/>
                      <w:b w:val="0"/>
                      <w:bCs/>
                      <w:color w:val="auto"/>
                      <w:kern w:val="0"/>
                    </w:rPr>
                  </w:pPr>
                </w:p>
              </w:tc>
              <w:tc>
                <w:tcPr>
                  <w:tcW w:w="819" w:type="pct"/>
                  <w:tcBorders>
                    <w:tl2br w:val="nil"/>
                    <w:tr2bl w:val="nil"/>
                  </w:tcBorders>
                  <w:vAlign w:val="center"/>
                </w:tcPr>
                <w:p w14:paraId="31D18F09">
                  <w:pPr>
                    <w:jc w:val="center"/>
                    <w:rPr>
                      <w:color w:val="auto"/>
                      <w:kern w:val="0"/>
                    </w:rPr>
                  </w:pPr>
                  <w:r>
                    <w:rPr>
                      <w:rFonts w:hint="eastAsia"/>
                      <w:color w:val="auto"/>
                      <w:kern w:val="0"/>
                      <w:lang w:val="en-US" w:eastAsia="zh-CN"/>
                    </w:rPr>
                    <w:t>900-402-06</w:t>
                  </w:r>
                </w:p>
              </w:tc>
              <w:tc>
                <w:tcPr>
                  <w:tcW w:w="596" w:type="pct"/>
                  <w:tcBorders>
                    <w:tl2br w:val="nil"/>
                    <w:tr2bl w:val="nil"/>
                  </w:tcBorders>
                  <w:vAlign w:val="center"/>
                </w:tcPr>
                <w:p w14:paraId="2D4850BB">
                  <w:pPr>
                    <w:pStyle w:val="5"/>
                    <w:adjustRightInd w:val="0"/>
                    <w:snapToGrid w:val="0"/>
                    <w:ind w:firstLine="0" w:firstLineChars="0"/>
                    <w:jc w:val="center"/>
                    <w:rPr>
                      <w:color w:val="auto"/>
                      <w:kern w:val="0"/>
                      <w:szCs w:val="21"/>
                    </w:rPr>
                  </w:pPr>
                  <w:r>
                    <w:rPr>
                      <w:rFonts w:hint="eastAsia"/>
                      <w:color w:val="auto"/>
                      <w:kern w:val="0"/>
                      <w:szCs w:val="21"/>
                      <w:lang w:val="en-US" w:eastAsia="zh-CN"/>
                    </w:rPr>
                    <w:t>0.1</w:t>
                  </w:r>
                </w:p>
              </w:tc>
              <w:tc>
                <w:tcPr>
                  <w:tcW w:w="570" w:type="pct"/>
                  <w:vMerge w:val="continue"/>
                  <w:tcBorders>
                    <w:tl2br w:val="nil"/>
                    <w:tr2bl w:val="nil"/>
                  </w:tcBorders>
                  <w:vAlign w:val="center"/>
                </w:tcPr>
                <w:p w14:paraId="7BC92C48">
                  <w:pPr>
                    <w:adjustRightInd w:val="0"/>
                    <w:snapToGrid w:val="0"/>
                    <w:jc w:val="center"/>
                    <w:rPr>
                      <w:color w:val="auto"/>
                      <w:kern w:val="0"/>
                    </w:rPr>
                  </w:pPr>
                </w:p>
              </w:tc>
              <w:tc>
                <w:tcPr>
                  <w:tcW w:w="649" w:type="pct"/>
                  <w:vMerge w:val="continue"/>
                  <w:tcBorders>
                    <w:tl2br w:val="nil"/>
                    <w:tr2bl w:val="nil"/>
                  </w:tcBorders>
                  <w:vAlign w:val="center"/>
                </w:tcPr>
                <w:p w14:paraId="1DA93193">
                  <w:pPr>
                    <w:adjustRightInd w:val="0"/>
                    <w:snapToGrid w:val="0"/>
                    <w:jc w:val="center"/>
                    <w:rPr>
                      <w:bCs/>
                      <w:color w:val="auto"/>
                      <w:kern w:val="0"/>
                    </w:rPr>
                  </w:pPr>
                </w:p>
              </w:tc>
            </w:tr>
            <w:tr w14:paraId="4E0D224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90" w:hRule="atLeast"/>
                <w:jc w:val="center"/>
              </w:trPr>
              <w:tc>
                <w:tcPr>
                  <w:tcW w:w="942" w:type="pct"/>
                  <w:tcBorders>
                    <w:tl2br w:val="nil"/>
                    <w:tr2bl w:val="nil"/>
                  </w:tcBorders>
                  <w:vAlign w:val="center"/>
                </w:tcPr>
                <w:p w14:paraId="20BD83FF">
                  <w:pPr>
                    <w:pStyle w:val="5"/>
                    <w:adjustRightInd w:val="0"/>
                    <w:snapToGrid w:val="0"/>
                    <w:ind w:firstLine="0" w:firstLineChars="0"/>
                    <w:jc w:val="center"/>
                    <w:rPr>
                      <w:rFonts w:hint="default"/>
                      <w:bCs/>
                      <w:color w:val="auto"/>
                      <w:kern w:val="0"/>
                      <w:szCs w:val="21"/>
                      <w:lang w:val="en-US" w:eastAsia="zh-CN"/>
                    </w:rPr>
                  </w:pPr>
                  <w:r>
                    <w:rPr>
                      <w:rFonts w:hint="eastAsia"/>
                      <w:bCs/>
                      <w:color w:val="auto"/>
                      <w:kern w:val="0"/>
                      <w:szCs w:val="21"/>
                      <w:lang w:val="en-US" w:eastAsia="zh-CN"/>
                    </w:rPr>
                    <w:t>漆渣</w:t>
                  </w:r>
                </w:p>
              </w:tc>
              <w:tc>
                <w:tcPr>
                  <w:tcW w:w="882" w:type="pct"/>
                  <w:tcBorders>
                    <w:tl2br w:val="nil"/>
                    <w:tr2bl w:val="nil"/>
                  </w:tcBorders>
                  <w:vAlign w:val="center"/>
                </w:tcPr>
                <w:p w14:paraId="5E5E304C">
                  <w:pPr>
                    <w:widowControl/>
                    <w:adjustRightInd w:val="0"/>
                    <w:snapToGrid w:val="0"/>
                    <w:jc w:val="center"/>
                    <w:textAlignment w:val="center"/>
                    <w:rPr>
                      <w:rFonts w:hint="default"/>
                      <w:color w:val="auto"/>
                      <w:kern w:val="0"/>
                      <w:lang w:val="en-US" w:eastAsia="zh-CN"/>
                    </w:rPr>
                  </w:pPr>
                  <w:r>
                    <w:rPr>
                      <w:rFonts w:hint="eastAsia"/>
                      <w:color w:val="auto"/>
                      <w:kern w:val="0"/>
                      <w:lang w:val="en-US" w:eastAsia="zh-CN"/>
                    </w:rPr>
                    <w:t>喷漆</w:t>
                  </w:r>
                </w:p>
              </w:tc>
              <w:tc>
                <w:tcPr>
                  <w:tcW w:w="540" w:type="pct"/>
                  <w:vMerge w:val="continue"/>
                  <w:tcBorders>
                    <w:tl2br w:val="nil"/>
                    <w:tr2bl w:val="nil"/>
                  </w:tcBorders>
                  <w:vAlign w:val="center"/>
                </w:tcPr>
                <w:p w14:paraId="04D050D4">
                  <w:pPr>
                    <w:pStyle w:val="693"/>
                    <w:rPr>
                      <w:rFonts w:eastAsia="宋体"/>
                      <w:b w:val="0"/>
                      <w:bCs/>
                      <w:color w:val="auto"/>
                      <w:kern w:val="0"/>
                    </w:rPr>
                  </w:pPr>
                </w:p>
              </w:tc>
              <w:tc>
                <w:tcPr>
                  <w:tcW w:w="819" w:type="pct"/>
                  <w:tcBorders>
                    <w:tl2br w:val="nil"/>
                    <w:tr2bl w:val="nil"/>
                  </w:tcBorders>
                  <w:shd w:val="clear" w:color="auto" w:fill="auto"/>
                  <w:vAlign w:val="center"/>
                </w:tcPr>
                <w:p w14:paraId="2EF03096">
                  <w:pPr>
                    <w:jc w:val="center"/>
                    <w:rPr>
                      <w:rFonts w:hint="eastAsia" w:ascii="Times New Roman" w:hAnsi="Times New Roman" w:eastAsia="宋体" w:cs="Times New Roman"/>
                      <w:snapToGrid w:val="0"/>
                      <w:color w:val="auto"/>
                      <w:kern w:val="2"/>
                      <w:sz w:val="21"/>
                      <w:szCs w:val="21"/>
                      <w:highlight w:val="none"/>
                      <w:lang w:val="en-US" w:eastAsia="zh-CN" w:bidi="ar-SA"/>
                    </w:rPr>
                  </w:pPr>
                  <w:r>
                    <w:rPr>
                      <w:rFonts w:hint="eastAsia" w:cs="Times New Roman"/>
                      <w:snapToGrid w:val="0"/>
                      <w:color w:val="auto"/>
                      <w:kern w:val="2"/>
                      <w:sz w:val="21"/>
                      <w:szCs w:val="21"/>
                      <w:highlight w:val="none"/>
                      <w:lang w:val="en-US" w:eastAsia="zh-CN" w:bidi="ar-SA"/>
                    </w:rPr>
                    <w:t>900-252-12</w:t>
                  </w:r>
                </w:p>
              </w:tc>
              <w:tc>
                <w:tcPr>
                  <w:tcW w:w="596" w:type="pct"/>
                  <w:tcBorders>
                    <w:tl2br w:val="nil"/>
                    <w:tr2bl w:val="nil"/>
                  </w:tcBorders>
                  <w:shd w:val="clear" w:color="auto" w:fill="auto"/>
                  <w:vAlign w:val="center"/>
                </w:tcPr>
                <w:p w14:paraId="44B64B4E">
                  <w:pPr>
                    <w:pStyle w:val="5"/>
                    <w:adjustRightInd w:val="0"/>
                    <w:snapToGrid w:val="0"/>
                    <w:ind w:firstLine="0" w:firstLineChars="0"/>
                    <w:jc w:val="center"/>
                    <w:rPr>
                      <w:rFonts w:hint="default" w:ascii="Times New Roman" w:hAnsi="Times New Roman" w:eastAsia="宋体" w:cs="Times New Roman"/>
                      <w:snapToGrid w:val="0"/>
                      <w:color w:val="auto"/>
                      <w:kern w:val="0"/>
                      <w:sz w:val="21"/>
                      <w:szCs w:val="21"/>
                      <w:lang w:val="en-US" w:eastAsia="zh-CN" w:bidi="ar-SA"/>
                    </w:rPr>
                  </w:pPr>
                  <w:r>
                    <w:rPr>
                      <w:rFonts w:hint="eastAsia"/>
                      <w:color w:val="auto"/>
                      <w:kern w:val="0"/>
                      <w:szCs w:val="21"/>
                      <w:lang w:val="en-US" w:eastAsia="zh-CN"/>
                    </w:rPr>
                    <w:t>0.3738</w:t>
                  </w:r>
                </w:p>
              </w:tc>
              <w:tc>
                <w:tcPr>
                  <w:tcW w:w="570" w:type="pct"/>
                  <w:vMerge w:val="continue"/>
                  <w:tcBorders>
                    <w:tl2br w:val="nil"/>
                    <w:tr2bl w:val="nil"/>
                  </w:tcBorders>
                  <w:shd w:val="clear" w:color="auto" w:fill="auto"/>
                  <w:vAlign w:val="center"/>
                </w:tcPr>
                <w:p w14:paraId="58E637F6">
                  <w:pPr>
                    <w:adjustRightInd w:val="0"/>
                    <w:snapToGrid w:val="0"/>
                    <w:jc w:val="center"/>
                    <w:rPr>
                      <w:rFonts w:hint="eastAsia" w:ascii="Times New Roman" w:hAnsi="Times New Roman" w:eastAsia="宋体" w:cs="Times New Roman"/>
                      <w:snapToGrid w:val="0"/>
                      <w:color w:val="auto"/>
                      <w:kern w:val="0"/>
                      <w:sz w:val="21"/>
                      <w:szCs w:val="21"/>
                      <w:lang w:val="en-US" w:eastAsia="zh-CN" w:bidi="ar-SA"/>
                    </w:rPr>
                  </w:pPr>
                </w:p>
              </w:tc>
              <w:tc>
                <w:tcPr>
                  <w:tcW w:w="649" w:type="pct"/>
                  <w:vMerge w:val="continue"/>
                  <w:tcBorders>
                    <w:tl2br w:val="nil"/>
                    <w:tr2bl w:val="nil"/>
                  </w:tcBorders>
                  <w:shd w:val="clear" w:color="auto" w:fill="auto"/>
                  <w:vAlign w:val="center"/>
                </w:tcPr>
                <w:p w14:paraId="6EF12AE0">
                  <w:pPr>
                    <w:adjustRightInd w:val="0"/>
                    <w:snapToGrid w:val="0"/>
                    <w:jc w:val="center"/>
                    <w:rPr>
                      <w:rFonts w:hint="eastAsia" w:ascii="Times New Roman" w:hAnsi="Times New Roman" w:eastAsia="宋体" w:cs="Times New Roman"/>
                      <w:bCs/>
                      <w:snapToGrid w:val="0"/>
                      <w:color w:val="auto"/>
                      <w:kern w:val="0"/>
                      <w:sz w:val="21"/>
                      <w:szCs w:val="21"/>
                      <w:lang w:val="en-US" w:eastAsia="zh-CN" w:bidi="ar-SA"/>
                    </w:rPr>
                  </w:pPr>
                </w:p>
              </w:tc>
            </w:tr>
            <w:tr w14:paraId="35C6DE3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90" w:hRule="atLeast"/>
                <w:jc w:val="center"/>
              </w:trPr>
              <w:tc>
                <w:tcPr>
                  <w:tcW w:w="942" w:type="pct"/>
                  <w:tcBorders>
                    <w:tl2br w:val="nil"/>
                    <w:tr2bl w:val="nil"/>
                  </w:tcBorders>
                  <w:vAlign w:val="center"/>
                </w:tcPr>
                <w:p w14:paraId="073CF3AA">
                  <w:pPr>
                    <w:pStyle w:val="5"/>
                    <w:adjustRightInd w:val="0"/>
                    <w:snapToGrid w:val="0"/>
                    <w:ind w:firstLine="0" w:firstLineChars="0"/>
                    <w:jc w:val="center"/>
                    <w:rPr>
                      <w:rFonts w:hint="eastAsia"/>
                      <w:bCs/>
                      <w:color w:val="auto"/>
                      <w:kern w:val="0"/>
                      <w:szCs w:val="21"/>
                      <w:lang w:val="en-US" w:eastAsia="zh-CN"/>
                    </w:rPr>
                  </w:pPr>
                  <w:r>
                    <w:rPr>
                      <w:rFonts w:hint="eastAsia"/>
                      <w:bCs/>
                      <w:color w:val="auto"/>
                      <w:kern w:val="0"/>
                      <w:szCs w:val="21"/>
                      <w:lang w:val="en-US" w:eastAsia="zh-CN"/>
                    </w:rPr>
                    <w:t>废包装桶</w:t>
                  </w:r>
                </w:p>
              </w:tc>
              <w:tc>
                <w:tcPr>
                  <w:tcW w:w="882" w:type="pct"/>
                  <w:tcBorders>
                    <w:tl2br w:val="nil"/>
                    <w:tr2bl w:val="nil"/>
                  </w:tcBorders>
                  <w:vAlign w:val="center"/>
                </w:tcPr>
                <w:p w14:paraId="4881A64F">
                  <w:pPr>
                    <w:widowControl/>
                    <w:adjustRightInd w:val="0"/>
                    <w:snapToGrid w:val="0"/>
                    <w:jc w:val="center"/>
                    <w:textAlignment w:val="center"/>
                    <w:rPr>
                      <w:rFonts w:hint="eastAsia"/>
                      <w:color w:val="auto"/>
                      <w:kern w:val="0"/>
                      <w:lang w:val="en-US" w:eastAsia="zh-CN"/>
                    </w:rPr>
                  </w:pPr>
                  <w:r>
                    <w:rPr>
                      <w:rFonts w:hint="eastAsia"/>
                      <w:color w:val="auto"/>
                      <w:kern w:val="0"/>
                      <w:lang w:val="en-US" w:eastAsia="zh-CN"/>
                    </w:rPr>
                    <w:t>原料拆包</w:t>
                  </w:r>
                </w:p>
              </w:tc>
              <w:tc>
                <w:tcPr>
                  <w:tcW w:w="540" w:type="pct"/>
                  <w:vMerge w:val="continue"/>
                  <w:tcBorders>
                    <w:tl2br w:val="nil"/>
                    <w:tr2bl w:val="nil"/>
                  </w:tcBorders>
                  <w:vAlign w:val="center"/>
                </w:tcPr>
                <w:p w14:paraId="02BE9A82">
                  <w:pPr>
                    <w:pStyle w:val="693"/>
                    <w:rPr>
                      <w:rFonts w:eastAsia="宋体"/>
                      <w:b w:val="0"/>
                      <w:bCs/>
                      <w:color w:val="auto"/>
                      <w:kern w:val="0"/>
                    </w:rPr>
                  </w:pPr>
                </w:p>
              </w:tc>
              <w:tc>
                <w:tcPr>
                  <w:tcW w:w="819" w:type="pct"/>
                  <w:tcBorders>
                    <w:tl2br w:val="nil"/>
                    <w:tr2bl w:val="nil"/>
                  </w:tcBorders>
                  <w:shd w:val="clear" w:color="auto" w:fill="auto"/>
                  <w:vAlign w:val="center"/>
                </w:tcPr>
                <w:p w14:paraId="2DC65341">
                  <w:pPr>
                    <w:contextualSpacing/>
                    <w:jc w:val="center"/>
                    <w:rPr>
                      <w:color w:val="auto"/>
                      <w:highlight w:val="none"/>
                    </w:rPr>
                  </w:pPr>
                  <w:r>
                    <w:rPr>
                      <w:rFonts w:hint="eastAsia"/>
                      <w:color w:val="auto"/>
                      <w:kern w:val="0"/>
                      <w:lang w:val="en-US" w:eastAsia="zh-CN"/>
                    </w:rPr>
                    <w:t>900-041-49</w:t>
                  </w:r>
                </w:p>
              </w:tc>
              <w:tc>
                <w:tcPr>
                  <w:tcW w:w="596" w:type="pct"/>
                  <w:tcBorders>
                    <w:tl2br w:val="nil"/>
                    <w:tr2bl w:val="nil"/>
                  </w:tcBorders>
                  <w:shd w:val="clear" w:color="auto" w:fill="auto"/>
                  <w:vAlign w:val="center"/>
                </w:tcPr>
                <w:p w14:paraId="1D1E689C">
                  <w:pPr>
                    <w:pStyle w:val="5"/>
                    <w:adjustRightInd w:val="0"/>
                    <w:snapToGrid w:val="0"/>
                    <w:ind w:firstLine="0" w:firstLineChars="0"/>
                    <w:jc w:val="center"/>
                    <w:rPr>
                      <w:rFonts w:hint="eastAsia"/>
                      <w:color w:val="auto"/>
                      <w:kern w:val="0"/>
                      <w:szCs w:val="21"/>
                      <w:lang w:val="en-US" w:eastAsia="zh-CN"/>
                    </w:rPr>
                  </w:pPr>
                  <w:r>
                    <w:rPr>
                      <w:rFonts w:hint="eastAsia"/>
                      <w:color w:val="auto"/>
                      <w:kern w:val="0"/>
                      <w:szCs w:val="21"/>
                      <w:lang w:val="en-US" w:eastAsia="zh-CN"/>
                    </w:rPr>
                    <w:t>1.2</w:t>
                  </w:r>
                </w:p>
              </w:tc>
              <w:tc>
                <w:tcPr>
                  <w:tcW w:w="570" w:type="pct"/>
                  <w:vMerge w:val="continue"/>
                  <w:tcBorders>
                    <w:tl2br w:val="nil"/>
                    <w:tr2bl w:val="nil"/>
                  </w:tcBorders>
                  <w:shd w:val="clear" w:color="auto" w:fill="auto"/>
                  <w:vAlign w:val="center"/>
                </w:tcPr>
                <w:p w14:paraId="02B3246B">
                  <w:pPr>
                    <w:adjustRightInd w:val="0"/>
                    <w:snapToGrid w:val="0"/>
                    <w:jc w:val="center"/>
                    <w:rPr>
                      <w:rFonts w:hint="eastAsia" w:ascii="Times New Roman" w:hAnsi="Times New Roman" w:eastAsia="宋体" w:cs="Times New Roman"/>
                      <w:snapToGrid w:val="0"/>
                      <w:color w:val="auto"/>
                      <w:kern w:val="0"/>
                      <w:sz w:val="21"/>
                      <w:szCs w:val="21"/>
                      <w:lang w:val="en-US" w:eastAsia="zh-CN" w:bidi="ar-SA"/>
                    </w:rPr>
                  </w:pPr>
                </w:p>
              </w:tc>
              <w:tc>
                <w:tcPr>
                  <w:tcW w:w="649" w:type="pct"/>
                  <w:vMerge w:val="continue"/>
                  <w:tcBorders>
                    <w:tl2br w:val="nil"/>
                    <w:tr2bl w:val="nil"/>
                  </w:tcBorders>
                  <w:shd w:val="clear" w:color="auto" w:fill="auto"/>
                  <w:vAlign w:val="center"/>
                </w:tcPr>
                <w:p w14:paraId="18374876">
                  <w:pPr>
                    <w:adjustRightInd w:val="0"/>
                    <w:snapToGrid w:val="0"/>
                    <w:jc w:val="center"/>
                    <w:rPr>
                      <w:rFonts w:hint="eastAsia" w:ascii="Times New Roman" w:hAnsi="Times New Roman" w:eastAsia="宋体" w:cs="Times New Roman"/>
                      <w:bCs/>
                      <w:snapToGrid w:val="0"/>
                      <w:color w:val="auto"/>
                      <w:kern w:val="0"/>
                      <w:sz w:val="21"/>
                      <w:szCs w:val="21"/>
                      <w:lang w:val="en-US" w:eastAsia="zh-CN" w:bidi="ar-SA"/>
                    </w:rPr>
                  </w:pPr>
                </w:p>
              </w:tc>
            </w:tr>
            <w:tr w14:paraId="51AA2D9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90" w:hRule="atLeast"/>
                <w:jc w:val="center"/>
              </w:trPr>
              <w:tc>
                <w:tcPr>
                  <w:tcW w:w="942" w:type="pct"/>
                  <w:tcBorders>
                    <w:tl2br w:val="nil"/>
                    <w:tr2bl w:val="nil"/>
                  </w:tcBorders>
                  <w:vAlign w:val="center"/>
                </w:tcPr>
                <w:p w14:paraId="0F22BFE6">
                  <w:pPr>
                    <w:pStyle w:val="5"/>
                    <w:adjustRightInd w:val="0"/>
                    <w:snapToGrid w:val="0"/>
                    <w:ind w:firstLine="0" w:firstLineChars="0"/>
                    <w:jc w:val="center"/>
                    <w:rPr>
                      <w:rFonts w:hint="eastAsia"/>
                      <w:bCs/>
                      <w:color w:val="auto"/>
                      <w:kern w:val="0"/>
                      <w:szCs w:val="21"/>
                      <w:lang w:val="en-US" w:eastAsia="zh-CN"/>
                    </w:rPr>
                  </w:pPr>
                  <w:r>
                    <w:rPr>
                      <w:rFonts w:hint="eastAsia"/>
                      <w:bCs/>
                      <w:color w:val="auto"/>
                      <w:kern w:val="0"/>
                      <w:szCs w:val="21"/>
                      <w:lang w:val="en-US" w:eastAsia="zh-CN"/>
                    </w:rPr>
                    <w:t>含锌废物</w:t>
                  </w:r>
                </w:p>
              </w:tc>
              <w:tc>
                <w:tcPr>
                  <w:tcW w:w="882" w:type="pct"/>
                  <w:tcBorders>
                    <w:tl2br w:val="nil"/>
                    <w:tr2bl w:val="nil"/>
                  </w:tcBorders>
                  <w:vAlign w:val="center"/>
                </w:tcPr>
                <w:p w14:paraId="23020D88">
                  <w:pPr>
                    <w:widowControl/>
                    <w:adjustRightInd w:val="0"/>
                    <w:snapToGrid w:val="0"/>
                    <w:jc w:val="center"/>
                    <w:textAlignment w:val="center"/>
                    <w:rPr>
                      <w:rFonts w:hint="eastAsia"/>
                      <w:color w:val="auto"/>
                      <w:kern w:val="0"/>
                      <w:lang w:val="en-US" w:eastAsia="zh-CN"/>
                    </w:rPr>
                  </w:pPr>
                  <w:r>
                    <w:rPr>
                      <w:rFonts w:hint="eastAsia"/>
                      <w:color w:val="auto"/>
                      <w:kern w:val="0"/>
                      <w:lang w:val="en-US" w:eastAsia="zh-CN"/>
                    </w:rPr>
                    <w:t>废气治理</w:t>
                  </w:r>
                </w:p>
              </w:tc>
              <w:tc>
                <w:tcPr>
                  <w:tcW w:w="540" w:type="pct"/>
                  <w:vMerge w:val="continue"/>
                  <w:tcBorders>
                    <w:tl2br w:val="nil"/>
                    <w:tr2bl w:val="nil"/>
                  </w:tcBorders>
                  <w:vAlign w:val="center"/>
                </w:tcPr>
                <w:p w14:paraId="5E7F4E42">
                  <w:pPr>
                    <w:pStyle w:val="693"/>
                    <w:rPr>
                      <w:rFonts w:eastAsia="宋体"/>
                      <w:b w:val="0"/>
                      <w:bCs/>
                      <w:color w:val="auto"/>
                      <w:kern w:val="0"/>
                    </w:rPr>
                  </w:pPr>
                </w:p>
              </w:tc>
              <w:tc>
                <w:tcPr>
                  <w:tcW w:w="819" w:type="pct"/>
                  <w:tcBorders>
                    <w:tl2br w:val="nil"/>
                    <w:tr2bl w:val="nil"/>
                  </w:tcBorders>
                  <w:shd w:val="clear" w:color="auto" w:fill="auto"/>
                  <w:vAlign w:val="center"/>
                </w:tcPr>
                <w:p w14:paraId="09D2559E">
                  <w:pPr>
                    <w:contextualSpacing/>
                    <w:jc w:val="center"/>
                    <w:rPr>
                      <w:color w:val="auto"/>
                      <w:highlight w:val="none"/>
                    </w:rPr>
                  </w:pPr>
                  <w:r>
                    <w:rPr>
                      <w:rFonts w:hint="eastAsia"/>
                      <w:color w:val="auto"/>
                      <w:kern w:val="0"/>
                      <w:lang w:val="en-US" w:eastAsia="zh-CN"/>
                    </w:rPr>
                    <w:t>336-103-23</w:t>
                  </w:r>
                </w:p>
              </w:tc>
              <w:tc>
                <w:tcPr>
                  <w:tcW w:w="596" w:type="pct"/>
                  <w:tcBorders>
                    <w:tl2br w:val="nil"/>
                    <w:tr2bl w:val="nil"/>
                  </w:tcBorders>
                  <w:shd w:val="clear" w:color="auto" w:fill="auto"/>
                  <w:vAlign w:val="center"/>
                </w:tcPr>
                <w:p w14:paraId="4FE5747A">
                  <w:pPr>
                    <w:pStyle w:val="5"/>
                    <w:adjustRightInd w:val="0"/>
                    <w:snapToGrid w:val="0"/>
                    <w:ind w:firstLine="0" w:firstLineChars="0"/>
                    <w:jc w:val="center"/>
                    <w:rPr>
                      <w:rFonts w:hint="eastAsia"/>
                      <w:color w:val="auto"/>
                      <w:kern w:val="0"/>
                      <w:szCs w:val="21"/>
                      <w:lang w:val="en-US" w:eastAsia="zh-CN"/>
                    </w:rPr>
                  </w:pPr>
                  <w:r>
                    <w:rPr>
                      <w:rFonts w:hint="eastAsia"/>
                      <w:color w:val="auto"/>
                      <w:kern w:val="0"/>
                      <w:szCs w:val="21"/>
                      <w:lang w:val="en-US" w:eastAsia="zh-CN"/>
                    </w:rPr>
                    <w:t>0.173</w:t>
                  </w:r>
                </w:p>
              </w:tc>
              <w:tc>
                <w:tcPr>
                  <w:tcW w:w="570" w:type="pct"/>
                  <w:vMerge w:val="continue"/>
                  <w:tcBorders>
                    <w:tl2br w:val="nil"/>
                    <w:tr2bl w:val="nil"/>
                  </w:tcBorders>
                  <w:shd w:val="clear" w:color="auto" w:fill="auto"/>
                  <w:vAlign w:val="center"/>
                </w:tcPr>
                <w:p w14:paraId="2277EB43">
                  <w:pPr>
                    <w:adjustRightInd w:val="0"/>
                    <w:snapToGrid w:val="0"/>
                    <w:jc w:val="center"/>
                    <w:rPr>
                      <w:rFonts w:hint="eastAsia" w:ascii="Times New Roman" w:hAnsi="Times New Roman" w:eastAsia="宋体" w:cs="Times New Roman"/>
                      <w:snapToGrid w:val="0"/>
                      <w:color w:val="auto"/>
                      <w:kern w:val="0"/>
                      <w:sz w:val="21"/>
                      <w:szCs w:val="21"/>
                      <w:lang w:val="en-US" w:eastAsia="zh-CN" w:bidi="ar-SA"/>
                    </w:rPr>
                  </w:pPr>
                </w:p>
              </w:tc>
              <w:tc>
                <w:tcPr>
                  <w:tcW w:w="649" w:type="pct"/>
                  <w:vMerge w:val="continue"/>
                  <w:tcBorders>
                    <w:tl2br w:val="nil"/>
                    <w:tr2bl w:val="nil"/>
                  </w:tcBorders>
                  <w:shd w:val="clear" w:color="auto" w:fill="auto"/>
                  <w:vAlign w:val="center"/>
                </w:tcPr>
                <w:p w14:paraId="1499BAA9">
                  <w:pPr>
                    <w:adjustRightInd w:val="0"/>
                    <w:snapToGrid w:val="0"/>
                    <w:jc w:val="center"/>
                    <w:rPr>
                      <w:rFonts w:hint="eastAsia" w:ascii="Times New Roman" w:hAnsi="Times New Roman" w:eastAsia="宋体" w:cs="Times New Roman"/>
                      <w:bCs/>
                      <w:snapToGrid w:val="0"/>
                      <w:color w:val="auto"/>
                      <w:kern w:val="0"/>
                      <w:sz w:val="21"/>
                      <w:szCs w:val="21"/>
                      <w:lang w:val="en-US" w:eastAsia="zh-CN" w:bidi="ar-SA"/>
                    </w:rPr>
                  </w:pPr>
                </w:p>
              </w:tc>
            </w:tr>
            <w:tr w14:paraId="4FFC77C7">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90" w:hRule="atLeast"/>
                <w:jc w:val="center"/>
              </w:trPr>
              <w:tc>
                <w:tcPr>
                  <w:tcW w:w="942" w:type="pct"/>
                  <w:tcBorders>
                    <w:tl2br w:val="nil"/>
                    <w:tr2bl w:val="nil"/>
                  </w:tcBorders>
                  <w:vAlign w:val="center"/>
                </w:tcPr>
                <w:p w14:paraId="4F58205B">
                  <w:pPr>
                    <w:pStyle w:val="5"/>
                    <w:adjustRightInd w:val="0"/>
                    <w:snapToGrid w:val="0"/>
                    <w:ind w:firstLine="0" w:firstLineChars="0"/>
                    <w:jc w:val="center"/>
                    <w:rPr>
                      <w:rFonts w:hint="default"/>
                      <w:bCs/>
                      <w:color w:val="auto"/>
                      <w:kern w:val="0"/>
                      <w:szCs w:val="21"/>
                      <w:lang w:val="en-US" w:eastAsia="zh-CN"/>
                    </w:rPr>
                  </w:pPr>
                  <w:r>
                    <w:rPr>
                      <w:rFonts w:hint="eastAsia"/>
                      <w:bCs/>
                      <w:color w:val="auto"/>
                      <w:kern w:val="0"/>
                      <w:szCs w:val="21"/>
                      <w:lang w:val="en-US" w:eastAsia="zh-CN"/>
                    </w:rPr>
                    <w:t>含漆废物</w:t>
                  </w:r>
                </w:p>
              </w:tc>
              <w:tc>
                <w:tcPr>
                  <w:tcW w:w="882" w:type="pct"/>
                  <w:tcBorders>
                    <w:tl2br w:val="nil"/>
                    <w:tr2bl w:val="nil"/>
                  </w:tcBorders>
                  <w:vAlign w:val="center"/>
                </w:tcPr>
                <w:p w14:paraId="16C7EF00">
                  <w:pPr>
                    <w:widowControl/>
                    <w:adjustRightInd w:val="0"/>
                    <w:snapToGrid w:val="0"/>
                    <w:jc w:val="center"/>
                    <w:textAlignment w:val="center"/>
                    <w:rPr>
                      <w:rFonts w:hint="default"/>
                      <w:color w:val="auto"/>
                      <w:kern w:val="0"/>
                      <w:lang w:val="en-US" w:eastAsia="zh-CN"/>
                    </w:rPr>
                  </w:pPr>
                  <w:r>
                    <w:rPr>
                      <w:rFonts w:hint="eastAsia"/>
                      <w:color w:val="auto"/>
                      <w:kern w:val="0"/>
                      <w:lang w:val="en-US" w:eastAsia="zh-CN"/>
                    </w:rPr>
                    <w:t>喷涂、废气治理</w:t>
                  </w:r>
                </w:p>
              </w:tc>
              <w:tc>
                <w:tcPr>
                  <w:tcW w:w="540" w:type="pct"/>
                  <w:vMerge w:val="continue"/>
                  <w:tcBorders>
                    <w:tl2br w:val="nil"/>
                    <w:tr2bl w:val="nil"/>
                  </w:tcBorders>
                  <w:vAlign w:val="center"/>
                </w:tcPr>
                <w:p w14:paraId="0EA9E553">
                  <w:pPr>
                    <w:pStyle w:val="693"/>
                    <w:rPr>
                      <w:rFonts w:hint="default" w:eastAsia="宋体"/>
                      <w:b w:val="0"/>
                      <w:bCs/>
                      <w:color w:val="auto"/>
                      <w:kern w:val="0"/>
                      <w:lang w:val="en-US"/>
                    </w:rPr>
                  </w:pPr>
                </w:p>
              </w:tc>
              <w:tc>
                <w:tcPr>
                  <w:tcW w:w="819" w:type="pct"/>
                  <w:tcBorders>
                    <w:tl2br w:val="nil"/>
                    <w:tr2bl w:val="nil"/>
                  </w:tcBorders>
                  <w:shd w:val="clear" w:color="auto" w:fill="auto"/>
                  <w:vAlign w:val="center"/>
                </w:tcPr>
                <w:p w14:paraId="65D6EF16">
                  <w:pPr>
                    <w:contextualSpacing/>
                    <w:jc w:val="center"/>
                    <w:rPr>
                      <w:rFonts w:hint="default" w:ascii="Times New Roman" w:hAnsi="Times New Roman" w:eastAsia="宋体" w:cs="Times New Roman"/>
                      <w:bCs/>
                      <w:snapToGrid w:val="0"/>
                      <w:color w:val="auto"/>
                      <w:kern w:val="0"/>
                      <w:sz w:val="21"/>
                      <w:szCs w:val="21"/>
                      <w:lang w:val="en-US" w:eastAsia="zh-CN" w:bidi="ar-SA"/>
                    </w:rPr>
                  </w:pPr>
                  <w:r>
                    <w:rPr>
                      <w:color w:val="auto"/>
                      <w:kern w:val="0"/>
                    </w:rPr>
                    <w:t>900-041-49</w:t>
                  </w:r>
                </w:p>
              </w:tc>
              <w:tc>
                <w:tcPr>
                  <w:tcW w:w="596" w:type="pct"/>
                  <w:tcBorders>
                    <w:tl2br w:val="nil"/>
                    <w:tr2bl w:val="nil"/>
                  </w:tcBorders>
                  <w:shd w:val="clear" w:color="auto" w:fill="auto"/>
                  <w:vAlign w:val="center"/>
                </w:tcPr>
                <w:p w14:paraId="1CE9C927">
                  <w:pPr>
                    <w:pStyle w:val="5"/>
                    <w:adjustRightInd w:val="0"/>
                    <w:snapToGrid w:val="0"/>
                    <w:ind w:firstLine="0" w:firstLineChars="0"/>
                    <w:jc w:val="center"/>
                    <w:rPr>
                      <w:rFonts w:hint="default" w:ascii="Times New Roman" w:hAnsi="Times New Roman" w:eastAsia="宋体" w:cs="Times New Roman"/>
                      <w:snapToGrid w:val="0"/>
                      <w:color w:val="auto"/>
                      <w:kern w:val="0"/>
                      <w:sz w:val="21"/>
                      <w:szCs w:val="21"/>
                      <w:lang w:val="en-US" w:eastAsia="zh-CN" w:bidi="ar-SA"/>
                    </w:rPr>
                  </w:pPr>
                  <w:r>
                    <w:rPr>
                      <w:rFonts w:hint="eastAsia"/>
                      <w:color w:val="auto"/>
                      <w:kern w:val="0"/>
                      <w:szCs w:val="21"/>
                      <w:lang w:val="en-US" w:eastAsia="zh-CN"/>
                    </w:rPr>
                    <w:t>1.5</w:t>
                  </w:r>
                </w:p>
              </w:tc>
              <w:tc>
                <w:tcPr>
                  <w:tcW w:w="570" w:type="pct"/>
                  <w:vMerge w:val="continue"/>
                  <w:tcBorders>
                    <w:tl2br w:val="nil"/>
                    <w:tr2bl w:val="nil"/>
                  </w:tcBorders>
                  <w:shd w:val="clear" w:color="auto" w:fill="auto"/>
                  <w:vAlign w:val="center"/>
                </w:tcPr>
                <w:p w14:paraId="439ACEF3">
                  <w:pPr>
                    <w:adjustRightInd w:val="0"/>
                    <w:snapToGrid w:val="0"/>
                    <w:jc w:val="center"/>
                    <w:rPr>
                      <w:rFonts w:hint="default" w:ascii="Times New Roman" w:hAnsi="Times New Roman" w:eastAsia="宋体" w:cs="Times New Roman"/>
                      <w:snapToGrid w:val="0"/>
                      <w:color w:val="auto"/>
                      <w:kern w:val="0"/>
                      <w:sz w:val="21"/>
                      <w:szCs w:val="21"/>
                      <w:lang w:val="en-US" w:eastAsia="zh-CN" w:bidi="ar-SA"/>
                    </w:rPr>
                  </w:pPr>
                </w:p>
              </w:tc>
              <w:tc>
                <w:tcPr>
                  <w:tcW w:w="649" w:type="pct"/>
                  <w:vMerge w:val="continue"/>
                  <w:tcBorders>
                    <w:tl2br w:val="nil"/>
                    <w:tr2bl w:val="nil"/>
                  </w:tcBorders>
                  <w:shd w:val="clear" w:color="auto" w:fill="auto"/>
                  <w:vAlign w:val="center"/>
                </w:tcPr>
                <w:p w14:paraId="6BE9F25B">
                  <w:pPr>
                    <w:adjustRightInd w:val="0"/>
                    <w:snapToGrid w:val="0"/>
                    <w:jc w:val="center"/>
                    <w:rPr>
                      <w:rFonts w:hint="default" w:ascii="Times New Roman" w:hAnsi="Times New Roman" w:eastAsia="宋体" w:cs="Times New Roman"/>
                      <w:bCs/>
                      <w:snapToGrid w:val="0"/>
                      <w:color w:val="auto"/>
                      <w:kern w:val="0"/>
                      <w:sz w:val="21"/>
                      <w:szCs w:val="21"/>
                      <w:lang w:val="en-US" w:eastAsia="zh-CN" w:bidi="ar-SA"/>
                    </w:rPr>
                  </w:pPr>
                </w:p>
              </w:tc>
            </w:tr>
            <w:tr w14:paraId="456F7EB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90" w:hRule="atLeast"/>
                <w:jc w:val="center"/>
              </w:trPr>
              <w:tc>
                <w:tcPr>
                  <w:tcW w:w="942" w:type="pct"/>
                  <w:tcBorders>
                    <w:tl2br w:val="nil"/>
                    <w:tr2bl w:val="nil"/>
                  </w:tcBorders>
                  <w:vAlign w:val="center"/>
                </w:tcPr>
                <w:p w14:paraId="0041A92A">
                  <w:pPr>
                    <w:pStyle w:val="5"/>
                    <w:adjustRightInd w:val="0"/>
                    <w:snapToGrid w:val="0"/>
                    <w:ind w:firstLine="0" w:firstLineChars="0"/>
                    <w:jc w:val="center"/>
                    <w:rPr>
                      <w:rFonts w:hint="eastAsia"/>
                      <w:bCs/>
                      <w:color w:val="auto"/>
                      <w:kern w:val="0"/>
                      <w:szCs w:val="21"/>
                      <w:lang w:val="en-US" w:eastAsia="zh-CN"/>
                    </w:rPr>
                  </w:pPr>
                  <w:r>
                    <w:rPr>
                      <w:rFonts w:hint="eastAsia"/>
                      <w:bCs/>
                      <w:color w:val="auto"/>
                      <w:kern w:val="0"/>
                      <w:szCs w:val="21"/>
                      <w:lang w:val="en-US" w:eastAsia="zh-CN"/>
                    </w:rPr>
                    <w:t>废活性炭</w:t>
                  </w:r>
                </w:p>
              </w:tc>
              <w:tc>
                <w:tcPr>
                  <w:tcW w:w="882" w:type="pct"/>
                  <w:tcBorders>
                    <w:tl2br w:val="nil"/>
                    <w:tr2bl w:val="nil"/>
                  </w:tcBorders>
                  <w:vAlign w:val="center"/>
                </w:tcPr>
                <w:p w14:paraId="2CF84576">
                  <w:pPr>
                    <w:widowControl/>
                    <w:adjustRightInd w:val="0"/>
                    <w:snapToGrid w:val="0"/>
                    <w:jc w:val="center"/>
                    <w:textAlignment w:val="center"/>
                    <w:rPr>
                      <w:rFonts w:hint="eastAsia"/>
                      <w:color w:val="auto"/>
                      <w:kern w:val="0"/>
                      <w:lang w:val="en-US" w:eastAsia="zh-CN"/>
                    </w:rPr>
                  </w:pPr>
                  <w:r>
                    <w:rPr>
                      <w:rFonts w:hint="eastAsia"/>
                      <w:color w:val="auto"/>
                      <w:kern w:val="0"/>
                      <w:lang w:val="en-US" w:eastAsia="zh-CN"/>
                    </w:rPr>
                    <w:t>废气治理</w:t>
                  </w:r>
                </w:p>
              </w:tc>
              <w:tc>
                <w:tcPr>
                  <w:tcW w:w="540" w:type="pct"/>
                  <w:vMerge w:val="continue"/>
                  <w:tcBorders>
                    <w:tl2br w:val="nil"/>
                    <w:tr2bl w:val="nil"/>
                  </w:tcBorders>
                  <w:vAlign w:val="center"/>
                </w:tcPr>
                <w:p w14:paraId="4F1D3777">
                  <w:pPr>
                    <w:pStyle w:val="693"/>
                    <w:rPr>
                      <w:rFonts w:eastAsia="宋体"/>
                      <w:b w:val="0"/>
                      <w:bCs/>
                      <w:color w:val="auto"/>
                      <w:kern w:val="0"/>
                    </w:rPr>
                  </w:pPr>
                </w:p>
              </w:tc>
              <w:tc>
                <w:tcPr>
                  <w:tcW w:w="819" w:type="pct"/>
                  <w:tcBorders>
                    <w:tl2br w:val="nil"/>
                    <w:tr2bl w:val="nil"/>
                  </w:tcBorders>
                  <w:shd w:val="clear" w:color="auto" w:fill="auto"/>
                  <w:vAlign w:val="center"/>
                </w:tcPr>
                <w:p w14:paraId="280A40F0">
                  <w:pPr>
                    <w:contextualSpacing/>
                    <w:jc w:val="center"/>
                    <w:rPr>
                      <w:color w:val="auto"/>
                      <w:highlight w:val="none"/>
                    </w:rPr>
                  </w:pPr>
                  <w:r>
                    <w:rPr>
                      <w:rFonts w:hint="eastAsia"/>
                      <w:color w:val="auto"/>
                      <w:kern w:val="0"/>
                      <w:lang w:val="en-US" w:eastAsia="zh-CN"/>
                    </w:rPr>
                    <w:t>900-039-49</w:t>
                  </w:r>
                </w:p>
              </w:tc>
              <w:tc>
                <w:tcPr>
                  <w:tcW w:w="596" w:type="pct"/>
                  <w:tcBorders>
                    <w:tl2br w:val="nil"/>
                    <w:tr2bl w:val="nil"/>
                  </w:tcBorders>
                  <w:shd w:val="clear" w:color="auto" w:fill="auto"/>
                  <w:vAlign w:val="center"/>
                </w:tcPr>
                <w:p w14:paraId="322ED5EA">
                  <w:pPr>
                    <w:pStyle w:val="5"/>
                    <w:adjustRightInd w:val="0"/>
                    <w:snapToGrid w:val="0"/>
                    <w:ind w:firstLine="0" w:firstLineChars="0"/>
                    <w:jc w:val="center"/>
                    <w:rPr>
                      <w:rFonts w:hint="default"/>
                      <w:color w:val="auto"/>
                      <w:kern w:val="0"/>
                      <w:szCs w:val="21"/>
                      <w:lang w:val="en-US" w:eastAsia="zh-CN"/>
                    </w:rPr>
                  </w:pPr>
                  <w:r>
                    <w:rPr>
                      <w:rFonts w:hint="eastAsia"/>
                      <w:color w:val="auto"/>
                      <w:kern w:val="0"/>
                      <w:szCs w:val="21"/>
                      <w:lang w:val="en-US" w:eastAsia="zh-CN"/>
                    </w:rPr>
                    <w:t>6.538</w:t>
                  </w:r>
                </w:p>
              </w:tc>
              <w:tc>
                <w:tcPr>
                  <w:tcW w:w="570" w:type="pct"/>
                  <w:vMerge w:val="continue"/>
                  <w:tcBorders>
                    <w:tl2br w:val="nil"/>
                    <w:tr2bl w:val="nil"/>
                  </w:tcBorders>
                  <w:shd w:val="clear" w:color="auto" w:fill="auto"/>
                  <w:vAlign w:val="center"/>
                </w:tcPr>
                <w:p w14:paraId="7E842F17">
                  <w:pPr>
                    <w:adjustRightInd w:val="0"/>
                    <w:snapToGrid w:val="0"/>
                    <w:jc w:val="center"/>
                    <w:rPr>
                      <w:rFonts w:hint="eastAsia" w:ascii="Times New Roman" w:hAnsi="Times New Roman" w:eastAsia="宋体" w:cs="Times New Roman"/>
                      <w:snapToGrid w:val="0"/>
                      <w:color w:val="auto"/>
                      <w:kern w:val="0"/>
                      <w:sz w:val="21"/>
                      <w:szCs w:val="21"/>
                      <w:lang w:val="en-US" w:eastAsia="zh-CN" w:bidi="ar-SA"/>
                    </w:rPr>
                  </w:pPr>
                </w:p>
              </w:tc>
              <w:tc>
                <w:tcPr>
                  <w:tcW w:w="649" w:type="pct"/>
                  <w:vMerge w:val="continue"/>
                  <w:tcBorders>
                    <w:tl2br w:val="nil"/>
                    <w:tr2bl w:val="nil"/>
                  </w:tcBorders>
                  <w:shd w:val="clear" w:color="auto" w:fill="auto"/>
                  <w:vAlign w:val="center"/>
                </w:tcPr>
                <w:p w14:paraId="320EC805">
                  <w:pPr>
                    <w:adjustRightInd w:val="0"/>
                    <w:snapToGrid w:val="0"/>
                    <w:jc w:val="center"/>
                    <w:rPr>
                      <w:rFonts w:hint="eastAsia" w:ascii="Times New Roman" w:hAnsi="Times New Roman" w:eastAsia="宋体" w:cs="Times New Roman"/>
                      <w:bCs/>
                      <w:snapToGrid w:val="0"/>
                      <w:color w:val="auto"/>
                      <w:kern w:val="0"/>
                      <w:sz w:val="21"/>
                      <w:szCs w:val="21"/>
                      <w:lang w:val="en-US" w:eastAsia="zh-CN" w:bidi="ar-SA"/>
                    </w:rPr>
                  </w:pPr>
                </w:p>
              </w:tc>
            </w:tr>
            <w:tr w14:paraId="095723B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942" w:type="pct"/>
                  <w:tcBorders>
                    <w:tl2br w:val="nil"/>
                    <w:tr2bl w:val="nil"/>
                  </w:tcBorders>
                  <w:vAlign w:val="center"/>
                </w:tcPr>
                <w:p w14:paraId="27C64E7C">
                  <w:pPr>
                    <w:pStyle w:val="5"/>
                    <w:adjustRightInd w:val="0"/>
                    <w:snapToGrid w:val="0"/>
                    <w:ind w:firstLine="0" w:firstLineChars="0"/>
                    <w:jc w:val="center"/>
                    <w:rPr>
                      <w:bCs/>
                      <w:color w:val="auto"/>
                      <w:kern w:val="0"/>
                      <w:szCs w:val="21"/>
                    </w:rPr>
                  </w:pPr>
                  <w:r>
                    <w:rPr>
                      <w:rFonts w:hint="eastAsia"/>
                      <w:bCs/>
                      <w:color w:val="auto"/>
                      <w:kern w:val="0"/>
                      <w:szCs w:val="21"/>
                    </w:rPr>
                    <w:t>生活垃圾</w:t>
                  </w:r>
                </w:p>
              </w:tc>
              <w:tc>
                <w:tcPr>
                  <w:tcW w:w="882" w:type="pct"/>
                  <w:tcBorders>
                    <w:tl2br w:val="nil"/>
                    <w:tr2bl w:val="nil"/>
                  </w:tcBorders>
                  <w:vAlign w:val="center"/>
                </w:tcPr>
                <w:p w14:paraId="5A6FD47B">
                  <w:pPr>
                    <w:widowControl/>
                    <w:adjustRightInd w:val="0"/>
                    <w:snapToGrid w:val="0"/>
                    <w:jc w:val="center"/>
                    <w:textAlignment w:val="center"/>
                    <w:rPr>
                      <w:color w:val="auto"/>
                      <w:kern w:val="0"/>
                    </w:rPr>
                  </w:pPr>
                  <w:r>
                    <w:rPr>
                      <w:rFonts w:hint="eastAsia"/>
                      <w:color w:val="auto"/>
                      <w:kern w:val="0"/>
                    </w:rPr>
                    <w:t>员工生活</w:t>
                  </w:r>
                </w:p>
              </w:tc>
              <w:tc>
                <w:tcPr>
                  <w:tcW w:w="540" w:type="pct"/>
                  <w:tcBorders>
                    <w:tl2br w:val="nil"/>
                    <w:tr2bl w:val="nil"/>
                  </w:tcBorders>
                  <w:vAlign w:val="center"/>
                </w:tcPr>
                <w:p w14:paraId="5ECEDDBD">
                  <w:pPr>
                    <w:pStyle w:val="693"/>
                    <w:rPr>
                      <w:rFonts w:eastAsia="宋体"/>
                      <w:b w:val="0"/>
                      <w:bCs/>
                      <w:color w:val="auto"/>
                      <w:kern w:val="0"/>
                    </w:rPr>
                  </w:pPr>
                  <w:r>
                    <w:rPr>
                      <w:rFonts w:hint="eastAsia" w:eastAsia="宋体"/>
                      <w:b w:val="0"/>
                      <w:bCs/>
                      <w:color w:val="auto"/>
                      <w:kern w:val="0"/>
                    </w:rPr>
                    <w:t>生活垃圾</w:t>
                  </w:r>
                </w:p>
              </w:tc>
              <w:tc>
                <w:tcPr>
                  <w:tcW w:w="819" w:type="pct"/>
                  <w:tcBorders>
                    <w:tl2br w:val="nil"/>
                    <w:tr2bl w:val="nil"/>
                  </w:tcBorders>
                  <w:vAlign w:val="center"/>
                </w:tcPr>
                <w:p w14:paraId="5E2DB070">
                  <w:pPr>
                    <w:pStyle w:val="55"/>
                    <w:widowControl w:val="0"/>
                    <w:ind w:left="-30" w:leftChars="0" w:right="-30" w:rightChars="0"/>
                    <w:rPr>
                      <w:color w:val="auto"/>
                      <w:sz w:val="21"/>
                      <w:szCs w:val="21"/>
                    </w:rPr>
                  </w:pPr>
                  <w:r>
                    <w:rPr>
                      <w:rFonts w:hint="eastAsia"/>
                      <w:b w:val="0"/>
                      <w:bCs w:val="0"/>
                      <w:color w:val="auto"/>
                      <w:sz w:val="21"/>
                      <w:szCs w:val="21"/>
                    </w:rPr>
                    <w:t>900-099-S64</w:t>
                  </w:r>
                </w:p>
              </w:tc>
              <w:tc>
                <w:tcPr>
                  <w:tcW w:w="596" w:type="pct"/>
                  <w:tcBorders>
                    <w:tl2br w:val="nil"/>
                    <w:tr2bl w:val="nil"/>
                  </w:tcBorders>
                  <w:vAlign w:val="center"/>
                </w:tcPr>
                <w:p w14:paraId="02687A51">
                  <w:pPr>
                    <w:pStyle w:val="5"/>
                    <w:adjustRightInd w:val="0"/>
                    <w:snapToGrid w:val="0"/>
                    <w:ind w:firstLine="0" w:firstLineChars="0"/>
                    <w:jc w:val="center"/>
                    <w:rPr>
                      <w:color w:val="auto"/>
                      <w:kern w:val="0"/>
                      <w:szCs w:val="21"/>
                    </w:rPr>
                  </w:pPr>
                  <w:r>
                    <w:rPr>
                      <w:rFonts w:hint="eastAsia"/>
                      <w:color w:val="auto"/>
                      <w:kern w:val="0"/>
                      <w:szCs w:val="21"/>
                      <w:lang w:val="en-US" w:eastAsia="zh-CN"/>
                    </w:rPr>
                    <w:t>9</w:t>
                  </w:r>
                </w:p>
              </w:tc>
              <w:tc>
                <w:tcPr>
                  <w:tcW w:w="570" w:type="pct"/>
                  <w:tcBorders>
                    <w:tl2br w:val="nil"/>
                    <w:tr2bl w:val="nil"/>
                  </w:tcBorders>
                  <w:vAlign w:val="center"/>
                </w:tcPr>
                <w:p w14:paraId="67DCB1A7">
                  <w:pPr>
                    <w:pStyle w:val="698"/>
                    <w:rPr>
                      <w:rFonts w:eastAsia="宋体"/>
                      <w:color w:val="auto"/>
                      <w:kern w:val="0"/>
                    </w:rPr>
                  </w:pPr>
                  <w:r>
                    <w:rPr>
                      <w:rFonts w:hint="eastAsia" w:eastAsia="宋体"/>
                      <w:color w:val="auto"/>
                      <w:kern w:val="0"/>
                    </w:rPr>
                    <w:t>环卫清运</w:t>
                  </w:r>
                </w:p>
              </w:tc>
              <w:tc>
                <w:tcPr>
                  <w:tcW w:w="649" w:type="pct"/>
                  <w:tcBorders>
                    <w:tl2br w:val="nil"/>
                    <w:tr2bl w:val="nil"/>
                  </w:tcBorders>
                  <w:vAlign w:val="center"/>
                </w:tcPr>
                <w:p w14:paraId="71B42992">
                  <w:pPr>
                    <w:pStyle w:val="693"/>
                    <w:rPr>
                      <w:rFonts w:eastAsia="宋体"/>
                      <w:b w:val="0"/>
                      <w:bCs/>
                      <w:color w:val="auto"/>
                      <w:kern w:val="0"/>
                    </w:rPr>
                  </w:pPr>
                  <w:r>
                    <w:rPr>
                      <w:rFonts w:hint="eastAsia" w:eastAsia="宋体"/>
                      <w:b w:val="0"/>
                      <w:bCs/>
                      <w:color w:val="auto"/>
                      <w:kern w:val="0"/>
                    </w:rPr>
                    <w:t>环卫部门</w:t>
                  </w:r>
                </w:p>
              </w:tc>
            </w:tr>
          </w:tbl>
          <w:p w14:paraId="10F6A676">
            <w:pPr>
              <w:pStyle w:val="697"/>
              <w:adjustRightInd w:val="0"/>
              <w:snapToGrid w:val="0"/>
              <w:spacing w:line="360" w:lineRule="auto"/>
              <w:ind w:firstLine="422"/>
              <w:jc w:val="both"/>
              <w:rPr>
                <w:rFonts w:eastAsia="宋体"/>
                <w:b/>
                <w:bCs/>
                <w:color w:val="auto"/>
                <w:kern w:val="0"/>
                <w:sz w:val="21"/>
                <w:szCs w:val="21"/>
              </w:rPr>
            </w:pPr>
            <w:r>
              <w:rPr>
                <w:rFonts w:eastAsia="宋体"/>
                <w:b/>
                <w:bCs/>
                <w:color w:val="auto"/>
                <w:kern w:val="0"/>
                <w:sz w:val="21"/>
                <w:szCs w:val="21"/>
              </w:rPr>
              <w:t>（</w:t>
            </w:r>
            <w:r>
              <w:rPr>
                <w:rFonts w:hint="eastAsia" w:eastAsia="宋体"/>
                <w:b/>
                <w:bCs/>
                <w:color w:val="auto"/>
                <w:kern w:val="0"/>
                <w:sz w:val="21"/>
                <w:szCs w:val="21"/>
              </w:rPr>
              <w:t>4</w:t>
            </w:r>
            <w:r>
              <w:rPr>
                <w:rFonts w:eastAsia="宋体"/>
                <w:b/>
                <w:bCs/>
                <w:color w:val="auto"/>
                <w:kern w:val="0"/>
                <w:sz w:val="21"/>
                <w:szCs w:val="21"/>
              </w:rPr>
              <w:t>）固体废物防治措施</w:t>
            </w:r>
          </w:p>
          <w:p w14:paraId="36B2F7F2">
            <w:pPr>
              <w:adjustRightInd w:val="0"/>
              <w:snapToGrid w:val="0"/>
              <w:spacing w:line="360" w:lineRule="auto"/>
              <w:ind w:firstLine="420" w:firstLineChars="200"/>
              <w:rPr>
                <w:color w:val="auto"/>
                <w:kern w:val="0"/>
              </w:rPr>
            </w:pPr>
            <w:r>
              <w:rPr>
                <w:color w:val="auto"/>
                <w:kern w:val="0"/>
              </w:rPr>
              <w:t>本项目产生的</w:t>
            </w:r>
            <w:r>
              <w:rPr>
                <w:rFonts w:hint="eastAsia"/>
                <w:color w:val="auto"/>
                <w:kern w:val="0"/>
              </w:rPr>
              <w:t>一般固废为</w:t>
            </w:r>
            <w:r>
              <w:rPr>
                <w:rFonts w:hint="eastAsia"/>
                <w:color w:val="auto"/>
                <w:kern w:val="0"/>
                <w:lang w:val="en-US" w:eastAsia="zh-CN"/>
              </w:rPr>
              <w:t>废金属屑、一般废包材，</w:t>
            </w:r>
            <w:r>
              <w:rPr>
                <w:rFonts w:hint="eastAsia"/>
                <w:color w:val="auto"/>
                <w:kern w:val="0"/>
              </w:rPr>
              <w:t>收集后外售处置；</w:t>
            </w:r>
            <w:r>
              <w:rPr>
                <w:color w:val="auto"/>
                <w:kern w:val="0"/>
              </w:rPr>
              <w:t>危险废物</w:t>
            </w:r>
            <w:r>
              <w:rPr>
                <w:rFonts w:hint="eastAsia"/>
                <w:color w:val="auto"/>
                <w:kern w:val="0"/>
              </w:rPr>
              <w:t>为</w:t>
            </w:r>
            <w:r>
              <w:rPr>
                <w:rFonts w:hint="eastAsia"/>
                <w:color w:val="auto"/>
                <w:kern w:val="0"/>
                <w:lang w:val="en-US" w:eastAsia="zh-CN"/>
              </w:rPr>
              <w:t>废切削液、清洗废液、洗枪废液、漆渣、废包装桶、含锌废物、含漆废物、废活性炭</w:t>
            </w:r>
            <w:r>
              <w:rPr>
                <w:rFonts w:hint="eastAsia"/>
                <w:color w:val="auto"/>
                <w:kern w:val="0"/>
              </w:rPr>
              <w:t>，</w:t>
            </w:r>
            <w:r>
              <w:rPr>
                <w:color w:val="auto"/>
                <w:kern w:val="0"/>
              </w:rPr>
              <w:t>收集后委托有资质单位</w:t>
            </w:r>
            <w:r>
              <w:rPr>
                <w:rFonts w:hint="eastAsia"/>
                <w:color w:val="auto"/>
                <w:kern w:val="0"/>
              </w:rPr>
              <w:t>处置；生活垃圾委托环卫部门清运</w:t>
            </w:r>
            <w:r>
              <w:rPr>
                <w:color w:val="auto"/>
                <w:kern w:val="0"/>
              </w:rPr>
              <w:t>。</w:t>
            </w:r>
          </w:p>
          <w:p w14:paraId="037D9F58">
            <w:pPr>
              <w:adjustRightInd w:val="0"/>
              <w:snapToGrid w:val="0"/>
              <w:spacing w:line="360" w:lineRule="auto"/>
              <w:ind w:firstLine="422" w:firstLineChars="200"/>
              <w:rPr>
                <w:b/>
                <w:bCs/>
                <w:color w:val="auto"/>
                <w:kern w:val="0"/>
              </w:rPr>
            </w:pPr>
            <w:r>
              <w:rPr>
                <w:b/>
                <w:bCs/>
                <w:color w:val="auto"/>
                <w:kern w:val="0"/>
              </w:rPr>
              <w:t>①危险废物防治措施</w:t>
            </w:r>
          </w:p>
          <w:p w14:paraId="2F4A90EB">
            <w:pPr>
              <w:adjustRightInd w:val="0"/>
              <w:snapToGrid w:val="0"/>
              <w:spacing w:line="360" w:lineRule="auto"/>
              <w:ind w:firstLine="422" w:firstLineChars="200"/>
              <w:rPr>
                <w:b/>
                <w:bCs/>
                <w:color w:val="auto"/>
                <w:kern w:val="0"/>
              </w:rPr>
            </w:pPr>
            <w:r>
              <w:rPr>
                <w:rFonts w:hint="eastAsia"/>
                <w:b/>
                <w:bCs/>
                <w:color w:val="auto"/>
                <w:kern w:val="0"/>
              </w:rPr>
              <w:t>1）</w:t>
            </w:r>
            <w:r>
              <w:rPr>
                <w:b/>
                <w:bCs/>
                <w:color w:val="auto"/>
                <w:kern w:val="0"/>
              </w:rPr>
              <w:t>危险废物贮存场所环境影响分析</w:t>
            </w:r>
          </w:p>
          <w:p w14:paraId="5C2074C8">
            <w:pPr>
              <w:autoSpaceDE w:val="0"/>
              <w:autoSpaceDN w:val="0"/>
              <w:adjustRightInd w:val="0"/>
              <w:snapToGrid w:val="0"/>
              <w:spacing w:line="360" w:lineRule="auto"/>
              <w:ind w:firstLine="420" w:firstLineChars="200"/>
              <w:rPr>
                <w:color w:val="auto"/>
                <w:kern w:val="0"/>
              </w:rPr>
            </w:pPr>
            <w:r>
              <w:rPr>
                <w:color w:val="auto"/>
                <w:kern w:val="0"/>
              </w:rPr>
              <w:t>本项目危险废物贮存场所基本情况详见</w:t>
            </w:r>
            <w:r>
              <w:rPr>
                <w:rFonts w:hint="eastAsia"/>
                <w:color w:val="auto"/>
                <w:kern w:val="0"/>
              </w:rPr>
              <w:t>下表</w:t>
            </w:r>
            <w:r>
              <w:rPr>
                <w:color w:val="auto"/>
                <w:kern w:val="0"/>
              </w:rPr>
              <w:t>。</w:t>
            </w:r>
          </w:p>
          <w:p w14:paraId="106A52DC">
            <w:pPr>
              <w:jc w:val="center"/>
              <w:rPr>
                <w:b/>
                <w:color w:val="auto"/>
                <w:kern w:val="0"/>
              </w:rPr>
            </w:pPr>
            <w:r>
              <w:rPr>
                <w:b/>
                <w:color w:val="auto"/>
                <w:kern w:val="0"/>
              </w:rPr>
              <w:t>表4-</w:t>
            </w:r>
            <w:r>
              <w:rPr>
                <w:rFonts w:hint="eastAsia"/>
                <w:b/>
                <w:color w:val="auto"/>
                <w:kern w:val="0"/>
                <w:lang w:val="en-US" w:eastAsia="zh-CN"/>
              </w:rPr>
              <w:t>25</w:t>
            </w:r>
            <w:r>
              <w:rPr>
                <w:rFonts w:hint="eastAsia"/>
                <w:b/>
                <w:color w:val="auto"/>
                <w:kern w:val="0"/>
              </w:rPr>
              <w:t xml:space="preserve">   </w:t>
            </w:r>
            <w:r>
              <w:rPr>
                <w:b/>
                <w:color w:val="auto"/>
                <w:kern w:val="0"/>
              </w:rPr>
              <w:t>危险废物贮存场所基本情况表</w:t>
            </w:r>
          </w:p>
          <w:tbl>
            <w:tblPr>
              <w:tblStyle w:val="59"/>
              <w:tblW w:w="4997"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28" w:type="dxa"/>
                <w:bottom w:w="0" w:type="dxa"/>
                <w:right w:w="28" w:type="dxa"/>
              </w:tblCellMar>
            </w:tblPr>
            <w:tblGrid>
              <w:gridCol w:w="1212"/>
              <w:gridCol w:w="567"/>
              <w:gridCol w:w="808"/>
              <w:gridCol w:w="1278"/>
              <w:gridCol w:w="819"/>
              <w:gridCol w:w="932"/>
              <w:gridCol w:w="929"/>
              <w:gridCol w:w="736"/>
              <w:gridCol w:w="787"/>
              <w:gridCol w:w="788"/>
            </w:tblGrid>
            <w:tr w14:paraId="244D5C2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PrEx>
              <w:trPr>
                <w:jc w:val="center"/>
              </w:trPr>
              <w:tc>
                <w:tcPr>
                  <w:tcW w:w="684" w:type="pct"/>
                  <w:tcBorders>
                    <w:tl2br w:val="nil"/>
                    <w:tr2bl w:val="nil"/>
                  </w:tcBorders>
                  <w:vAlign w:val="center"/>
                </w:tcPr>
                <w:p w14:paraId="612A10AB">
                  <w:pPr>
                    <w:pStyle w:val="696"/>
                    <w:rPr>
                      <w:b/>
                      <w:color w:val="auto"/>
                      <w:kern w:val="0"/>
                    </w:rPr>
                  </w:pPr>
                  <w:r>
                    <w:rPr>
                      <w:b/>
                      <w:color w:val="auto"/>
                      <w:kern w:val="0"/>
                    </w:rPr>
                    <w:t>固体废物名称</w:t>
                  </w:r>
                </w:p>
              </w:tc>
              <w:tc>
                <w:tcPr>
                  <w:tcW w:w="320" w:type="pct"/>
                  <w:tcBorders>
                    <w:tl2br w:val="nil"/>
                    <w:tr2bl w:val="nil"/>
                  </w:tcBorders>
                  <w:vAlign w:val="center"/>
                </w:tcPr>
                <w:p w14:paraId="6F17AD70">
                  <w:pPr>
                    <w:pStyle w:val="696"/>
                    <w:rPr>
                      <w:b/>
                      <w:color w:val="auto"/>
                      <w:kern w:val="0"/>
                    </w:rPr>
                  </w:pPr>
                  <w:r>
                    <w:rPr>
                      <w:b/>
                      <w:color w:val="auto"/>
                      <w:kern w:val="0"/>
                    </w:rPr>
                    <w:t>贮存场所</w:t>
                  </w:r>
                </w:p>
              </w:tc>
              <w:tc>
                <w:tcPr>
                  <w:tcW w:w="456" w:type="pct"/>
                  <w:tcBorders>
                    <w:tl2br w:val="nil"/>
                    <w:tr2bl w:val="nil"/>
                  </w:tcBorders>
                  <w:vAlign w:val="center"/>
                </w:tcPr>
                <w:p w14:paraId="6B21A258">
                  <w:pPr>
                    <w:pStyle w:val="696"/>
                    <w:rPr>
                      <w:b/>
                      <w:color w:val="auto"/>
                      <w:kern w:val="0"/>
                    </w:rPr>
                  </w:pPr>
                  <w:r>
                    <w:rPr>
                      <w:b/>
                      <w:color w:val="auto"/>
                      <w:kern w:val="0"/>
                    </w:rPr>
                    <w:t>危废类别</w:t>
                  </w:r>
                </w:p>
              </w:tc>
              <w:tc>
                <w:tcPr>
                  <w:tcW w:w="721" w:type="pct"/>
                  <w:tcBorders>
                    <w:tl2br w:val="nil"/>
                    <w:tr2bl w:val="nil"/>
                  </w:tcBorders>
                  <w:vAlign w:val="center"/>
                </w:tcPr>
                <w:p w14:paraId="23D03535">
                  <w:pPr>
                    <w:pStyle w:val="696"/>
                    <w:rPr>
                      <w:b/>
                      <w:color w:val="auto"/>
                      <w:kern w:val="0"/>
                    </w:rPr>
                  </w:pPr>
                  <w:r>
                    <w:rPr>
                      <w:b/>
                      <w:color w:val="auto"/>
                      <w:kern w:val="0"/>
                    </w:rPr>
                    <w:t>废物代码</w:t>
                  </w:r>
                </w:p>
              </w:tc>
              <w:tc>
                <w:tcPr>
                  <w:tcW w:w="462" w:type="pct"/>
                  <w:tcBorders>
                    <w:tl2br w:val="nil"/>
                    <w:tr2bl w:val="nil"/>
                  </w:tcBorders>
                  <w:vAlign w:val="center"/>
                </w:tcPr>
                <w:p w14:paraId="34F20779">
                  <w:pPr>
                    <w:pStyle w:val="696"/>
                    <w:rPr>
                      <w:b/>
                      <w:color w:val="auto"/>
                      <w:kern w:val="0"/>
                    </w:rPr>
                  </w:pPr>
                  <w:r>
                    <w:rPr>
                      <w:b/>
                      <w:color w:val="auto"/>
                      <w:kern w:val="0"/>
                    </w:rPr>
                    <w:t>产生量（t/a）</w:t>
                  </w:r>
                </w:p>
              </w:tc>
              <w:tc>
                <w:tcPr>
                  <w:tcW w:w="526" w:type="pct"/>
                  <w:tcBorders>
                    <w:tl2br w:val="nil"/>
                    <w:tr2bl w:val="nil"/>
                  </w:tcBorders>
                  <w:vAlign w:val="center"/>
                </w:tcPr>
                <w:p w14:paraId="6763D913">
                  <w:pPr>
                    <w:pStyle w:val="696"/>
                    <w:rPr>
                      <w:b/>
                      <w:color w:val="auto"/>
                      <w:kern w:val="0"/>
                    </w:rPr>
                  </w:pPr>
                  <w:r>
                    <w:rPr>
                      <w:rFonts w:hint="eastAsia"/>
                      <w:b/>
                      <w:color w:val="auto"/>
                      <w:kern w:val="0"/>
                    </w:rPr>
                    <w:t>暂存</w:t>
                  </w:r>
                  <w:r>
                    <w:rPr>
                      <w:b/>
                      <w:color w:val="auto"/>
                      <w:kern w:val="0"/>
                    </w:rPr>
                    <w:t>量（t/a）</w:t>
                  </w:r>
                </w:p>
              </w:tc>
              <w:tc>
                <w:tcPr>
                  <w:tcW w:w="524" w:type="pct"/>
                  <w:tcBorders>
                    <w:tl2br w:val="nil"/>
                    <w:tr2bl w:val="nil"/>
                  </w:tcBorders>
                  <w:vAlign w:val="center"/>
                </w:tcPr>
                <w:p w14:paraId="6D0BCE1E">
                  <w:pPr>
                    <w:pStyle w:val="696"/>
                    <w:rPr>
                      <w:b/>
                      <w:color w:val="auto"/>
                      <w:kern w:val="0"/>
                    </w:rPr>
                  </w:pPr>
                  <w:r>
                    <w:rPr>
                      <w:b/>
                      <w:color w:val="auto"/>
                      <w:kern w:val="0"/>
                    </w:rPr>
                    <w:t>占地面积（m</w:t>
                  </w:r>
                  <w:r>
                    <w:rPr>
                      <w:b/>
                      <w:color w:val="auto"/>
                      <w:kern w:val="0"/>
                      <w:vertAlign w:val="superscript"/>
                    </w:rPr>
                    <w:t>2</w:t>
                  </w:r>
                  <w:r>
                    <w:rPr>
                      <w:b/>
                      <w:color w:val="auto"/>
                      <w:kern w:val="0"/>
                    </w:rPr>
                    <w:t>）</w:t>
                  </w:r>
                </w:p>
              </w:tc>
              <w:tc>
                <w:tcPr>
                  <w:tcW w:w="415" w:type="pct"/>
                  <w:tcBorders>
                    <w:tl2br w:val="nil"/>
                    <w:tr2bl w:val="nil"/>
                  </w:tcBorders>
                  <w:vAlign w:val="center"/>
                </w:tcPr>
                <w:p w14:paraId="728289C2">
                  <w:pPr>
                    <w:pStyle w:val="696"/>
                    <w:rPr>
                      <w:b/>
                      <w:color w:val="auto"/>
                      <w:kern w:val="0"/>
                    </w:rPr>
                  </w:pPr>
                  <w:r>
                    <w:rPr>
                      <w:b/>
                      <w:color w:val="auto"/>
                      <w:kern w:val="0"/>
                    </w:rPr>
                    <w:t>贮存方式</w:t>
                  </w:r>
                </w:p>
              </w:tc>
              <w:tc>
                <w:tcPr>
                  <w:tcW w:w="444" w:type="pct"/>
                  <w:tcBorders>
                    <w:tl2br w:val="nil"/>
                    <w:tr2bl w:val="nil"/>
                  </w:tcBorders>
                  <w:vAlign w:val="center"/>
                </w:tcPr>
                <w:p w14:paraId="67DFD6D8">
                  <w:pPr>
                    <w:pStyle w:val="696"/>
                    <w:rPr>
                      <w:b/>
                      <w:color w:val="auto"/>
                      <w:kern w:val="0"/>
                    </w:rPr>
                  </w:pPr>
                  <w:r>
                    <w:rPr>
                      <w:b/>
                      <w:color w:val="auto"/>
                      <w:kern w:val="0"/>
                    </w:rPr>
                    <w:t>贮存能力（t）</w:t>
                  </w:r>
                </w:p>
              </w:tc>
              <w:tc>
                <w:tcPr>
                  <w:tcW w:w="444" w:type="pct"/>
                  <w:tcBorders>
                    <w:tl2br w:val="nil"/>
                    <w:tr2bl w:val="nil"/>
                  </w:tcBorders>
                  <w:vAlign w:val="center"/>
                </w:tcPr>
                <w:p w14:paraId="04810EFD">
                  <w:pPr>
                    <w:pStyle w:val="696"/>
                    <w:rPr>
                      <w:b/>
                      <w:color w:val="auto"/>
                      <w:kern w:val="0"/>
                    </w:rPr>
                  </w:pPr>
                  <w:r>
                    <w:rPr>
                      <w:b/>
                      <w:color w:val="auto"/>
                      <w:kern w:val="0"/>
                    </w:rPr>
                    <w:t>贮存周期</w:t>
                  </w:r>
                </w:p>
              </w:tc>
            </w:tr>
            <w:tr w14:paraId="79A8345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28" w:type="dxa"/>
                  <w:bottom w:w="0" w:type="dxa"/>
                  <w:right w:w="28" w:type="dxa"/>
                </w:tblCellMar>
              </w:tblPrEx>
              <w:trPr>
                <w:jc w:val="center"/>
              </w:trPr>
              <w:tc>
                <w:tcPr>
                  <w:tcW w:w="684" w:type="pct"/>
                  <w:tcBorders>
                    <w:tl2br w:val="nil"/>
                    <w:tr2bl w:val="nil"/>
                  </w:tcBorders>
                  <w:vAlign w:val="center"/>
                </w:tcPr>
                <w:p w14:paraId="372C6691">
                  <w:pPr>
                    <w:pStyle w:val="5"/>
                    <w:adjustRightInd w:val="0"/>
                    <w:snapToGrid w:val="0"/>
                    <w:ind w:firstLine="0" w:firstLineChars="0"/>
                    <w:jc w:val="center"/>
                    <w:rPr>
                      <w:rFonts w:hint="eastAsia" w:eastAsia="宋体"/>
                      <w:bCs/>
                      <w:color w:val="auto"/>
                      <w:kern w:val="0"/>
                      <w:szCs w:val="21"/>
                      <w:lang w:eastAsia="zh-CN"/>
                    </w:rPr>
                  </w:pPr>
                  <w:r>
                    <w:rPr>
                      <w:rFonts w:hint="eastAsia"/>
                      <w:bCs/>
                      <w:color w:val="auto"/>
                      <w:kern w:val="0"/>
                      <w:szCs w:val="21"/>
                      <w:lang w:val="en-US" w:eastAsia="zh-CN"/>
                    </w:rPr>
                    <w:t>废切削液</w:t>
                  </w:r>
                </w:p>
              </w:tc>
              <w:tc>
                <w:tcPr>
                  <w:tcW w:w="320" w:type="pct"/>
                  <w:vMerge w:val="restart"/>
                  <w:tcBorders>
                    <w:tl2br w:val="nil"/>
                    <w:tr2bl w:val="nil"/>
                  </w:tcBorders>
                  <w:vAlign w:val="center"/>
                </w:tcPr>
                <w:p w14:paraId="591397EF">
                  <w:pPr>
                    <w:pStyle w:val="696"/>
                    <w:rPr>
                      <w:color w:val="auto"/>
                      <w:kern w:val="0"/>
                    </w:rPr>
                  </w:pPr>
                  <w:r>
                    <w:rPr>
                      <w:color w:val="auto"/>
                      <w:kern w:val="0"/>
                    </w:rPr>
                    <w:t>危废</w:t>
                  </w:r>
                  <w:r>
                    <w:rPr>
                      <w:rFonts w:hint="eastAsia"/>
                      <w:color w:val="auto"/>
                      <w:kern w:val="0"/>
                    </w:rPr>
                    <w:t>仓库</w:t>
                  </w:r>
                </w:p>
              </w:tc>
              <w:tc>
                <w:tcPr>
                  <w:tcW w:w="456" w:type="pct"/>
                  <w:tcBorders>
                    <w:tl2br w:val="nil"/>
                    <w:tr2bl w:val="nil"/>
                  </w:tcBorders>
                  <w:vAlign w:val="center"/>
                </w:tcPr>
                <w:p w14:paraId="77C1AA34">
                  <w:pPr>
                    <w:jc w:val="center"/>
                    <w:rPr>
                      <w:color w:val="auto"/>
                      <w:kern w:val="0"/>
                    </w:rPr>
                  </w:pPr>
                  <w:r>
                    <w:rPr>
                      <w:rFonts w:hint="eastAsia"/>
                      <w:color w:val="auto"/>
                      <w:highlight w:val="none"/>
                    </w:rPr>
                    <w:t>HW09</w:t>
                  </w:r>
                </w:p>
              </w:tc>
              <w:tc>
                <w:tcPr>
                  <w:tcW w:w="721" w:type="pct"/>
                  <w:tcBorders>
                    <w:tl2br w:val="nil"/>
                    <w:tr2bl w:val="nil"/>
                  </w:tcBorders>
                  <w:vAlign w:val="center"/>
                </w:tcPr>
                <w:p w14:paraId="27834971">
                  <w:pPr>
                    <w:jc w:val="center"/>
                    <w:rPr>
                      <w:color w:val="auto"/>
                      <w:kern w:val="0"/>
                    </w:rPr>
                  </w:pPr>
                  <w:r>
                    <w:rPr>
                      <w:color w:val="auto"/>
                      <w:highlight w:val="none"/>
                    </w:rPr>
                    <w:t>900-</w:t>
                  </w:r>
                  <w:r>
                    <w:rPr>
                      <w:rFonts w:hint="eastAsia"/>
                      <w:color w:val="auto"/>
                      <w:highlight w:val="none"/>
                    </w:rPr>
                    <w:t>006-09</w:t>
                  </w:r>
                </w:p>
              </w:tc>
              <w:tc>
                <w:tcPr>
                  <w:tcW w:w="462" w:type="pct"/>
                  <w:tcBorders>
                    <w:tl2br w:val="nil"/>
                    <w:tr2bl w:val="nil"/>
                  </w:tcBorders>
                  <w:shd w:val="clear" w:color="auto" w:fill="auto"/>
                  <w:vAlign w:val="center"/>
                </w:tcPr>
                <w:p w14:paraId="489EBD42">
                  <w:pPr>
                    <w:pStyle w:val="5"/>
                    <w:adjustRightInd w:val="0"/>
                    <w:snapToGrid w:val="0"/>
                    <w:ind w:firstLine="0" w:firstLineChars="0"/>
                    <w:jc w:val="center"/>
                    <w:rPr>
                      <w:rFonts w:hint="default" w:ascii="Times New Roman" w:hAnsi="Times New Roman" w:eastAsia="宋体" w:cs="Times New Roman"/>
                      <w:snapToGrid w:val="0"/>
                      <w:color w:val="auto"/>
                      <w:kern w:val="0"/>
                      <w:sz w:val="21"/>
                      <w:szCs w:val="21"/>
                      <w:lang w:val="en-US" w:eastAsia="zh-CN" w:bidi="ar-SA"/>
                    </w:rPr>
                  </w:pPr>
                  <w:r>
                    <w:rPr>
                      <w:rFonts w:hint="eastAsia"/>
                      <w:color w:val="auto"/>
                      <w:kern w:val="0"/>
                      <w:szCs w:val="21"/>
                      <w:lang w:val="en-US" w:eastAsia="zh-CN"/>
                    </w:rPr>
                    <w:t>0.88</w:t>
                  </w:r>
                </w:p>
              </w:tc>
              <w:tc>
                <w:tcPr>
                  <w:tcW w:w="526" w:type="pct"/>
                  <w:tcBorders>
                    <w:tl2br w:val="nil"/>
                    <w:tr2bl w:val="nil"/>
                  </w:tcBorders>
                  <w:vAlign w:val="center"/>
                </w:tcPr>
                <w:p w14:paraId="703C0896">
                  <w:pPr>
                    <w:pStyle w:val="5"/>
                    <w:adjustRightInd w:val="0"/>
                    <w:snapToGrid w:val="0"/>
                    <w:ind w:firstLine="0" w:firstLineChars="0"/>
                    <w:jc w:val="center"/>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0.22</w:t>
                  </w:r>
                </w:p>
              </w:tc>
              <w:tc>
                <w:tcPr>
                  <w:tcW w:w="524" w:type="pct"/>
                  <w:tcBorders>
                    <w:tl2br w:val="nil"/>
                    <w:tr2bl w:val="nil"/>
                  </w:tcBorders>
                  <w:vAlign w:val="center"/>
                </w:tcPr>
                <w:p w14:paraId="1974DA0B">
                  <w:pPr>
                    <w:jc w:val="center"/>
                    <w:rPr>
                      <w:rFonts w:hint="default" w:eastAsia="宋体"/>
                      <w:color w:val="auto"/>
                      <w:kern w:val="0"/>
                      <w:lang w:val="en-US" w:eastAsia="zh-CN"/>
                    </w:rPr>
                  </w:pPr>
                  <w:r>
                    <w:rPr>
                      <w:rFonts w:hint="eastAsia"/>
                      <w:color w:val="auto"/>
                      <w:kern w:val="0"/>
                      <w:lang w:val="en-US" w:eastAsia="zh-CN"/>
                    </w:rPr>
                    <w:t>1</w:t>
                  </w:r>
                </w:p>
              </w:tc>
              <w:tc>
                <w:tcPr>
                  <w:tcW w:w="415" w:type="pct"/>
                  <w:tcBorders>
                    <w:tl2br w:val="nil"/>
                    <w:tr2bl w:val="nil"/>
                  </w:tcBorders>
                  <w:vAlign w:val="center"/>
                </w:tcPr>
                <w:p w14:paraId="208D0226">
                  <w:pPr>
                    <w:pStyle w:val="696"/>
                    <w:rPr>
                      <w:color w:val="auto"/>
                    </w:rPr>
                  </w:pPr>
                  <w:r>
                    <w:rPr>
                      <w:rFonts w:hint="eastAsia"/>
                      <w:color w:val="auto"/>
                      <w:kern w:val="0"/>
                      <w:lang w:val="en-US" w:eastAsia="zh-CN"/>
                    </w:rPr>
                    <w:t>桶装</w:t>
                  </w:r>
                </w:p>
              </w:tc>
              <w:tc>
                <w:tcPr>
                  <w:tcW w:w="444" w:type="pct"/>
                  <w:tcBorders>
                    <w:tl2br w:val="nil"/>
                    <w:tr2bl w:val="nil"/>
                  </w:tcBorders>
                  <w:shd w:val="clear" w:color="auto" w:fill="auto"/>
                  <w:vAlign w:val="center"/>
                </w:tcPr>
                <w:p w14:paraId="1172632B">
                  <w:pPr>
                    <w:jc w:val="center"/>
                    <w:rPr>
                      <w:rFonts w:hint="default" w:ascii="Times New Roman" w:hAnsi="Times New Roman" w:eastAsia="宋体" w:cs="Times New Roman"/>
                      <w:snapToGrid w:val="0"/>
                      <w:color w:val="auto"/>
                      <w:kern w:val="0"/>
                      <w:sz w:val="21"/>
                      <w:szCs w:val="21"/>
                      <w:lang w:val="en-US" w:eastAsia="zh-CN" w:bidi="ar-SA"/>
                    </w:rPr>
                  </w:pPr>
                  <w:r>
                    <w:rPr>
                      <w:rFonts w:hint="eastAsia"/>
                      <w:color w:val="auto"/>
                      <w:kern w:val="0"/>
                      <w:lang w:val="en-US" w:eastAsia="zh-CN"/>
                    </w:rPr>
                    <w:t>1</w:t>
                  </w:r>
                </w:p>
              </w:tc>
              <w:tc>
                <w:tcPr>
                  <w:tcW w:w="444" w:type="pct"/>
                  <w:tcBorders>
                    <w:tl2br w:val="nil"/>
                    <w:tr2bl w:val="nil"/>
                  </w:tcBorders>
                  <w:vAlign w:val="center"/>
                </w:tcPr>
                <w:p w14:paraId="6BA3343F">
                  <w:pPr>
                    <w:adjustRightInd w:val="0"/>
                    <w:snapToGrid w:val="0"/>
                    <w:jc w:val="center"/>
                    <w:rPr>
                      <w:color w:val="auto"/>
                      <w:kern w:val="0"/>
                    </w:rPr>
                  </w:pPr>
                  <w:r>
                    <w:rPr>
                      <w:rFonts w:hint="eastAsia"/>
                      <w:color w:val="auto"/>
                      <w:kern w:val="0"/>
                    </w:rPr>
                    <w:t>3个月</w:t>
                  </w:r>
                </w:p>
              </w:tc>
            </w:tr>
            <w:tr w14:paraId="3D1D528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28" w:type="dxa"/>
                  <w:bottom w:w="0" w:type="dxa"/>
                  <w:right w:w="28" w:type="dxa"/>
                </w:tblCellMar>
              </w:tblPrEx>
              <w:trPr>
                <w:jc w:val="center"/>
              </w:trPr>
              <w:tc>
                <w:tcPr>
                  <w:tcW w:w="684" w:type="pct"/>
                  <w:tcBorders>
                    <w:tl2br w:val="nil"/>
                    <w:tr2bl w:val="nil"/>
                  </w:tcBorders>
                  <w:vAlign w:val="center"/>
                </w:tcPr>
                <w:p w14:paraId="4963D97A">
                  <w:pPr>
                    <w:pStyle w:val="5"/>
                    <w:adjustRightInd w:val="0"/>
                    <w:snapToGrid w:val="0"/>
                    <w:ind w:firstLine="0" w:firstLineChars="0"/>
                    <w:jc w:val="center"/>
                    <w:rPr>
                      <w:bCs/>
                      <w:color w:val="auto"/>
                      <w:kern w:val="0"/>
                      <w:szCs w:val="21"/>
                    </w:rPr>
                  </w:pPr>
                  <w:r>
                    <w:rPr>
                      <w:rFonts w:hint="eastAsia"/>
                      <w:bCs/>
                      <w:color w:val="auto"/>
                      <w:kern w:val="0"/>
                      <w:szCs w:val="21"/>
                      <w:lang w:val="en-US" w:eastAsia="zh-CN"/>
                    </w:rPr>
                    <w:t>清洗废液</w:t>
                  </w:r>
                </w:p>
              </w:tc>
              <w:tc>
                <w:tcPr>
                  <w:tcW w:w="320" w:type="pct"/>
                  <w:vMerge w:val="continue"/>
                  <w:tcBorders>
                    <w:tl2br w:val="nil"/>
                    <w:tr2bl w:val="nil"/>
                  </w:tcBorders>
                  <w:vAlign w:val="center"/>
                </w:tcPr>
                <w:p w14:paraId="0B09A5EE">
                  <w:pPr>
                    <w:pStyle w:val="696"/>
                    <w:rPr>
                      <w:color w:val="auto"/>
                      <w:kern w:val="0"/>
                    </w:rPr>
                  </w:pPr>
                </w:p>
              </w:tc>
              <w:tc>
                <w:tcPr>
                  <w:tcW w:w="456" w:type="pct"/>
                  <w:tcBorders>
                    <w:tl2br w:val="nil"/>
                    <w:tr2bl w:val="nil"/>
                  </w:tcBorders>
                  <w:vAlign w:val="center"/>
                </w:tcPr>
                <w:p w14:paraId="14E3826E">
                  <w:pPr>
                    <w:jc w:val="center"/>
                    <w:rPr>
                      <w:bCs/>
                      <w:color w:val="auto"/>
                      <w:kern w:val="0"/>
                    </w:rPr>
                  </w:pPr>
                  <w:r>
                    <w:rPr>
                      <w:rFonts w:hint="eastAsia"/>
                      <w:bCs/>
                      <w:color w:val="auto"/>
                      <w:kern w:val="0"/>
                      <w:lang w:val="en-US" w:eastAsia="zh-CN"/>
                    </w:rPr>
                    <w:t>HW09</w:t>
                  </w:r>
                </w:p>
              </w:tc>
              <w:tc>
                <w:tcPr>
                  <w:tcW w:w="721" w:type="pct"/>
                  <w:tcBorders>
                    <w:tl2br w:val="nil"/>
                    <w:tr2bl w:val="nil"/>
                  </w:tcBorders>
                  <w:vAlign w:val="center"/>
                </w:tcPr>
                <w:p w14:paraId="2B26808B">
                  <w:pPr>
                    <w:jc w:val="center"/>
                    <w:rPr>
                      <w:bCs/>
                      <w:color w:val="auto"/>
                      <w:kern w:val="0"/>
                    </w:rPr>
                  </w:pPr>
                  <w:r>
                    <w:rPr>
                      <w:rFonts w:hint="eastAsia"/>
                      <w:bCs/>
                      <w:color w:val="auto"/>
                      <w:kern w:val="0"/>
                      <w:lang w:val="en-US" w:eastAsia="zh-CN"/>
                    </w:rPr>
                    <w:t>900-007-09</w:t>
                  </w:r>
                </w:p>
              </w:tc>
              <w:tc>
                <w:tcPr>
                  <w:tcW w:w="462" w:type="pct"/>
                  <w:tcBorders>
                    <w:tl2br w:val="nil"/>
                    <w:tr2bl w:val="nil"/>
                  </w:tcBorders>
                  <w:shd w:val="clear" w:color="auto" w:fill="auto"/>
                  <w:vAlign w:val="center"/>
                </w:tcPr>
                <w:p w14:paraId="534C136C">
                  <w:pPr>
                    <w:pStyle w:val="5"/>
                    <w:adjustRightInd w:val="0"/>
                    <w:snapToGrid w:val="0"/>
                    <w:ind w:firstLine="0" w:firstLineChars="0"/>
                    <w:jc w:val="center"/>
                    <w:rPr>
                      <w:rFonts w:hint="default" w:ascii="Times New Roman" w:hAnsi="Times New Roman" w:eastAsia="宋体" w:cs="Times New Roman"/>
                      <w:snapToGrid w:val="0"/>
                      <w:color w:val="auto"/>
                      <w:kern w:val="0"/>
                      <w:sz w:val="21"/>
                      <w:szCs w:val="21"/>
                      <w:lang w:val="en-US" w:eastAsia="zh-CN" w:bidi="ar-SA"/>
                    </w:rPr>
                  </w:pPr>
                  <w:r>
                    <w:rPr>
                      <w:rFonts w:hint="eastAsia"/>
                      <w:color w:val="auto"/>
                      <w:kern w:val="0"/>
                      <w:szCs w:val="21"/>
                      <w:lang w:val="en-US" w:eastAsia="zh-CN"/>
                    </w:rPr>
                    <w:t>1.8</w:t>
                  </w:r>
                </w:p>
              </w:tc>
              <w:tc>
                <w:tcPr>
                  <w:tcW w:w="526" w:type="pct"/>
                  <w:tcBorders>
                    <w:tl2br w:val="nil"/>
                    <w:tr2bl w:val="nil"/>
                  </w:tcBorders>
                  <w:vAlign w:val="center"/>
                </w:tcPr>
                <w:p w14:paraId="62DEF6D8">
                  <w:pPr>
                    <w:pStyle w:val="5"/>
                    <w:adjustRightInd w:val="0"/>
                    <w:snapToGrid w:val="0"/>
                    <w:ind w:firstLine="0" w:firstLineChars="0"/>
                    <w:jc w:val="center"/>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0.</w:t>
                  </w:r>
                  <w:r>
                    <w:rPr>
                      <w:rFonts w:hint="eastAsia" w:cs="Times New Roman"/>
                      <w:color w:val="auto"/>
                      <w:kern w:val="0"/>
                      <w:szCs w:val="21"/>
                      <w:lang w:val="en-US" w:eastAsia="zh-CN"/>
                    </w:rPr>
                    <w:t>45</w:t>
                  </w:r>
                </w:p>
              </w:tc>
              <w:tc>
                <w:tcPr>
                  <w:tcW w:w="524" w:type="pct"/>
                  <w:tcBorders>
                    <w:tl2br w:val="nil"/>
                    <w:tr2bl w:val="nil"/>
                  </w:tcBorders>
                  <w:vAlign w:val="center"/>
                </w:tcPr>
                <w:p w14:paraId="1919F21C">
                  <w:pPr>
                    <w:jc w:val="center"/>
                    <w:rPr>
                      <w:rFonts w:hint="default" w:eastAsia="宋体"/>
                      <w:color w:val="auto"/>
                      <w:kern w:val="0"/>
                      <w:lang w:val="en-US" w:eastAsia="zh-CN"/>
                    </w:rPr>
                  </w:pPr>
                  <w:r>
                    <w:rPr>
                      <w:rFonts w:hint="eastAsia"/>
                      <w:color w:val="auto"/>
                      <w:kern w:val="0"/>
                      <w:lang w:val="en-US" w:eastAsia="zh-CN"/>
                    </w:rPr>
                    <w:t>1</w:t>
                  </w:r>
                </w:p>
              </w:tc>
              <w:tc>
                <w:tcPr>
                  <w:tcW w:w="415" w:type="pct"/>
                  <w:tcBorders>
                    <w:tl2br w:val="nil"/>
                    <w:tr2bl w:val="nil"/>
                  </w:tcBorders>
                  <w:vAlign w:val="center"/>
                </w:tcPr>
                <w:p w14:paraId="61474E47">
                  <w:pPr>
                    <w:jc w:val="center"/>
                    <w:rPr>
                      <w:color w:val="auto"/>
                      <w:kern w:val="0"/>
                    </w:rPr>
                  </w:pPr>
                  <w:r>
                    <w:rPr>
                      <w:rFonts w:hint="eastAsia"/>
                      <w:color w:val="auto"/>
                      <w:kern w:val="0"/>
                      <w:lang w:val="en-US" w:eastAsia="zh-CN"/>
                    </w:rPr>
                    <w:t>桶装</w:t>
                  </w:r>
                </w:p>
              </w:tc>
              <w:tc>
                <w:tcPr>
                  <w:tcW w:w="444" w:type="pct"/>
                  <w:tcBorders>
                    <w:tl2br w:val="nil"/>
                    <w:tr2bl w:val="nil"/>
                  </w:tcBorders>
                  <w:shd w:val="clear" w:color="auto" w:fill="auto"/>
                  <w:vAlign w:val="center"/>
                </w:tcPr>
                <w:p w14:paraId="72C44126">
                  <w:pPr>
                    <w:jc w:val="center"/>
                    <w:rPr>
                      <w:rFonts w:hint="default" w:ascii="Times New Roman" w:hAnsi="Times New Roman" w:eastAsia="宋体" w:cs="Times New Roman"/>
                      <w:snapToGrid w:val="0"/>
                      <w:color w:val="auto"/>
                      <w:kern w:val="0"/>
                      <w:sz w:val="21"/>
                      <w:szCs w:val="21"/>
                      <w:lang w:val="en-US" w:eastAsia="zh-CN" w:bidi="ar-SA"/>
                    </w:rPr>
                  </w:pPr>
                  <w:r>
                    <w:rPr>
                      <w:rFonts w:hint="eastAsia"/>
                      <w:color w:val="auto"/>
                      <w:kern w:val="0"/>
                      <w:lang w:val="en-US" w:eastAsia="zh-CN"/>
                    </w:rPr>
                    <w:t>1</w:t>
                  </w:r>
                </w:p>
              </w:tc>
              <w:tc>
                <w:tcPr>
                  <w:tcW w:w="444" w:type="pct"/>
                  <w:tcBorders>
                    <w:tl2br w:val="nil"/>
                    <w:tr2bl w:val="nil"/>
                  </w:tcBorders>
                  <w:vAlign w:val="center"/>
                </w:tcPr>
                <w:p w14:paraId="111DCFDF">
                  <w:pPr>
                    <w:adjustRightInd w:val="0"/>
                    <w:snapToGrid w:val="0"/>
                    <w:jc w:val="center"/>
                    <w:rPr>
                      <w:color w:val="auto"/>
                      <w:kern w:val="0"/>
                    </w:rPr>
                  </w:pPr>
                  <w:r>
                    <w:rPr>
                      <w:rFonts w:hint="eastAsia"/>
                      <w:color w:val="auto"/>
                      <w:kern w:val="0"/>
                    </w:rPr>
                    <w:t>3个月</w:t>
                  </w:r>
                </w:p>
              </w:tc>
            </w:tr>
            <w:tr w14:paraId="0701C63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28" w:type="dxa"/>
                  <w:bottom w:w="0" w:type="dxa"/>
                  <w:right w:w="28" w:type="dxa"/>
                </w:tblCellMar>
              </w:tblPrEx>
              <w:trPr>
                <w:jc w:val="center"/>
              </w:trPr>
              <w:tc>
                <w:tcPr>
                  <w:tcW w:w="684" w:type="pct"/>
                  <w:tcBorders>
                    <w:tl2br w:val="nil"/>
                    <w:tr2bl w:val="nil"/>
                  </w:tcBorders>
                  <w:vAlign w:val="center"/>
                </w:tcPr>
                <w:p w14:paraId="137FBDB4">
                  <w:pPr>
                    <w:pStyle w:val="5"/>
                    <w:adjustRightInd w:val="0"/>
                    <w:snapToGrid w:val="0"/>
                    <w:ind w:firstLine="0" w:firstLineChars="0"/>
                    <w:jc w:val="center"/>
                    <w:rPr>
                      <w:rFonts w:hint="eastAsia" w:eastAsia="宋体"/>
                      <w:bCs/>
                      <w:color w:val="auto"/>
                      <w:kern w:val="0"/>
                      <w:szCs w:val="21"/>
                      <w:lang w:val="en-US" w:eastAsia="zh-CN"/>
                    </w:rPr>
                  </w:pPr>
                  <w:r>
                    <w:rPr>
                      <w:rFonts w:hint="eastAsia"/>
                      <w:bCs/>
                      <w:color w:val="auto"/>
                      <w:kern w:val="0"/>
                      <w:szCs w:val="21"/>
                      <w:lang w:val="en-US" w:eastAsia="zh-CN"/>
                    </w:rPr>
                    <w:t>洗枪废液</w:t>
                  </w:r>
                </w:p>
              </w:tc>
              <w:tc>
                <w:tcPr>
                  <w:tcW w:w="320" w:type="pct"/>
                  <w:vMerge w:val="continue"/>
                  <w:tcBorders>
                    <w:tl2br w:val="nil"/>
                    <w:tr2bl w:val="nil"/>
                  </w:tcBorders>
                  <w:vAlign w:val="center"/>
                </w:tcPr>
                <w:p w14:paraId="22CE1AA8">
                  <w:pPr>
                    <w:pStyle w:val="696"/>
                    <w:rPr>
                      <w:color w:val="auto"/>
                      <w:kern w:val="0"/>
                    </w:rPr>
                  </w:pPr>
                </w:p>
              </w:tc>
              <w:tc>
                <w:tcPr>
                  <w:tcW w:w="456" w:type="pct"/>
                  <w:tcBorders>
                    <w:tl2br w:val="nil"/>
                    <w:tr2bl w:val="nil"/>
                  </w:tcBorders>
                  <w:vAlign w:val="center"/>
                </w:tcPr>
                <w:p w14:paraId="47618F53">
                  <w:pPr>
                    <w:jc w:val="center"/>
                    <w:rPr>
                      <w:color w:val="auto"/>
                      <w:kern w:val="0"/>
                    </w:rPr>
                  </w:pPr>
                  <w:r>
                    <w:rPr>
                      <w:rFonts w:hint="eastAsia"/>
                      <w:color w:val="auto"/>
                      <w:kern w:val="0"/>
                      <w:lang w:val="en-US" w:eastAsia="zh-CN"/>
                    </w:rPr>
                    <w:t>HW06</w:t>
                  </w:r>
                </w:p>
              </w:tc>
              <w:tc>
                <w:tcPr>
                  <w:tcW w:w="721" w:type="pct"/>
                  <w:tcBorders>
                    <w:tl2br w:val="nil"/>
                    <w:tr2bl w:val="nil"/>
                  </w:tcBorders>
                  <w:vAlign w:val="center"/>
                </w:tcPr>
                <w:p w14:paraId="58CF9979">
                  <w:pPr>
                    <w:jc w:val="center"/>
                    <w:rPr>
                      <w:color w:val="auto"/>
                      <w:kern w:val="0"/>
                    </w:rPr>
                  </w:pPr>
                  <w:r>
                    <w:rPr>
                      <w:rFonts w:hint="eastAsia"/>
                      <w:color w:val="auto"/>
                      <w:kern w:val="0"/>
                      <w:lang w:val="en-US" w:eastAsia="zh-CN"/>
                    </w:rPr>
                    <w:t>900-402-06</w:t>
                  </w:r>
                </w:p>
              </w:tc>
              <w:tc>
                <w:tcPr>
                  <w:tcW w:w="462" w:type="pct"/>
                  <w:tcBorders>
                    <w:tl2br w:val="nil"/>
                    <w:tr2bl w:val="nil"/>
                  </w:tcBorders>
                  <w:shd w:val="clear" w:color="auto" w:fill="auto"/>
                  <w:vAlign w:val="center"/>
                </w:tcPr>
                <w:p w14:paraId="2DF62B1F">
                  <w:pPr>
                    <w:pStyle w:val="5"/>
                    <w:adjustRightInd w:val="0"/>
                    <w:snapToGrid w:val="0"/>
                    <w:ind w:firstLine="0" w:firstLineChars="0"/>
                    <w:jc w:val="center"/>
                    <w:rPr>
                      <w:rFonts w:hint="eastAsia" w:ascii="Times New Roman" w:hAnsi="Times New Roman" w:eastAsia="宋体" w:cs="Times New Roman"/>
                      <w:snapToGrid w:val="0"/>
                      <w:color w:val="auto"/>
                      <w:kern w:val="0"/>
                      <w:sz w:val="21"/>
                      <w:szCs w:val="21"/>
                      <w:lang w:val="en-US" w:eastAsia="zh-CN" w:bidi="ar-SA"/>
                    </w:rPr>
                  </w:pPr>
                  <w:r>
                    <w:rPr>
                      <w:rFonts w:hint="eastAsia"/>
                      <w:color w:val="auto"/>
                      <w:kern w:val="0"/>
                      <w:szCs w:val="21"/>
                      <w:lang w:val="en-US" w:eastAsia="zh-CN"/>
                    </w:rPr>
                    <w:t>0.1</w:t>
                  </w:r>
                </w:p>
              </w:tc>
              <w:tc>
                <w:tcPr>
                  <w:tcW w:w="526" w:type="pct"/>
                  <w:tcBorders>
                    <w:tl2br w:val="nil"/>
                    <w:tr2bl w:val="nil"/>
                  </w:tcBorders>
                  <w:vAlign w:val="center"/>
                </w:tcPr>
                <w:p w14:paraId="6D336F15">
                  <w:pPr>
                    <w:pStyle w:val="5"/>
                    <w:adjustRightInd w:val="0"/>
                    <w:snapToGrid w:val="0"/>
                    <w:ind w:firstLine="0" w:firstLineChars="0"/>
                    <w:jc w:val="center"/>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0.025</w:t>
                  </w:r>
                </w:p>
              </w:tc>
              <w:tc>
                <w:tcPr>
                  <w:tcW w:w="524" w:type="pct"/>
                  <w:tcBorders>
                    <w:tl2br w:val="nil"/>
                    <w:tr2bl w:val="nil"/>
                  </w:tcBorders>
                  <w:vAlign w:val="center"/>
                </w:tcPr>
                <w:p w14:paraId="3D301AD2">
                  <w:pPr>
                    <w:jc w:val="center"/>
                    <w:rPr>
                      <w:rFonts w:hint="default" w:eastAsia="宋体"/>
                      <w:color w:val="auto"/>
                      <w:kern w:val="0"/>
                      <w:lang w:val="en-US" w:eastAsia="zh-CN"/>
                    </w:rPr>
                  </w:pPr>
                  <w:r>
                    <w:rPr>
                      <w:rFonts w:hint="eastAsia"/>
                      <w:color w:val="auto"/>
                      <w:kern w:val="0"/>
                      <w:lang w:val="en-US" w:eastAsia="zh-CN"/>
                    </w:rPr>
                    <w:t>1</w:t>
                  </w:r>
                </w:p>
              </w:tc>
              <w:tc>
                <w:tcPr>
                  <w:tcW w:w="415" w:type="pct"/>
                  <w:tcBorders>
                    <w:tl2br w:val="nil"/>
                    <w:tr2bl w:val="nil"/>
                  </w:tcBorders>
                  <w:vAlign w:val="center"/>
                </w:tcPr>
                <w:p w14:paraId="217469E0">
                  <w:pPr>
                    <w:jc w:val="center"/>
                    <w:rPr>
                      <w:rFonts w:hint="eastAsia" w:eastAsia="宋体"/>
                      <w:color w:val="auto"/>
                      <w:kern w:val="0"/>
                      <w:lang w:val="en-US" w:eastAsia="zh-CN"/>
                    </w:rPr>
                  </w:pPr>
                  <w:r>
                    <w:rPr>
                      <w:rFonts w:hint="eastAsia"/>
                      <w:color w:val="auto"/>
                      <w:kern w:val="0"/>
                      <w:lang w:val="en-US" w:eastAsia="zh-CN"/>
                    </w:rPr>
                    <w:t>桶装</w:t>
                  </w:r>
                </w:p>
              </w:tc>
              <w:tc>
                <w:tcPr>
                  <w:tcW w:w="444" w:type="pct"/>
                  <w:tcBorders>
                    <w:tl2br w:val="nil"/>
                    <w:tr2bl w:val="nil"/>
                  </w:tcBorders>
                  <w:shd w:val="clear" w:color="auto" w:fill="auto"/>
                  <w:vAlign w:val="center"/>
                </w:tcPr>
                <w:p w14:paraId="7AEAA4F4">
                  <w:pPr>
                    <w:jc w:val="center"/>
                    <w:rPr>
                      <w:rFonts w:hint="default" w:ascii="Times New Roman" w:hAnsi="Times New Roman" w:eastAsia="宋体" w:cs="Times New Roman"/>
                      <w:snapToGrid w:val="0"/>
                      <w:color w:val="auto"/>
                      <w:kern w:val="0"/>
                      <w:sz w:val="21"/>
                      <w:szCs w:val="21"/>
                      <w:lang w:val="en-US" w:eastAsia="zh-CN" w:bidi="ar-SA"/>
                    </w:rPr>
                  </w:pPr>
                  <w:r>
                    <w:rPr>
                      <w:rFonts w:hint="eastAsia"/>
                      <w:color w:val="auto"/>
                      <w:kern w:val="0"/>
                      <w:lang w:val="en-US" w:eastAsia="zh-CN"/>
                    </w:rPr>
                    <w:t>1</w:t>
                  </w:r>
                </w:p>
              </w:tc>
              <w:tc>
                <w:tcPr>
                  <w:tcW w:w="444" w:type="pct"/>
                  <w:tcBorders>
                    <w:tl2br w:val="nil"/>
                    <w:tr2bl w:val="nil"/>
                  </w:tcBorders>
                  <w:vAlign w:val="center"/>
                </w:tcPr>
                <w:p w14:paraId="3DEB843D">
                  <w:pPr>
                    <w:adjustRightInd w:val="0"/>
                    <w:snapToGrid w:val="0"/>
                    <w:jc w:val="center"/>
                    <w:rPr>
                      <w:rFonts w:hint="default" w:eastAsia="宋体"/>
                      <w:color w:val="auto"/>
                      <w:kern w:val="0"/>
                      <w:lang w:val="en-US" w:eastAsia="zh-CN"/>
                    </w:rPr>
                  </w:pPr>
                  <w:r>
                    <w:rPr>
                      <w:rFonts w:hint="eastAsia"/>
                      <w:color w:val="auto"/>
                      <w:kern w:val="0"/>
                      <w:lang w:val="en-US" w:eastAsia="zh-CN"/>
                    </w:rPr>
                    <w:t>3个月</w:t>
                  </w:r>
                </w:p>
              </w:tc>
            </w:tr>
            <w:tr w14:paraId="37C37AA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28" w:type="dxa"/>
                  <w:bottom w:w="0" w:type="dxa"/>
                  <w:right w:w="28" w:type="dxa"/>
                </w:tblCellMar>
              </w:tblPrEx>
              <w:trPr>
                <w:jc w:val="center"/>
              </w:trPr>
              <w:tc>
                <w:tcPr>
                  <w:tcW w:w="684" w:type="pct"/>
                  <w:tcBorders>
                    <w:tl2br w:val="nil"/>
                    <w:tr2bl w:val="nil"/>
                  </w:tcBorders>
                  <w:vAlign w:val="center"/>
                </w:tcPr>
                <w:p w14:paraId="2AC9525F">
                  <w:pPr>
                    <w:pStyle w:val="5"/>
                    <w:adjustRightInd w:val="0"/>
                    <w:snapToGrid w:val="0"/>
                    <w:ind w:firstLine="0" w:firstLineChars="0"/>
                    <w:jc w:val="center"/>
                    <w:rPr>
                      <w:rFonts w:hint="default"/>
                      <w:bCs/>
                      <w:color w:val="auto"/>
                      <w:kern w:val="0"/>
                      <w:szCs w:val="21"/>
                      <w:lang w:val="en-US" w:eastAsia="zh-CN"/>
                    </w:rPr>
                  </w:pPr>
                  <w:r>
                    <w:rPr>
                      <w:rFonts w:hint="eastAsia"/>
                      <w:bCs/>
                      <w:color w:val="auto"/>
                      <w:kern w:val="0"/>
                      <w:szCs w:val="21"/>
                      <w:lang w:val="en-US" w:eastAsia="zh-CN"/>
                    </w:rPr>
                    <w:t>漆渣</w:t>
                  </w:r>
                </w:p>
              </w:tc>
              <w:tc>
                <w:tcPr>
                  <w:tcW w:w="320" w:type="pct"/>
                  <w:vMerge w:val="continue"/>
                  <w:tcBorders>
                    <w:tl2br w:val="nil"/>
                    <w:tr2bl w:val="nil"/>
                  </w:tcBorders>
                  <w:vAlign w:val="center"/>
                </w:tcPr>
                <w:p w14:paraId="17580C41">
                  <w:pPr>
                    <w:pStyle w:val="696"/>
                    <w:rPr>
                      <w:color w:val="auto"/>
                      <w:kern w:val="0"/>
                    </w:rPr>
                  </w:pPr>
                </w:p>
              </w:tc>
              <w:tc>
                <w:tcPr>
                  <w:tcW w:w="456" w:type="pct"/>
                  <w:tcBorders>
                    <w:tl2br w:val="nil"/>
                    <w:tr2bl w:val="nil"/>
                  </w:tcBorders>
                  <w:shd w:val="clear" w:color="auto" w:fill="auto"/>
                  <w:vAlign w:val="center"/>
                </w:tcPr>
                <w:p w14:paraId="4D800DE4">
                  <w:pPr>
                    <w:jc w:val="center"/>
                    <w:rPr>
                      <w:rFonts w:hint="eastAsia" w:ascii="Times New Roman" w:hAnsi="Times New Roman" w:eastAsia="宋体" w:cs="Times New Roman"/>
                      <w:snapToGrid w:val="0"/>
                      <w:color w:val="auto"/>
                      <w:kern w:val="2"/>
                      <w:sz w:val="21"/>
                      <w:szCs w:val="21"/>
                      <w:highlight w:val="none"/>
                      <w:lang w:val="en-US" w:eastAsia="zh-CN" w:bidi="ar-SA"/>
                    </w:rPr>
                  </w:pPr>
                  <w:r>
                    <w:rPr>
                      <w:rFonts w:hint="eastAsia" w:cs="Times New Roman"/>
                      <w:snapToGrid w:val="0"/>
                      <w:color w:val="auto"/>
                      <w:kern w:val="2"/>
                      <w:sz w:val="21"/>
                      <w:szCs w:val="21"/>
                      <w:highlight w:val="none"/>
                      <w:lang w:val="en-US" w:eastAsia="zh-CN" w:bidi="ar-SA"/>
                    </w:rPr>
                    <w:t>HW12</w:t>
                  </w:r>
                </w:p>
              </w:tc>
              <w:tc>
                <w:tcPr>
                  <w:tcW w:w="721" w:type="pct"/>
                  <w:tcBorders>
                    <w:tl2br w:val="nil"/>
                    <w:tr2bl w:val="nil"/>
                  </w:tcBorders>
                  <w:shd w:val="clear" w:color="auto" w:fill="auto"/>
                  <w:vAlign w:val="center"/>
                </w:tcPr>
                <w:p w14:paraId="1C329FBC">
                  <w:pPr>
                    <w:jc w:val="center"/>
                    <w:rPr>
                      <w:rFonts w:hint="eastAsia" w:ascii="Times New Roman" w:hAnsi="Times New Roman" w:eastAsia="宋体" w:cs="Times New Roman"/>
                      <w:snapToGrid w:val="0"/>
                      <w:color w:val="auto"/>
                      <w:kern w:val="2"/>
                      <w:sz w:val="21"/>
                      <w:szCs w:val="21"/>
                      <w:highlight w:val="none"/>
                      <w:lang w:val="en-US" w:eastAsia="zh-CN" w:bidi="ar-SA"/>
                    </w:rPr>
                  </w:pPr>
                  <w:r>
                    <w:rPr>
                      <w:rFonts w:hint="eastAsia" w:cs="Times New Roman"/>
                      <w:snapToGrid w:val="0"/>
                      <w:color w:val="auto"/>
                      <w:kern w:val="2"/>
                      <w:sz w:val="21"/>
                      <w:szCs w:val="21"/>
                      <w:highlight w:val="none"/>
                      <w:lang w:val="en-US" w:eastAsia="zh-CN" w:bidi="ar-SA"/>
                    </w:rPr>
                    <w:t>900-252-12</w:t>
                  </w:r>
                </w:p>
              </w:tc>
              <w:tc>
                <w:tcPr>
                  <w:tcW w:w="462" w:type="pct"/>
                  <w:tcBorders>
                    <w:tl2br w:val="nil"/>
                    <w:tr2bl w:val="nil"/>
                  </w:tcBorders>
                  <w:shd w:val="clear" w:color="auto" w:fill="auto"/>
                  <w:vAlign w:val="center"/>
                </w:tcPr>
                <w:p w14:paraId="3E85D2DF">
                  <w:pPr>
                    <w:pStyle w:val="5"/>
                    <w:adjustRightInd w:val="0"/>
                    <w:snapToGrid w:val="0"/>
                    <w:ind w:firstLine="0" w:firstLineChars="0"/>
                    <w:jc w:val="center"/>
                    <w:rPr>
                      <w:rFonts w:hint="default" w:ascii="Times New Roman" w:hAnsi="Times New Roman" w:eastAsia="宋体" w:cs="Times New Roman"/>
                      <w:snapToGrid w:val="0"/>
                      <w:color w:val="auto"/>
                      <w:kern w:val="0"/>
                      <w:sz w:val="21"/>
                      <w:szCs w:val="21"/>
                      <w:lang w:val="en-US" w:eastAsia="zh-CN" w:bidi="ar-SA"/>
                    </w:rPr>
                  </w:pPr>
                  <w:r>
                    <w:rPr>
                      <w:rFonts w:hint="eastAsia"/>
                      <w:color w:val="auto"/>
                      <w:kern w:val="0"/>
                      <w:szCs w:val="21"/>
                      <w:lang w:val="en-US" w:eastAsia="zh-CN"/>
                    </w:rPr>
                    <w:t>0.3738</w:t>
                  </w:r>
                </w:p>
              </w:tc>
              <w:tc>
                <w:tcPr>
                  <w:tcW w:w="526" w:type="pct"/>
                  <w:tcBorders>
                    <w:tl2br w:val="nil"/>
                    <w:tr2bl w:val="nil"/>
                  </w:tcBorders>
                  <w:vAlign w:val="center"/>
                </w:tcPr>
                <w:p w14:paraId="10FCF58E">
                  <w:pPr>
                    <w:pStyle w:val="5"/>
                    <w:adjustRightInd w:val="0"/>
                    <w:snapToGrid w:val="0"/>
                    <w:ind w:firstLine="0" w:firstLineChars="0"/>
                    <w:jc w:val="center"/>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0.093</w:t>
                  </w:r>
                </w:p>
              </w:tc>
              <w:tc>
                <w:tcPr>
                  <w:tcW w:w="524" w:type="pct"/>
                  <w:tcBorders>
                    <w:tl2br w:val="nil"/>
                    <w:tr2bl w:val="nil"/>
                  </w:tcBorders>
                  <w:vAlign w:val="center"/>
                </w:tcPr>
                <w:p w14:paraId="42965B4C">
                  <w:pPr>
                    <w:jc w:val="center"/>
                    <w:rPr>
                      <w:rFonts w:hint="default" w:eastAsia="宋体"/>
                      <w:color w:val="auto"/>
                      <w:kern w:val="0"/>
                      <w:lang w:val="en-US" w:eastAsia="zh-CN"/>
                    </w:rPr>
                  </w:pPr>
                  <w:r>
                    <w:rPr>
                      <w:rFonts w:hint="eastAsia"/>
                      <w:color w:val="auto"/>
                      <w:kern w:val="0"/>
                      <w:lang w:val="en-US" w:eastAsia="zh-CN"/>
                    </w:rPr>
                    <w:t>1</w:t>
                  </w:r>
                </w:p>
              </w:tc>
              <w:tc>
                <w:tcPr>
                  <w:tcW w:w="415" w:type="pct"/>
                  <w:tcBorders>
                    <w:tl2br w:val="nil"/>
                    <w:tr2bl w:val="nil"/>
                  </w:tcBorders>
                  <w:vAlign w:val="center"/>
                </w:tcPr>
                <w:p w14:paraId="67F46BD1">
                  <w:pPr>
                    <w:pStyle w:val="696"/>
                    <w:rPr>
                      <w:rFonts w:hint="default"/>
                      <w:color w:val="auto"/>
                      <w:kern w:val="0"/>
                      <w:lang w:val="en-US" w:eastAsia="zh-CN"/>
                    </w:rPr>
                  </w:pPr>
                  <w:r>
                    <w:rPr>
                      <w:rFonts w:hint="eastAsia"/>
                      <w:color w:val="auto"/>
                      <w:kern w:val="0"/>
                      <w:lang w:val="en-US" w:eastAsia="zh-CN"/>
                    </w:rPr>
                    <w:t>袋装</w:t>
                  </w:r>
                </w:p>
              </w:tc>
              <w:tc>
                <w:tcPr>
                  <w:tcW w:w="444" w:type="pct"/>
                  <w:tcBorders>
                    <w:tl2br w:val="nil"/>
                    <w:tr2bl w:val="nil"/>
                  </w:tcBorders>
                  <w:shd w:val="clear" w:color="auto" w:fill="auto"/>
                  <w:vAlign w:val="center"/>
                </w:tcPr>
                <w:p w14:paraId="3B3A8E20">
                  <w:pPr>
                    <w:jc w:val="center"/>
                    <w:rPr>
                      <w:rFonts w:hint="default" w:ascii="Times New Roman" w:hAnsi="Times New Roman" w:eastAsia="宋体" w:cs="Times New Roman"/>
                      <w:snapToGrid w:val="0"/>
                      <w:color w:val="auto"/>
                      <w:kern w:val="0"/>
                      <w:sz w:val="21"/>
                      <w:szCs w:val="21"/>
                      <w:lang w:val="en-US" w:eastAsia="zh-CN" w:bidi="ar-SA"/>
                    </w:rPr>
                  </w:pPr>
                  <w:r>
                    <w:rPr>
                      <w:rFonts w:hint="eastAsia"/>
                      <w:color w:val="auto"/>
                      <w:kern w:val="0"/>
                      <w:lang w:val="en-US" w:eastAsia="zh-CN"/>
                    </w:rPr>
                    <w:t>1</w:t>
                  </w:r>
                </w:p>
              </w:tc>
              <w:tc>
                <w:tcPr>
                  <w:tcW w:w="444" w:type="pct"/>
                  <w:tcBorders>
                    <w:tl2br w:val="nil"/>
                    <w:tr2bl w:val="nil"/>
                  </w:tcBorders>
                  <w:vAlign w:val="center"/>
                </w:tcPr>
                <w:p w14:paraId="69F6C785">
                  <w:pPr>
                    <w:adjustRightInd w:val="0"/>
                    <w:snapToGrid w:val="0"/>
                    <w:jc w:val="center"/>
                    <w:rPr>
                      <w:rFonts w:hint="default"/>
                      <w:color w:val="auto"/>
                      <w:kern w:val="0"/>
                      <w:lang w:val="en-US" w:eastAsia="zh-CN"/>
                    </w:rPr>
                  </w:pPr>
                  <w:r>
                    <w:rPr>
                      <w:rFonts w:hint="eastAsia"/>
                      <w:color w:val="auto"/>
                      <w:kern w:val="0"/>
                      <w:lang w:val="en-US" w:eastAsia="zh-CN"/>
                    </w:rPr>
                    <w:t>3个月</w:t>
                  </w:r>
                </w:p>
              </w:tc>
            </w:tr>
            <w:tr w14:paraId="72A79DB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28" w:type="dxa"/>
                  <w:bottom w:w="0" w:type="dxa"/>
                  <w:right w:w="28" w:type="dxa"/>
                </w:tblCellMar>
              </w:tblPrEx>
              <w:trPr>
                <w:jc w:val="center"/>
              </w:trPr>
              <w:tc>
                <w:tcPr>
                  <w:tcW w:w="684" w:type="pct"/>
                  <w:tcBorders>
                    <w:tl2br w:val="nil"/>
                    <w:tr2bl w:val="nil"/>
                  </w:tcBorders>
                  <w:vAlign w:val="center"/>
                </w:tcPr>
                <w:p w14:paraId="1C383457">
                  <w:pPr>
                    <w:pStyle w:val="5"/>
                    <w:adjustRightInd w:val="0"/>
                    <w:snapToGrid w:val="0"/>
                    <w:ind w:firstLine="0" w:firstLineChars="0"/>
                    <w:jc w:val="center"/>
                    <w:rPr>
                      <w:rFonts w:hint="eastAsia"/>
                      <w:bCs/>
                      <w:color w:val="auto"/>
                      <w:kern w:val="0"/>
                      <w:szCs w:val="21"/>
                      <w:lang w:val="en-US" w:eastAsia="zh-CN"/>
                    </w:rPr>
                  </w:pPr>
                  <w:r>
                    <w:rPr>
                      <w:rFonts w:hint="eastAsia"/>
                      <w:bCs/>
                      <w:color w:val="auto"/>
                      <w:kern w:val="0"/>
                      <w:szCs w:val="21"/>
                      <w:lang w:val="en-US" w:eastAsia="zh-CN"/>
                    </w:rPr>
                    <w:t>废包装桶</w:t>
                  </w:r>
                </w:p>
              </w:tc>
              <w:tc>
                <w:tcPr>
                  <w:tcW w:w="320" w:type="pct"/>
                  <w:vMerge w:val="continue"/>
                  <w:tcBorders>
                    <w:tl2br w:val="nil"/>
                    <w:tr2bl w:val="nil"/>
                  </w:tcBorders>
                  <w:vAlign w:val="center"/>
                </w:tcPr>
                <w:p w14:paraId="209C1082">
                  <w:pPr>
                    <w:pStyle w:val="696"/>
                    <w:rPr>
                      <w:color w:val="auto"/>
                      <w:kern w:val="0"/>
                    </w:rPr>
                  </w:pPr>
                </w:p>
              </w:tc>
              <w:tc>
                <w:tcPr>
                  <w:tcW w:w="456" w:type="pct"/>
                  <w:tcBorders>
                    <w:tl2br w:val="nil"/>
                    <w:tr2bl w:val="nil"/>
                  </w:tcBorders>
                  <w:shd w:val="clear" w:color="auto" w:fill="auto"/>
                  <w:vAlign w:val="center"/>
                </w:tcPr>
                <w:p w14:paraId="5D13FFF8">
                  <w:pPr>
                    <w:contextualSpacing/>
                    <w:jc w:val="center"/>
                    <w:rPr>
                      <w:rFonts w:hint="eastAsia"/>
                      <w:color w:val="auto"/>
                      <w:highlight w:val="none"/>
                    </w:rPr>
                  </w:pPr>
                  <w:r>
                    <w:rPr>
                      <w:rFonts w:hint="eastAsia"/>
                      <w:color w:val="auto"/>
                      <w:kern w:val="0"/>
                      <w:lang w:val="en-US" w:eastAsia="zh-CN"/>
                    </w:rPr>
                    <w:t>HW49</w:t>
                  </w:r>
                </w:p>
              </w:tc>
              <w:tc>
                <w:tcPr>
                  <w:tcW w:w="721" w:type="pct"/>
                  <w:tcBorders>
                    <w:tl2br w:val="nil"/>
                    <w:tr2bl w:val="nil"/>
                  </w:tcBorders>
                  <w:shd w:val="clear" w:color="auto" w:fill="auto"/>
                  <w:vAlign w:val="center"/>
                </w:tcPr>
                <w:p w14:paraId="492B7DCE">
                  <w:pPr>
                    <w:contextualSpacing/>
                    <w:jc w:val="center"/>
                    <w:rPr>
                      <w:color w:val="auto"/>
                      <w:highlight w:val="none"/>
                    </w:rPr>
                  </w:pPr>
                  <w:r>
                    <w:rPr>
                      <w:rFonts w:hint="eastAsia"/>
                      <w:color w:val="auto"/>
                      <w:kern w:val="0"/>
                      <w:lang w:val="en-US" w:eastAsia="zh-CN"/>
                    </w:rPr>
                    <w:t>900-041-49</w:t>
                  </w:r>
                </w:p>
              </w:tc>
              <w:tc>
                <w:tcPr>
                  <w:tcW w:w="462" w:type="pct"/>
                  <w:tcBorders>
                    <w:tl2br w:val="nil"/>
                    <w:tr2bl w:val="nil"/>
                  </w:tcBorders>
                  <w:shd w:val="clear" w:color="auto" w:fill="auto"/>
                  <w:vAlign w:val="center"/>
                </w:tcPr>
                <w:p w14:paraId="7AF7A858">
                  <w:pPr>
                    <w:pStyle w:val="5"/>
                    <w:adjustRightInd w:val="0"/>
                    <w:snapToGrid w:val="0"/>
                    <w:ind w:firstLine="0" w:firstLineChars="0"/>
                    <w:jc w:val="center"/>
                    <w:rPr>
                      <w:rFonts w:hint="eastAsia" w:ascii="Times New Roman" w:hAnsi="Times New Roman" w:eastAsia="宋体" w:cs="Times New Roman"/>
                      <w:snapToGrid w:val="0"/>
                      <w:color w:val="auto"/>
                      <w:kern w:val="0"/>
                      <w:sz w:val="21"/>
                      <w:szCs w:val="21"/>
                      <w:lang w:val="en-US" w:eastAsia="zh-CN" w:bidi="ar-SA"/>
                    </w:rPr>
                  </w:pPr>
                  <w:r>
                    <w:rPr>
                      <w:rFonts w:hint="eastAsia"/>
                      <w:color w:val="auto"/>
                      <w:kern w:val="0"/>
                      <w:szCs w:val="21"/>
                      <w:lang w:val="en-US" w:eastAsia="zh-CN"/>
                    </w:rPr>
                    <w:t>1.2</w:t>
                  </w:r>
                </w:p>
              </w:tc>
              <w:tc>
                <w:tcPr>
                  <w:tcW w:w="526" w:type="pct"/>
                  <w:tcBorders>
                    <w:tl2br w:val="nil"/>
                    <w:tr2bl w:val="nil"/>
                  </w:tcBorders>
                  <w:vAlign w:val="center"/>
                </w:tcPr>
                <w:p w14:paraId="0A20AF6D">
                  <w:pPr>
                    <w:pStyle w:val="5"/>
                    <w:adjustRightInd w:val="0"/>
                    <w:snapToGrid w:val="0"/>
                    <w:ind w:firstLine="0" w:firstLineChars="0"/>
                    <w:jc w:val="center"/>
                    <w:rPr>
                      <w:rFonts w:hint="eastAsia"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0.3</w:t>
                  </w:r>
                </w:p>
              </w:tc>
              <w:tc>
                <w:tcPr>
                  <w:tcW w:w="524" w:type="pct"/>
                  <w:tcBorders>
                    <w:tl2br w:val="nil"/>
                    <w:tr2bl w:val="nil"/>
                  </w:tcBorders>
                  <w:vAlign w:val="center"/>
                </w:tcPr>
                <w:p w14:paraId="6D8F5F98">
                  <w:pPr>
                    <w:pStyle w:val="698"/>
                    <w:adjustRightInd w:val="0"/>
                    <w:snapToGrid w:val="0"/>
                    <w:rPr>
                      <w:rFonts w:hint="default" w:eastAsia="宋体"/>
                      <w:color w:val="auto"/>
                      <w:kern w:val="0"/>
                      <w:lang w:val="en-US" w:eastAsia="zh-CN"/>
                    </w:rPr>
                  </w:pPr>
                  <w:r>
                    <w:rPr>
                      <w:rFonts w:hint="eastAsia" w:eastAsia="宋体"/>
                      <w:color w:val="auto"/>
                      <w:kern w:val="0"/>
                      <w:lang w:val="en-US" w:eastAsia="zh-CN"/>
                    </w:rPr>
                    <w:t>1</w:t>
                  </w:r>
                </w:p>
              </w:tc>
              <w:tc>
                <w:tcPr>
                  <w:tcW w:w="415" w:type="pct"/>
                  <w:tcBorders>
                    <w:tl2br w:val="nil"/>
                    <w:tr2bl w:val="nil"/>
                  </w:tcBorders>
                  <w:vAlign w:val="center"/>
                </w:tcPr>
                <w:p w14:paraId="0805585C">
                  <w:pPr>
                    <w:jc w:val="center"/>
                    <w:rPr>
                      <w:rFonts w:hint="eastAsia"/>
                      <w:color w:val="auto"/>
                      <w:kern w:val="0"/>
                      <w:lang w:val="en-US" w:eastAsia="zh-CN"/>
                    </w:rPr>
                  </w:pPr>
                  <w:r>
                    <w:rPr>
                      <w:rFonts w:hint="eastAsia"/>
                      <w:color w:val="auto"/>
                      <w:kern w:val="0"/>
                      <w:lang w:val="en-US" w:eastAsia="zh-CN"/>
                    </w:rPr>
                    <w:t>袋装</w:t>
                  </w:r>
                </w:p>
              </w:tc>
              <w:tc>
                <w:tcPr>
                  <w:tcW w:w="444" w:type="pct"/>
                  <w:tcBorders>
                    <w:tl2br w:val="nil"/>
                    <w:tr2bl w:val="nil"/>
                  </w:tcBorders>
                  <w:shd w:val="clear" w:color="auto" w:fill="auto"/>
                  <w:vAlign w:val="center"/>
                </w:tcPr>
                <w:p w14:paraId="66380A0F">
                  <w:pPr>
                    <w:pStyle w:val="698"/>
                    <w:adjustRightInd w:val="0"/>
                    <w:snapToGrid w:val="0"/>
                    <w:rPr>
                      <w:rFonts w:hint="eastAsia" w:ascii="Times New Roman" w:hAnsi="Times New Roman" w:eastAsia="宋体" w:cs="Times New Roman"/>
                      <w:snapToGrid w:val="0"/>
                      <w:color w:val="auto"/>
                      <w:kern w:val="0"/>
                      <w:sz w:val="21"/>
                      <w:szCs w:val="21"/>
                      <w:lang w:val="en-US" w:eastAsia="zh-CN" w:bidi="ar-SA"/>
                    </w:rPr>
                  </w:pPr>
                  <w:r>
                    <w:rPr>
                      <w:rFonts w:hint="eastAsia" w:eastAsia="宋体"/>
                      <w:color w:val="auto"/>
                      <w:kern w:val="0"/>
                      <w:lang w:val="en-US" w:eastAsia="zh-CN"/>
                    </w:rPr>
                    <w:t>1</w:t>
                  </w:r>
                </w:p>
              </w:tc>
              <w:tc>
                <w:tcPr>
                  <w:tcW w:w="444" w:type="pct"/>
                  <w:tcBorders>
                    <w:tl2br w:val="nil"/>
                    <w:tr2bl w:val="nil"/>
                  </w:tcBorders>
                  <w:vAlign w:val="center"/>
                </w:tcPr>
                <w:p w14:paraId="501D396D">
                  <w:pPr>
                    <w:adjustRightInd w:val="0"/>
                    <w:snapToGrid w:val="0"/>
                    <w:jc w:val="center"/>
                    <w:rPr>
                      <w:rFonts w:hint="eastAsia"/>
                      <w:color w:val="auto"/>
                      <w:kern w:val="0"/>
                      <w:lang w:val="en-US" w:eastAsia="zh-CN"/>
                    </w:rPr>
                  </w:pPr>
                  <w:r>
                    <w:rPr>
                      <w:rFonts w:hint="eastAsia"/>
                      <w:color w:val="auto"/>
                      <w:kern w:val="0"/>
                      <w:lang w:val="en-US" w:eastAsia="zh-CN"/>
                    </w:rPr>
                    <w:t>3个月</w:t>
                  </w:r>
                </w:p>
              </w:tc>
            </w:tr>
            <w:tr w14:paraId="7ED59A7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28" w:type="dxa"/>
                  <w:bottom w:w="0" w:type="dxa"/>
                  <w:right w:w="28" w:type="dxa"/>
                </w:tblCellMar>
              </w:tblPrEx>
              <w:trPr>
                <w:jc w:val="center"/>
              </w:trPr>
              <w:tc>
                <w:tcPr>
                  <w:tcW w:w="1212" w:type="dxa"/>
                  <w:tcBorders>
                    <w:tl2br w:val="nil"/>
                    <w:tr2bl w:val="nil"/>
                  </w:tcBorders>
                  <w:vAlign w:val="center"/>
                </w:tcPr>
                <w:p w14:paraId="5038120A">
                  <w:pPr>
                    <w:pStyle w:val="5"/>
                    <w:adjustRightInd w:val="0"/>
                    <w:snapToGrid w:val="0"/>
                    <w:ind w:firstLine="0" w:firstLineChars="0"/>
                    <w:jc w:val="center"/>
                    <w:rPr>
                      <w:rFonts w:hint="eastAsia"/>
                      <w:bCs/>
                      <w:color w:val="auto"/>
                      <w:kern w:val="0"/>
                      <w:szCs w:val="21"/>
                      <w:lang w:val="en-US" w:eastAsia="zh-CN"/>
                    </w:rPr>
                  </w:pPr>
                  <w:r>
                    <w:rPr>
                      <w:rFonts w:hint="eastAsia"/>
                      <w:bCs/>
                      <w:color w:val="auto"/>
                      <w:kern w:val="0"/>
                      <w:szCs w:val="21"/>
                      <w:lang w:val="en-US" w:eastAsia="zh-CN"/>
                    </w:rPr>
                    <w:t>含锌废物</w:t>
                  </w:r>
                </w:p>
              </w:tc>
              <w:tc>
                <w:tcPr>
                  <w:tcW w:w="320" w:type="pct"/>
                  <w:vMerge w:val="continue"/>
                  <w:tcBorders>
                    <w:tl2br w:val="nil"/>
                    <w:tr2bl w:val="nil"/>
                  </w:tcBorders>
                  <w:vAlign w:val="center"/>
                </w:tcPr>
                <w:p w14:paraId="26F40A7E">
                  <w:pPr>
                    <w:pStyle w:val="696"/>
                    <w:rPr>
                      <w:color w:val="auto"/>
                      <w:kern w:val="0"/>
                    </w:rPr>
                  </w:pPr>
                </w:p>
              </w:tc>
              <w:tc>
                <w:tcPr>
                  <w:tcW w:w="808" w:type="dxa"/>
                  <w:tcBorders>
                    <w:tl2br w:val="nil"/>
                    <w:tr2bl w:val="nil"/>
                  </w:tcBorders>
                  <w:shd w:val="clear" w:color="auto" w:fill="auto"/>
                  <w:vAlign w:val="center"/>
                </w:tcPr>
                <w:p w14:paraId="2C6C761E">
                  <w:pPr>
                    <w:contextualSpacing/>
                    <w:jc w:val="center"/>
                    <w:rPr>
                      <w:rFonts w:hint="eastAsia"/>
                      <w:color w:val="auto"/>
                      <w:highlight w:val="none"/>
                    </w:rPr>
                  </w:pPr>
                  <w:r>
                    <w:rPr>
                      <w:rFonts w:hint="eastAsia"/>
                      <w:color w:val="auto"/>
                      <w:kern w:val="0"/>
                      <w:lang w:val="en-US" w:eastAsia="zh-CN"/>
                    </w:rPr>
                    <w:t>HW23</w:t>
                  </w:r>
                </w:p>
              </w:tc>
              <w:tc>
                <w:tcPr>
                  <w:tcW w:w="1278" w:type="dxa"/>
                  <w:tcBorders>
                    <w:tl2br w:val="nil"/>
                    <w:tr2bl w:val="nil"/>
                  </w:tcBorders>
                  <w:shd w:val="clear" w:color="auto" w:fill="auto"/>
                  <w:vAlign w:val="center"/>
                </w:tcPr>
                <w:p w14:paraId="2DDACA2F">
                  <w:pPr>
                    <w:contextualSpacing/>
                    <w:jc w:val="center"/>
                    <w:rPr>
                      <w:color w:val="auto"/>
                      <w:highlight w:val="none"/>
                    </w:rPr>
                  </w:pPr>
                  <w:r>
                    <w:rPr>
                      <w:rFonts w:hint="eastAsia"/>
                      <w:color w:val="auto"/>
                      <w:kern w:val="0"/>
                      <w:lang w:val="en-US" w:eastAsia="zh-CN"/>
                    </w:rPr>
                    <w:t>336-103-23</w:t>
                  </w:r>
                </w:p>
              </w:tc>
              <w:tc>
                <w:tcPr>
                  <w:tcW w:w="819" w:type="dxa"/>
                  <w:tcBorders>
                    <w:tl2br w:val="nil"/>
                    <w:tr2bl w:val="nil"/>
                  </w:tcBorders>
                  <w:shd w:val="clear" w:color="auto" w:fill="auto"/>
                  <w:vAlign w:val="center"/>
                </w:tcPr>
                <w:p w14:paraId="486FB66C">
                  <w:pPr>
                    <w:pStyle w:val="5"/>
                    <w:adjustRightInd w:val="0"/>
                    <w:snapToGrid w:val="0"/>
                    <w:ind w:firstLine="0" w:firstLineChars="0"/>
                    <w:jc w:val="center"/>
                    <w:rPr>
                      <w:rFonts w:hint="eastAsia" w:ascii="Times New Roman" w:hAnsi="Times New Roman" w:eastAsia="宋体" w:cs="Times New Roman"/>
                      <w:snapToGrid w:val="0"/>
                      <w:color w:val="auto"/>
                      <w:kern w:val="0"/>
                      <w:sz w:val="21"/>
                      <w:szCs w:val="21"/>
                      <w:lang w:val="en-US" w:eastAsia="zh-CN" w:bidi="ar-SA"/>
                    </w:rPr>
                  </w:pPr>
                  <w:r>
                    <w:rPr>
                      <w:rFonts w:hint="eastAsia"/>
                      <w:color w:val="auto"/>
                      <w:kern w:val="0"/>
                      <w:szCs w:val="21"/>
                      <w:lang w:val="en-US" w:eastAsia="zh-CN"/>
                    </w:rPr>
                    <w:t>0.173</w:t>
                  </w:r>
                </w:p>
              </w:tc>
              <w:tc>
                <w:tcPr>
                  <w:tcW w:w="526" w:type="pct"/>
                  <w:tcBorders>
                    <w:tl2br w:val="nil"/>
                    <w:tr2bl w:val="nil"/>
                  </w:tcBorders>
                  <w:vAlign w:val="center"/>
                </w:tcPr>
                <w:p w14:paraId="0CC895F3">
                  <w:pPr>
                    <w:pStyle w:val="5"/>
                    <w:adjustRightInd w:val="0"/>
                    <w:snapToGrid w:val="0"/>
                    <w:ind w:firstLine="0" w:firstLineChars="0"/>
                    <w:jc w:val="center"/>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0.04325</w:t>
                  </w:r>
                </w:p>
              </w:tc>
              <w:tc>
                <w:tcPr>
                  <w:tcW w:w="524" w:type="pct"/>
                  <w:tcBorders>
                    <w:tl2br w:val="nil"/>
                    <w:tr2bl w:val="nil"/>
                  </w:tcBorders>
                  <w:vAlign w:val="center"/>
                </w:tcPr>
                <w:p w14:paraId="19375798">
                  <w:pPr>
                    <w:pStyle w:val="698"/>
                    <w:adjustRightInd w:val="0"/>
                    <w:snapToGrid w:val="0"/>
                    <w:rPr>
                      <w:rFonts w:hint="default" w:eastAsia="宋体"/>
                      <w:color w:val="auto"/>
                      <w:kern w:val="0"/>
                      <w:lang w:val="en-US" w:eastAsia="zh-CN"/>
                    </w:rPr>
                  </w:pPr>
                  <w:r>
                    <w:rPr>
                      <w:rFonts w:hint="eastAsia" w:eastAsia="宋体"/>
                      <w:color w:val="auto"/>
                      <w:kern w:val="0"/>
                      <w:lang w:val="en-US" w:eastAsia="zh-CN"/>
                    </w:rPr>
                    <w:t>1</w:t>
                  </w:r>
                </w:p>
              </w:tc>
              <w:tc>
                <w:tcPr>
                  <w:tcW w:w="415" w:type="pct"/>
                  <w:tcBorders>
                    <w:tl2br w:val="nil"/>
                    <w:tr2bl w:val="nil"/>
                  </w:tcBorders>
                  <w:vAlign w:val="center"/>
                </w:tcPr>
                <w:p w14:paraId="6DC62C1D">
                  <w:pPr>
                    <w:jc w:val="center"/>
                    <w:rPr>
                      <w:rFonts w:hint="eastAsia"/>
                      <w:color w:val="auto"/>
                      <w:kern w:val="0"/>
                      <w:lang w:val="en-US" w:eastAsia="zh-CN"/>
                    </w:rPr>
                  </w:pPr>
                  <w:r>
                    <w:rPr>
                      <w:rFonts w:hint="eastAsia"/>
                      <w:color w:val="auto"/>
                      <w:kern w:val="0"/>
                      <w:lang w:val="en-US" w:eastAsia="zh-CN"/>
                    </w:rPr>
                    <w:t>袋装</w:t>
                  </w:r>
                </w:p>
              </w:tc>
              <w:tc>
                <w:tcPr>
                  <w:tcW w:w="444" w:type="pct"/>
                  <w:tcBorders>
                    <w:tl2br w:val="nil"/>
                    <w:tr2bl w:val="nil"/>
                  </w:tcBorders>
                  <w:shd w:val="clear" w:color="auto" w:fill="auto"/>
                  <w:vAlign w:val="center"/>
                </w:tcPr>
                <w:p w14:paraId="234353D0">
                  <w:pPr>
                    <w:pStyle w:val="698"/>
                    <w:adjustRightInd w:val="0"/>
                    <w:snapToGrid w:val="0"/>
                    <w:rPr>
                      <w:rFonts w:hint="eastAsia" w:ascii="Times New Roman" w:hAnsi="Times New Roman" w:eastAsia="宋体" w:cs="Times New Roman"/>
                      <w:snapToGrid w:val="0"/>
                      <w:color w:val="auto"/>
                      <w:kern w:val="0"/>
                      <w:sz w:val="21"/>
                      <w:szCs w:val="21"/>
                      <w:lang w:val="en-US" w:eastAsia="zh-CN" w:bidi="ar-SA"/>
                    </w:rPr>
                  </w:pPr>
                  <w:r>
                    <w:rPr>
                      <w:rFonts w:hint="eastAsia" w:eastAsia="宋体"/>
                      <w:color w:val="auto"/>
                      <w:kern w:val="0"/>
                      <w:lang w:val="en-US" w:eastAsia="zh-CN"/>
                    </w:rPr>
                    <w:t>1</w:t>
                  </w:r>
                </w:p>
              </w:tc>
              <w:tc>
                <w:tcPr>
                  <w:tcW w:w="444" w:type="pct"/>
                  <w:tcBorders>
                    <w:tl2br w:val="nil"/>
                    <w:tr2bl w:val="nil"/>
                  </w:tcBorders>
                  <w:vAlign w:val="center"/>
                </w:tcPr>
                <w:p w14:paraId="638B4B42">
                  <w:pPr>
                    <w:adjustRightInd w:val="0"/>
                    <w:snapToGrid w:val="0"/>
                    <w:jc w:val="center"/>
                    <w:rPr>
                      <w:rFonts w:hint="eastAsia"/>
                      <w:color w:val="auto"/>
                      <w:kern w:val="0"/>
                      <w:lang w:val="en-US" w:eastAsia="zh-CN"/>
                    </w:rPr>
                  </w:pPr>
                  <w:r>
                    <w:rPr>
                      <w:rFonts w:hint="eastAsia"/>
                      <w:color w:val="auto"/>
                      <w:kern w:val="0"/>
                      <w:lang w:val="en-US" w:eastAsia="zh-CN"/>
                    </w:rPr>
                    <w:t>3个月</w:t>
                  </w:r>
                </w:p>
              </w:tc>
            </w:tr>
            <w:tr w14:paraId="191F8CB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28" w:type="dxa"/>
                  <w:bottom w:w="0" w:type="dxa"/>
                  <w:right w:w="28" w:type="dxa"/>
                </w:tblCellMar>
              </w:tblPrEx>
              <w:trPr>
                <w:jc w:val="center"/>
              </w:trPr>
              <w:tc>
                <w:tcPr>
                  <w:tcW w:w="1212" w:type="dxa"/>
                  <w:tcBorders>
                    <w:tl2br w:val="nil"/>
                    <w:tr2bl w:val="nil"/>
                  </w:tcBorders>
                  <w:vAlign w:val="center"/>
                </w:tcPr>
                <w:p w14:paraId="0A50B974">
                  <w:pPr>
                    <w:pStyle w:val="5"/>
                    <w:adjustRightInd w:val="0"/>
                    <w:snapToGrid w:val="0"/>
                    <w:ind w:firstLine="0" w:firstLineChars="0"/>
                    <w:jc w:val="center"/>
                    <w:rPr>
                      <w:rFonts w:hint="default"/>
                      <w:bCs/>
                      <w:color w:val="auto"/>
                      <w:kern w:val="0"/>
                      <w:szCs w:val="21"/>
                      <w:lang w:val="en-US" w:eastAsia="zh-CN"/>
                    </w:rPr>
                  </w:pPr>
                  <w:r>
                    <w:rPr>
                      <w:rFonts w:hint="eastAsia"/>
                      <w:bCs/>
                      <w:color w:val="auto"/>
                      <w:kern w:val="0"/>
                      <w:szCs w:val="21"/>
                      <w:lang w:val="en-US" w:eastAsia="zh-CN"/>
                    </w:rPr>
                    <w:t>含漆废物</w:t>
                  </w:r>
                </w:p>
              </w:tc>
              <w:tc>
                <w:tcPr>
                  <w:tcW w:w="320" w:type="pct"/>
                  <w:vMerge w:val="continue"/>
                  <w:tcBorders>
                    <w:tl2br w:val="nil"/>
                    <w:tr2bl w:val="nil"/>
                  </w:tcBorders>
                  <w:vAlign w:val="center"/>
                </w:tcPr>
                <w:p w14:paraId="2396A41D">
                  <w:pPr>
                    <w:pStyle w:val="696"/>
                    <w:rPr>
                      <w:color w:val="auto"/>
                      <w:kern w:val="0"/>
                    </w:rPr>
                  </w:pPr>
                </w:p>
              </w:tc>
              <w:tc>
                <w:tcPr>
                  <w:tcW w:w="808" w:type="dxa"/>
                  <w:tcBorders>
                    <w:tl2br w:val="nil"/>
                    <w:tr2bl w:val="nil"/>
                  </w:tcBorders>
                  <w:shd w:val="clear" w:color="auto" w:fill="auto"/>
                  <w:vAlign w:val="center"/>
                </w:tcPr>
                <w:p w14:paraId="188117F3">
                  <w:pPr>
                    <w:contextualSpacing/>
                    <w:jc w:val="center"/>
                    <w:rPr>
                      <w:rFonts w:hint="eastAsia" w:ascii="Times New Roman" w:hAnsi="Times New Roman" w:eastAsia="宋体" w:cs="Times New Roman"/>
                      <w:bCs/>
                      <w:snapToGrid w:val="0"/>
                      <w:color w:val="auto"/>
                      <w:kern w:val="0"/>
                      <w:sz w:val="21"/>
                      <w:szCs w:val="21"/>
                      <w:lang w:val="en-US" w:eastAsia="zh-CN" w:bidi="ar-SA"/>
                    </w:rPr>
                  </w:pPr>
                  <w:r>
                    <w:rPr>
                      <w:color w:val="auto"/>
                      <w:kern w:val="0"/>
                    </w:rPr>
                    <w:t>HW49</w:t>
                  </w:r>
                </w:p>
              </w:tc>
              <w:tc>
                <w:tcPr>
                  <w:tcW w:w="1278" w:type="dxa"/>
                  <w:tcBorders>
                    <w:tl2br w:val="nil"/>
                    <w:tr2bl w:val="nil"/>
                  </w:tcBorders>
                  <w:shd w:val="clear" w:color="auto" w:fill="auto"/>
                  <w:vAlign w:val="center"/>
                </w:tcPr>
                <w:p w14:paraId="59D5BDDB">
                  <w:pPr>
                    <w:contextualSpacing/>
                    <w:jc w:val="center"/>
                    <w:rPr>
                      <w:rFonts w:hint="eastAsia" w:ascii="Times New Roman" w:hAnsi="Times New Roman" w:eastAsia="宋体" w:cs="Times New Roman"/>
                      <w:bCs/>
                      <w:snapToGrid w:val="0"/>
                      <w:color w:val="auto"/>
                      <w:kern w:val="0"/>
                      <w:sz w:val="21"/>
                      <w:szCs w:val="21"/>
                      <w:lang w:val="en-US" w:eastAsia="zh-CN" w:bidi="ar-SA"/>
                    </w:rPr>
                  </w:pPr>
                  <w:r>
                    <w:rPr>
                      <w:color w:val="auto"/>
                      <w:kern w:val="0"/>
                    </w:rPr>
                    <w:t>900-041-49</w:t>
                  </w:r>
                </w:p>
              </w:tc>
              <w:tc>
                <w:tcPr>
                  <w:tcW w:w="819" w:type="dxa"/>
                  <w:tcBorders>
                    <w:tl2br w:val="nil"/>
                    <w:tr2bl w:val="nil"/>
                  </w:tcBorders>
                  <w:shd w:val="clear" w:color="auto" w:fill="auto"/>
                  <w:vAlign w:val="center"/>
                </w:tcPr>
                <w:p w14:paraId="2FFB9FB8">
                  <w:pPr>
                    <w:pStyle w:val="5"/>
                    <w:adjustRightInd w:val="0"/>
                    <w:snapToGrid w:val="0"/>
                    <w:ind w:firstLine="0" w:firstLineChars="0"/>
                    <w:jc w:val="center"/>
                    <w:rPr>
                      <w:rFonts w:hint="default"/>
                      <w:color w:val="auto"/>
                      <w:kern w:val="0"/>
                      <w:szCs w:val="21"/>
                      <w:lang w:val="en-US" w:eastAsia="zh-CN"/>
                    </w:rPr>
                  </w:pPr>
                  <w:r>
                    <w:rPr>
                      <w:rFonts w:hint="eastAsia"/>
                      <w:color w:val="auto"/>
                      <w:kern w:val="0"/>
                      <w:szCs w:val="21"/>
                      <w:lang w:val="en-US" w:eastAsia="zh-CN"/>
                    </w:rPr>
                    <w:t>1.5</w:t>
                  </w:r>
                </w:p>
              </w:tc>
              <w:tc>
                <w:tcPr>
                  <w:tcW w:w="526" w:type="pct"/>
                  <w:tcBorders>
                    <w:tl2br w:val="nil"/>
                    <w:tr2bl w:val="nil"/>
                  </w:tcBorders>
                  <w:vAlign w:val="center"/>
                </w:tcPr>
                <w:p w14:paraId="490CB241">
                  <w:pPr>
                    <w:pStyle w:val="5"/>
                    <w:adjustRightInd w:val="0"/>
                    <w:snapToGrid w:val="0"/>
                    <w:ind w:firstLine="0" w:firstLineChars="0"/>
                    <w:jc w:val="center"/>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0.375</w:t>
                  </w:r>
                </w:p>
              </w:tc>
              <w:tc>
                <w:tcPr>
                  <w:tcW w:w="524" w:type="pct"/>
                  <w:tcBorders>
                    <w:tl2br w:val="nil"/>
                    <w:tr2bl w:val="nil"/>
                  </w:tcBorders>
                  <w:vAlign w:val="center"/>
                </w:tcPr>
                <w:p w14:paraId="7FAAE0F0">
                  <w:pPr>
                    <w:pStyle w:val="698"/>
                    <w:adjustRightInd w:val="0"/>
                    <w:snapToGrid w:val="0"/>
                    <w:rPr>
                      <w:rFonts w:hint="default" w:eastAsia="宋体"/>
                      <w:color w:val="auto"/>
                      <w:kern w:val="0"/>
                      <w:lang w:val="en-US" w:eastAsia="zh-CN"/>
                    </w:rPr>
                  </w:pPr>
                  <w:r>
                    <w:rPr>
                      <w:rFonts w:hint="eastAsia" w:eastAsia="宋体"/>
                      <w:color w:val="auto"/>
                      <w:kern w:val="0"/>
                      <w:lang w:val="en-US" w:eastAsia="zh-CN"/>
                    </w:rPr>
                    <w:t>1</w:t>
                  </w:r>
                </w:p>
              </w:tc>
              <w:tc>
                <w:tcPr>
                  <w:tcW w:w="415" w:type="pct"/>
                  <w:tcBorders>
                    <w:tl2br w:val="nil"/>
                    <w:tr2bl w:val="nil"/>
                  </w:tcBorders>
                  <w:vAlign w:val="center"/>
                </w:tcPr>
                <w:p w14:paraId="7E16D9A0">
                  <w:pPr>
                    <w:jc w:val="center"/>
                    <w:rPr>
                      <w:rFonts w:hint="default"/>
                      <w:color w:val="auto"/>
                      <w:kern w:val="0"/>
                      <w:lang w:val="en-US" w:eastAsia="zh-CN"/>
                    </w:rPr>
                  </w:pPr>
                  <w:r>
                    <w:rPr>
                      <w:rFonts w:hint="eastAsia"/>
                      <w:color w:val="auto"/>
                      <w:kern w:val="0"/>
                      <w:lang w:val="en-US" w:eastAsia="zh-CN"/>
                    </w:rPr>
                    <w:t>袋装</w:t>
                  </w:r>
                </w:p>
              </w:tc>
              <w:tc>
                <w:tcPr>
                  <w:tcW w:w="444" w:type="pct"/>
                  <w:tcBorders>
                    <w:tl2br w:val="nil"/>
                    <w:tr2bl w:val="nil"/>
                  </w:tcBorders>
                  <w:shd w:val="clear" w:color="auto" w:fill="auto"/>
                  <w:vAlign w:val="center"/>
                </w:tcPr>
                <w:p w14:paraId="775FEA30">
                  <w:pPr>
                    <w:pStyle w:val="698"/>
                    <w:adjustRightInd w:val="0"/>
                    <w:snapToGrid w:val="0"/>
                    <w:rPr>
                      <w:rFonts w:hint="default" w:eastAsia="宋体"/>
                      <w:color w:val="auto"/>
                      <w:kern w:val="0"/>
                      <w:lang w:val="en-US" w:eastAsia="zh-CN"/>
                    </w:rPr>
                  </w:pPr>
                  <w:r>
                    <w:rPr>
                      <w:rFonts w:hint="eastAsia" w:eastAsia="宋体"/>
                      <w:color w:val="auto"/>
                      <w:kern w:val="0"/>
                      <w:lang w:val="en-US" w:eastAsia="zh-CN"/>
                    </w:rPr>
                    <w:t>1</w:t>
                  </w:r>
                </w:p>
              </w:tc>
              <w:tc>
                <w:tcPr>
                  <w:tcW w:w="444" w:type="pct"/>
                  <w:tcBorders>
                    <w:tl2br w:val="nil"/>
                    <w:tr2bl w:val="nil"/>
                  </w:tcBorders>
                  <w:vAlign w:val="center"/>
                </w:tcPr>
                <w:p w14:paraId="7A4DF13E">
                  <w:pPr>
                    <w:adjustRightInd w:val="0"/>
                    <w:snapToGrid w:val="0"/>
                    <w:jc w:val="center"/>
                    <w:rPr>
                      <w:rFonts w:hint="eastAsia"/>
                      <w:color w:val="auto"/>
                      <w:kern w:val="0"/>
                      <w:lang w:val="en-US" w:eastAsia="zh-CN"/>
                    </w:rPr>
                  </w:pPr>
                  <w:r>
                    <w:rPr>
                      <w:rFonts w:hint="eastAsia"/>
                      <w:color w:val="auto"/>
                      <w:kern w:val="0"/>
                      <w:lang w:val="en-US" w:eastAsia="zh-CN"/>
                    </w:rPr>
                    <w:t>3个月</w:t>
                  </w:r>
                </w:p>
              </w:tc>
            </w:tr>
            <w:tr w14:paraId="0715121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28" w:type="dxa"/>
                  <w:bottom w:w="0" w:type="dxa"/>
                  <w:right w:w="28" w:type="dxa"/>
                </w:tblCellMar>
              </w:tblPrEx>
              <w:trPr>
                <w:jc w:val="center"/>
              </w:trPr>
              <w:tc>
                <w:tcPr>
                  <w:tcW w:w="684" w:type="pct"/>
                  <w:tcBorders>
                    <w:tl2br w:val="nil"/>
                    <w:tr2bl w:val="nil"/>
                  </w:tcBorders>
                  <w:vAlign w:val="center"/>
                </w:tcPr>
                <w:p w14:paraId="1262AE7C">
                  <w:pPr>
                    <w:pStyle w:val="5"/>
                    <w:adjustRightInd w:val="0"/>
                    <w:snapToGrid w:val="0"/>
                    <w:ind w:firstLine="0" w:firstLineChars="0"/>
                    <w:jc w:val="center"/>
                    <w:rPr>
                      <w:rFonts w:hint="eastAsia"/>
                      <w:bCs/>
                      <w:color w:val="auto"/>
                      <w:kern w:val="0"/>
                      <w:szCs w:val="21"/>
                      <w:lang w:val="en-US" w:eastAsia="zh-CN"/>
                    </w:rPr>
                  </w:pPr>
                  <w:r>
                    <w:rPr>
                      <w:rFonts w:hint="eastAsia"/>
                      <w:bCs/>
                      <w:color w:val="auto"/>
                      <w:kern w:val="0"/>
                      <w:szCs w:val="21"/>
                      <w:lang w:val="en-US" w:eastAsia="zh-CN"/>
                    </w:rPr>
                    <w:t>废活性炭</w:t>
                  </w:r>
                </w:p>
              </w:tc>
              <w:tc>
                <w:tcPr>
                  <w:tcW w:w="320" w:type="pct"/>
                  <w:vMerge w:val="continue"/>
                  <w:tcBorders>
                    <w:tl2br w:val="nil"/>
                    <w:tr2bl w:val="nil"/>
                  </w:tcBorders>
                  <w:vAlign w:val="center"/>
                </w:tcPr>
                <w:p w14:paraId="277265F5">
                  <w:pPr>
                    <w:pStyle w:val="696"/>
                    <w:rPr>
                      <w:color w:val="auto"/>
                      <w:kern w:val="0"/>
                    </w:rPr>
                  </w:pPr>
                </w:p>
              </w:tc>
              <w:tc>
                <w:tcPr>
                  <w:tcW w:w="456" w:type="pct"/>
                  <w:tcBorders>
                    <w:tl2br w:val="nil"/>
                    <w:tr2bl w:val="nil"/>
                  </w:tcBorders>
                  <w:shd w:val="clear" w:color="auto" w:fill="auto"/>
                  <w:vAlign w:val="center"/>
                </w:tcPr>
                <w:p w14:paraId="22A63EB6">
                  <w:pPr>
                    <w:contextualSpacing/>
                    <w:jc w:val="center"/>
                    <w:rPr>
                      <w:rFonts w:hint="eastAsia"/>
                      <w:color w:val="auto"/>
                      <w:highlight w:val="none"/>
                    </w:rPr>
                  </w:pPr>
                  <w:r>
                    <w:rPr>
                      <w:rFonts w:hint="eastAsia"/>
                      <w:color w:val="auto"/>
                      <w:kern w:val="0"/>
                      <w:lang w:val="en-US" w:eastAsia="zh-CN"/>
                    </w:rPr>
                    <w:t>HW49</w:t>
                  </w:r>
                </w:p>
              </w:tc>
              <w:tc>
                <w:tcPr>
                  <w:tcW w:w="721" w:type="pct"/>
                  <w:tcBorders>
                    <w:tl2br w:val="nil"/>
                    <w:tr2bl w:val="nil"/>
                  </w:tcBorders>
                  <w:shd w:val="clear" w:color="auto" w:fill="auto"/>
                  <w:vAlign w:val="center"/>
                </w:tcPr>
                <w:p w14:paraId="1488B2D9">
                  <w:pPr>
                    <w:contextualSpacing/>
                    <w:jc w:val="center"/>
                    <w:rPr>
                      <w:color w:val="auto"/>
                      <w:highlight w:val="none"/>
                    </w:rPr>
                  </w:pPr>
                  <w:r>
                    <w:rPr>
                      <w:rFonts w:hint="eastAsia"/>
                      <w:color w:val="auto"/>
                      <w:kern w:val="0"/>
                      <w:lang w:val="en-US" w:eastAsia="zh-CN"/>
                    </w:rPr>
                    <w:t>900-039-49</w:t>
                  </w:r>
                </w:p>
              </w:tc>
              <w:tc>
                <w:tcPr>
                  <w:tcW w:w="462" w:type="pct"/>
                  <w:tcBorders>
                    <w:tl2br w:val="nil"/>
                    <w:tr2bl w:val="nil"/>
                  </w:tcBorders>
                  <w:shd w:val="clear" w:color="auto" w:fill="auto"/>
                  <w:vAlign w:val="center"/>
                </w:tcPr>
                <w:p w14:paraId="14EFD6A6">
                  <w:pPr>
                    <w:pStyle w:val="5"/>
                    <w:adjustRightInd w:val="0"/>
                    <w:snapToGrid w:val="0"/>
                    <w:ind w:firstLine="0" w:firstLineChars="0"/>
                    <w:jc w:val="center"/>
                    <w:rPr>
                      <w:rFonts w:hint="default" w:ascii="Times New Roman" w:hAnsi="Times New Roman" w:eastAsia="宋体" w:cs="Times New Roman"/>
                      <w:snapToGrid w:val="0"/>
                      <w:color w:val="auto"/>
                      <w:kern w:val="0"/>
                      <w:sz w:val="21"/>
                      <w:szCs w:val="21"/>
                      <w:lang w:val="en-US" w:eastAsia="zh-CN" w:bidi="ar-SA"/>
                    </w:rPr>
                  </w:pPr>
                  <w:r>
                    <w:rPr>
                      <w:rFonts w:hint="eastAsia"/>
                      <w:color w:val="auto"/>
                      <w:kern w:val="0"/>
                      <w:szCs w:val="21"/>
                      <w:lang w:val="en-US" w:eastAsia="zh-CN"/>
                    </w:rPr>
                    <w:t>6.538</w:t>
                  </w:r>
                </w:p>
              </w:tc>
              <w:tc>
                <w:tcPr>
                  <w:tcW w:w="526" w:type="pct"/>
                  <w:tcBorders>
                    <w:tl2br w:val="nil"/>
                    <w:tr2bl w:val="nil"/>
                  </w:tcBorders>
                  <w:vAlign w:val="center"/>
                </w:tcPr>
                <w:p w14:paraId="3158726E">
                  <w:pPr>
                    <w:pStyle w:val="5"/>
                    <w:adjustRightInd w:val="0"/>
                    <w:snapToGrid w:val="0"/>
                    <w:ind w:firstLine="0" w:firstLineChars="0"/>
                    <w:jc w:val="center"/>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1.6345</w:t>
                  </w:r>
                </w:p>
              </w:tc>
              <w:tc>
                <w:tcPr>
                  <w:tcW w:w="524" w:type="pct"/>
                  <w:tcBorders>
                    <w:tl2br w:val="nil"/>
                    <w:tr2bl w:val="nil"/>
                  </w:tcBorders>
                  <w:vAlign w:val="center"/>
                </w:tcPr>
                <w:p w14:paraId="0A23E928">
                  <w:pPr>
                    <w:pStyle w:val="698"/>
                    <w:adjustRightInd w:val="0"/>
                    <w:snapToGrid w:val="0"/>
                    <w:rPr>
                      <w:rFonts w:hint="default" w:eastAsia="宋体"/>
                      <w:color w:val="auto"/>
                      <w:kern w:val="0"/>
                      <w:lang w:val="en-US" w:eastAsia="zh-CN"/>
                    </w:rPr>
                  </w:pPr>
                  <w:r>
                    <w:rPr>
                      <w:rFonts w:hint="eastAsia" w:eastAsia="宋体"/>
                      <w:color w:val="auto"/>
                      <w:kern w:val="0"/>
                      <w:lang w:val="en-US" w:eastAsia="zh-CN"/>
                    </w:rPr>
                    <w:t>4</w:t>
                  </w:r>
                </w:p>
              </w:tc>
              <w:tc>
                <w:tcPr>
                  <w:tcW w:w="415" w:type="pct"/>
                  <w:tcBorders>
                    <w:tl2br w:val="nil"/>
                    <w:tr2bl w:val="nil"/>
                  </w:tcBorders>
                  <w:vAlign w:val="center"/>
                </w:tcPr>
                <w:p w14:paraId="033AD203">
                  <w:pPr>
                    <w:jc w:val="center"/>
                    <w:rPr>
                      <w:rFonts w:hint="eastAsia"/>
                      <w:color w:val="auto"/>
                      <w:kern w:val="0"/>
                      <w:lang w:val="en-US" w:eastAsia="zh-CN"/>
                    </w:rPr>
                  </w:pPr>
                  <w:r>
                    <w:rPr>
                      <w:rFonts w:hint="eastAsia"/>
                      <w:color w:val="auto"/>
                      <w:kern w:val="0"/>
                      <w:lang w:val="en-US" w:eastAsia="zh-CN"/>
                    </w:rPr>
                    <w:t>袋装</w:t>
                  </w:r>
                </w:p>
              </w:tc>
              <w:tc>
                <w:tcPr>
                  <w:tcW w:w="444" w:type="pct"/>
                  <w:tcBorders>
                    <w:tl2br w:val="nil"/>
                    <w:tr2bl w:val="nil"/>
                  </w:tcBorders>
                  <w:shd w:val="clear" w:color="auto" w:fill="auto"/>
                  <w:vAlign w:val="center"/>
                </w:tcPr>
                <w:p w14:paraId="2C5FFFBB">
                  <w:pPr>
                    <w:pStyle w:val="698"/>
                    <w:adjustRightInd w:val="0"/>
                    <w:snapToGrid w:val="0"/>
                    <w:rPr>
                      <w:rFonts w:hint="eastAsia" w:ascii="Times New Roman" w:hAnsi="Times New Roman" w:eastAsia="宋体" w:cs="Times New Roman"/>
                      <w:snapToGrid w:val="0"/>
                      <w:color w:val="auto"/>
                      <w:kern w:val="0"/>
                      <w:sz w:val="21"/>
                      <w:szCs w:val="21"/>
                      <w:lang w:val="en-US" w:eastAsia="zh-CN" w:bidi="ar-SA"/>
                    </w:rPr>
                  </w:pPr>
                  <w:r>
                    <w:rPr>
                      <w:rFonts w:hint="eastAsia" w:eastAsia="宋体"/>
                      <w:color w:val="auto"/>
                      <w:kern w:val="0"/>
                      <w:lang w:val="en-US" w:eastAsia="zh-CN"/>
                    </w:rPr>
                    <w:t>4</w:t>
                  </w:r>
                </w:p>
              </w:tc>
              <w:tc>
                <w:tcPr>
                  <w:tcW w:w="444" w:type="pct"/>
                  <w:tcBorders>
                    <w:tl2br w:val="nil"/>
                    <w:tr2bl w:val="nil"/>
                  </w:tcBorders>
                  <w:vAlign w:val="center"/>
                </w:tcPr>
                <w:p w14:paraId="50E1A7A2">
                  <w:pPr>
                    <w:adjustRightInd w:val="0"/>
                    <w:snapToGrid w:val="0"/>
                    <w:jc w:val="center"/>
                    <w:rPr>
                      <w:rFonts w:hint="eastAsia"/>
                      <w:color w:val="auto"/>
                      <w:kern w:val="0"/>
                      <w:lang w:val="en-US" w:eastAsia="zh-CN"/>
                    </w:rPr>
                  </w:pPr>
                  <w:r>
                    <w:rPr>
                      <w:rFonts w:hint="eastAsia"/>
                      <w:color w:val="auto"/>
                      <w:kern w:val="0"/>
                      <w:lang w:val="en-US" w:eastAsia="zh-CN"/>
                    </w:rPr>
                    <w:t>3个月</w:t>
                  </w:r>
                </w:p>
              </w:tc>
            </w:tr>
          </w:tbl>
          <w:p w14:paraId="75EBE026">
            <w:pPr>
              <w:adjustRightInd w:val="0"/>
              <w:snapToGrid w:val="0"/>
              <w:spacing w:line="360" w:lineRule="auto"/>
              <w:ind w:firstLine="420" w:firstLineChars="200"/>
              <w:rPr>
                <w:color w:val="auto"/>
                <w:kern w:val="0"/>
              </w:rPr>
            </w:pPr>
            <w:r>
              <w:rPr>
                <w:color w:val="auto"/>
                <w:kern w:val="0"/>
              </w:rPr>
              <w:t>本项目危险废物委托处理前，贮存于</w:t>
            </w:r>
            <w:r>
              <w:rPr>
                <w:rFonts w:hint="eastAsia"/>
                <w:color w:val="auto"/>
                <w:kern w:val="0"/>
              </w:rPr>
              <w:t>危废仓库</w:t>
            </w:r>
            <w:r>
              <w:rPr>
                <w:color w:val="auto"/>
                <w:kern w:val="0"/>
              </w:rPr>
              <w:t>，</w:t>
            </w:r>
            <w:r>
              <w:rPr>
                <w:rFonts w:hint="eastAsia"/>
                <w:color w:val="auto"/>
                <w:kern w:val="0"/>
              </w:rPr>
              <w:t>项目拟新建一座</w:t>
            </w:r>
            <w:r>
              <w:rPr>
                <w:rFonts w:hint="eastAsia"/>
                <w:color w:val="auto"/>
                <w:kern w:val="0"/>
                <w:lang w:val="en-US" w:eastAsia="zh-CN"/>
              </w:rPr>
              <w:t>20</w:t>
            </w:r>
            <w:r>
              <w:rPr>
                <w:rFonts w:hint="eastAsia"/>
                <w:color w:val="auto"/>
                <w:kern w:val="0"/>
              </w:rPr>
              <w:t>m</w:t>
            </w:r>
            <w:r>
              <w:rPr>
                <w:rFonts w:hint="eastAsia"/>
                <w:color w:val="auto"/>
                <w:kern w:val="0"/>
                <w:vertAlign w:val="superscript"/>
              </w:rPr>
              <w:t>2</w:t>
            </w:r>
            <w:r>
              <w:rPr>
                <w:rFonts w:hint="eastAsia"/>
                <w:color w:val="auto"/>
                <w:kern w:val="0"/>
              </w:rPr>
              <w:t>危废仓库。本项目危废贮存合计共需暂存面积约为</w:t>
            </w:r>
            <w:r>
              <w:rPr>
                <w:rFonts w:hint="eastAsia"/>
                <w:color w:val="auto"/>
                <w:kern w:val="0"/>
                <w:lang w:val="en-US" w:eastAsia="zh-CN"/>
              </w:rPr>
              <w:t>11</w:t>
            </w:r>
            <w:r>
              <w:rPr>
                <w:color w:val="auto"/>
                <w:kern w:val="0"/>
              </w:rPr>
              <w:t>m</w:t>
            </w:r>
            <w:r>
              <w:rPr>
                <w:color w:val="auto"/>
                <w:kern w:val="0"/>
                <w:vertAlign w:val="superscript"/>
              </w:rPr>
              <w:t>2</w:t>
            </w:r>
            <w:r>
              <w:rPr>
                <w:rFonts w:hint="eastAsia"/>
                <w:color w:val="auto"/>
                <w:kern w:val="0"/>
              </w:rPr>
              <w:t>，因此拟新建</w:t>
            </w:r>
            <w:r>
              <w:rPr>
                <w:rFonts w:hint="eastAsia"/>
                <w:color w:val="auto"/>
                <w:kern w:val="0"/>
                <w:lang w:val="en-US" w:eastAsia="zh-CN"/>
              </w:rPr>
              <w:t>20</w:t>
            </w:r>
            <w:r>
              <w:rPr>
                <w:rFonts w:hint="eastAsia"/>
                <w:color w:val="auto"/>
                <w:kern w:val="0"/>
              </w:rPr>
              <w:t>m</w:t>
            </w:r>
            <w:r>
              <w:rPr>
                <w:rFonts w:hint="eastAsia"/>
                <w:color w:val="auto"/>
                <w:kern w:val="0"/>
                <w:vertAlign w:val="superscript"/>
              </w:rPr>
              <w:t>2</w:t>
            </w:r>
            <w:r>
              <w:rPr>
                <w:rFonts w:hint="eastAsia"/>
                <w:color w:val="auto"/>
                <w:kern w:val="0"/>
              </w:rPr>
              <w:t>危废仓库可以满足本项目危险废物贮存的要求。</w:t>
            </w:r>
            <w:r>
              <w:rPr>
                <w:color w:val="auto"/>
                <w:kern w:val="0"/>
              </w:rPr>
              <w:t>危废仓库已按《危险废物贮存污染控制标准》（GB18597-2023）</w:t>
            </w:r>
            <w:r>
              <w:rPr>
                <w:rFonts w:hint="eastAsia"/>
                <w:color w:val="auto"/>
                <w:kern w:val="0"/>
              </w:rPr>
              <w:t>、</w:t>
            </w:r>
            <w:r>
              <w:rPr>
                <w:rFonts w:hint="eastAsia"/>
                <w:color w:val="auto"/>
              </w:rPr>
              <w:t>省生态环境厅关于印发《江苏省固体废物全过程环境监管工作意见》的通知（苏环办[2024]16号）</w:t>
            </w:r>
            <w:r>
              <w:rPr>
                <w:color w:val="auto"/>
                <w:kern w:val="0"/>
              </w:rPr>
              <w:t>的要求进行设置</w:t>
            </w:r>
            <w:r>
              <w:rPr>
                <w:rFonts w:hint="eastAsia"/>
                <w:color w:val="auto"/>
                <w:kern w:val="0"/>
              </w:rPr>
              <w:t>。</w:t>
            </w:r>
          </w:p>
          <w:p w14:paraId="7C625E09">
            <w:pPr>
              <w:adjustRightInd w:val="0"/>
              <w:snapToGrid w:val="0"/>
              <w:spacing w:line="360" w:lineRule="auto"/>
              <w:ind w:firstLine="420" w:firstLineChars="200"/>
              <w:rPr>
                <w:color w:val="auto"/>
                <w:kern w:val="0"/>
              </w:rPr>
            </w:pPr>
            <w:r>
              <w:rPr>
                <w:rFonts w:hint="eastAsia"/>
                <w:color w:val="auto"/>
                <w:kern w:val="0"/>
              </w:rPr>
              <w:t>危废仓库</w:t>
            </w:r>
            <w:r>
              <w:rPr>
                <w:color w:val="auto"/>
                <w:kern w:val="0"/>
              </w:rPr>
              <w:t>设置相关危险废物识别的标志，建立危废管理档案、台账，合法、安全、规范处置危废。因此本项目所有固体废物均可实现收集贮存，对环境的影响具有可控性。</w:t>
            </w:r>
          </w:p>
          <w:p w14:paraId="3534F9B6">
            <w:pPr>
              <w:adjustRightInd w:val="0"/>
              <w:snapToGrid w:val="0"/>
              <w:spacing w:line="360" w:lineRule="auto"/>
              <w:ind w:firstLine="422" w:firstLineChars="200"/>
              <w:rPr>
                <w:b/>
                <w:bCs/>
                <w:color w:val="auto"/>
                <w:kern w:val="0"/>
              </w:rPr>
            </w:pPr>
            <w:r>
              <w:rPr>
                <w:rFonts w:hint="eastAsia"/>
                <w:b/>
                <w:bCs/>
                <w:color w:val="auto"/>
                <w:kern w:val="0"/>
              </w:rPr>
              <w:t>2）</w:t>
            </w:r>
            <w:r>
              <w:rPr>
                <w:b/>
                <w:bCs/>
                <w:color w:val="auto"/>
                <w:kern w:val="0"/>
              </w:rPr>
              <w:t>危险废物贮存场所设计要求</w:t>
            </w:r>
          </w:p>
          <w:p w14:paraId="70112162">
            <w:pPr>
              <w:adjustRightInd w:val="0"/>
              <w:snapToGrid w:val="0"/>
              <w:spacing w:line="360" w:lineRule="auto"/>
              <w:ind w:firstLine="420" w:firstLineChars="200"/>
              <w:rPr>
                <w:color w:val="auto"/>
                <w:kern w:val="0"/>
              </w:rPr>
            </w:pPr>
            <w:r>
              <w:rPr>
                <w:color w:val="auto"/>
                <w:kern w:val="0"/>
              </w:rPr>
              <w:t>根据《</w:t>
            </w:r>
            <w:r>
              <w:rPr>
                <w:rFonts w:hint="eastAsia"/>
                <w:color w:val="auto"/>
                <w:kern w:val="0"/>
              </w:rPr>
              <w:t>危险废物贮存污染控制标准</w:t>
            </w:r>
            <w:r>
              <w:rPr>
                <w:color w:val="auto"/>
                <w:kern w:val="0"/>
              </w:rPr>
              <w:t>》（</w:t>
            </w:r>
            <w:r>
              <w:rPr>
                <w:rFonts w:hint="eastAsia"/>
                <w:color w:val="auto"/>
                <w:kern w:val="0"/>
              </w:rPr>
              <w:t>GB18597-2023</w:t>
            </w:r>
            <w:r>
              <w:rPr>
                <w:color w:val="auto"/>
                <w:kern w:val="0"/>
              </w:rPr>
              <w:t>），本项目</w:t>
            </w:r>
            <w:r>
              <w:rPr>
                <w:rFonts w:hint="eastAsia"/>
                <w:color w:val="auto"/>
                <w:kern w:val="0"/>
              </w:rPr>
              <w:t>危废仓库已</w:t>
            </w:r>
            <w:r>
              <w:rPr>
                <w:color w:val="auto"/>
                <w:kern w:val="0"/>
              </w:rPr>
              <w:t>做到以下要求：</w:t>
            </w:r>
          </w:p>
          <w:p w14:paraId="491FFB4F">
            <w:pPr>
              <w:adjustRightInd w:val="0"/>
              <w:snapToGrid w:val="0"/>
              <w:spacing w:line="360" w:lineRule="auto"/>
              <w:ind w:firstLine="420" w:firstLineChars="200"/>
              <w:rPr>
                <w:color w:val="auto"/>
                <w:kern w:val="0"/>
              </w:rPr>
            </w:pPr>
            <w:r>
              <w:rPr>
                <w:rFonts w:hint="eastAsia"/>
                <w:color w:val="auto"/>
                <w:kern w:val="0"/>
              </w:rPr>
              <w:t>A、</w:t>
            </w:r>
            <w:r>
              <w:rPr>
                <w:color w:val="auto"/>
                <w:kern w:val="0"/>
              </w:rPr>
              <w:t>贮存设施</w:t>
            </w:r>
            <w:r>
              <w:rPr>
                <w:rFonts w:hint="eastAsia"/>
                <w:color w:val="auto"/>
                <w:kern w:val="0"/>
              </w:rPr>
              <w:t>已</w:t>
            </w:r>
            <w:r>
              <w:rPr>
                <w:color w:val="auto"/>
                <w:kern w:val="0"/>
              </w:rPr>
              <w:t>根据危险废物的形态、物理化学性质、包装形式和污染物迁移途径，采取必要的防风、防晒、防雨、防漏、防渗、防腐以及其他环境污染防治措施，不露天堆放危险废物。</w:t>
            </w:r>
          </w:p>
          <w:p w14:paraId="4EA2C055">
            <w:pPr>
              <w:adjustRightInd w:val="0"/>
              <w:snapToGrid w:val="0"/>
              <w:spacing w:line="360" w:lineRule="auto"/>
              <w:ind w:firstLine="420" w:firstLineChars="200"/>
              <w:rPr>
                <w:color w:val="auto"/>
                <w:kern w:val="0"/>
              </w:rPr>
            </w:pPr>
            <w:r>
              <w:rPr>
                <w:rFonts w:hint="eastAsia"/>
                <w:color w:val="auto"/>
                <w:kern w:val="0"/>
              </w:rPr>
              <w:t>B、</w:t>
            </w:r>
            <w:r>
              <w:rPr>
                <w:color w:val="auto"/>
                <w:kern w:val="0"/>
              </w:rPr>
              <w:t>贮存设施</w:t>
            </w:r>
            <w:r>
              <w:rPr>
                <w:rFonts w:hint="eastAsia"/>
                <w:color w:val="auto"/>
                <w:kern w:val="0"/>
              </w:rPr>
              <w:t>已</w:t>
            </w:r>
            <w:r>
              <w:rPr>
                <w:color w:val="auto"/>
                <w:kern w:val="0"/>
              </w:rPr>
              <w:t>根据危险废物的类别、数量、形态、物理化学性质和污染防治等要求设置必要的贮存分区，避免不相容的危险废物接触、混合。</w:t>
            </w:r>
          </w:p>
          <w:p w14:paraId="459A190B">
            <w:pPr>
              <w:adjustRightInd w:val="0"/>
              <w:snapToGrid w:val="0"/>
              <w:spacing w:line="360" w:lineRule="auto"/>
              <w:ind w:firstLine="420" w:firstLineChars="200"/>
              <w:rPr>
                <w:color w:val="auto"/>
                <w:kern w:val="0"/>
              </w:rPr>
            </w:pPr>
            <w:r>
              <w:rPr>
                <w:rFonts w:hint="eastAsia"/>
                <w:color w:val="auto"/>
                <w:kern w:val="0"/>
              </w:rPr>
              <w:t>C、</w:t>
            </w:r>
            <w:r>
              <w:rPr>
                <w:color w:val="auto"/>
                <w:kern w:val="0"/>
              </w:rPr>
              <w:t>贮存设施或贮存分区内地面、墙面裙脚、堵截泄漏的围堰、接触危险废物的隔板和墙体等</w:t>
            </w:r>
            <w:r>
              <w:rPr>
                <w:rFonts w:hint="eastAsia"/>
                <w:color w:val="auto"/>
                <w:kern w:val="0"/>
              </w:rPr>
              <w:t>已</w:t>
            </w:r>
            <w:r>
              <w:rPr>
                <w:color w:val="auto"/>
                <w:kern w:val="0"/>
              </w:rPr>
              <w:t>采用坚固的材料建造，表面无裂缝。</w:t>
            </w:r>
          </w:p>
          <w:p w14:paraId="622C2717">
            <w:pPr>
              <w:adjustRightInd w:val="0"/>
              <w:snapToGrid w:val="0"/>
              <w:spacing w:line="360" w:lineRule="auto"/>
              <w:ind w:firstLine="420" w:firstLineChars="200"/>
              <w:rPr>
                <w:color w:val="auto"/>
                <w:kern w:val="0"/>
              </w:rPr>
            </w:pPr>
            <w:r>
              <w:rPr>
                <w:rFonts w:hint="eastAsia"/>
                <w:color w:val="auto"/>
                <w:kern w:val="0"/>
              </w:rPr>
              <w:t>D、</w:t>
            </w:r>
            <w:r>
              <w:rPr>
                <w:color w:val="auto"/>
                <w:kern w:val="0"/>
              </w:rPr>
              <w:t>贮存设施地面与裙脚</w:t>
            </w:r>
            <w:r>
              <w:rPr>
                <w:rFonts w:hint="eastAsia"/>
                <w:color w:val="auto"/>
                <w:kern w:val="0"/>
              </w:rPr>
              <w:t>已</w:t>
            </w:r>
            <w:r>
              <w:rPr>
                <w:color w:val="auto"/>
                <w:kern w:val="0"/>
              </w:rPr>
              <w:t>采取表面防渗措施；表面防渗材料与所接触的物料或污染物相容，可采用抗渗混凝土、高密度聚乙烯膜、钠基膨润土防水毯或其他防渗性能等效的材料。贮存的危险废物直接接触地面的，</w:t>
            </w:r>
            <w:r>
              <w:rPr>
                <w:rFonts w:hint="eastAsia"/>
                <w:color w:val="auto"/>
                <w:kern w:val="0"/>
              </w:rPr>
              <w:t>已</w:t>
            </w:r>
            <w:r>
              <w:rPr>
                <w:color w:val="auto"/>
                <w:kern w:val="0"/>
              </w:rPr>
              <w:t>进行基础防渗，防渗层为至少1m厚黏土层（渗透系数不大于10</w:t>
            </w:r>
            <w:r>
              <w:rPr>
                <w:color w:val="auto"/>
                <w:kern w:val="0"/>
                <w:vertAlign w:val="superscript"/>
              </w:rPr>
              <w:t>-7</w:t>
            </w:r>
            <w:r>
              <w:rPr>
                <w:color w:val="auto"/>
                <w:kern w:val="0"/>
              </w:rPr>
              <w:t>cm/s），或至少2mm厚高密度聚乙烯膜等人工防渗材料（渗透系数不大于10</w:t>
            </w:r>
            <w:r>
              <w:rPr>
                <w:color w:val="auto"/>
                <w:kern w:val="0"/>
                <w:vertAlign w:val="superscript"/>
              </w:rPr>
              <w:t>-10</w:t>
            </w:r>
            <w:r>
              <w:rPr>
                <w:color w:val="auto"/>
                <w:kern w:val="0"/>
              </w:rPr>
              <w:t>cm/s），或其他防渗性能等效的材料。</w:t>
            </w:r>
          </w:p>
          <w:p w14:paraId="1715E7AB">
            <w:pPr>
              <w:adjustRightInd w:val="0"/>
              <w:snapToGrid w:val="0"/>
              <w:spacing w:line="360" w:lineRule="auto"/>
              <w:ind w:firstLine="420" w:firstLineChars="200"/>
              <w:rPr>
                <w:color w:val="auto"/>
                <w:kern w:val="0"/>
              </w:rPr>
            </w:pPr>
            <w:r>
              <w:rPr>
                <w:rFonts w:hint="eastAsia"/>
                <w:color w:val="auto"/>
                <w:kern w:val="0"/>
              </w:rPr>
              <w:t>E、</w:t>
            </w:r>
            <w:r>
              <w:rPr>
                <w:color w:val="auto"/>
                <w:kern w:val="0"/>
              </w:rPr>
              <w:t>同一贮存设施宜采用相同的防渗、防腐工艺（包括防渗、防腐结构或材料），防渗、防腐材料</w:t>
            </w:r>
            <w:r>
              <w:rPr>
                <w:rFonts w:hint="eastAsia"/>
                <w:color w:val="auto"/>
                <w:kern w:val="0"/>
              </w:rPr>
              <w:t>已</w:t>
            </w:r>
            <w:r>
              <w:rPr>
                <w:color w:val="auto"/>
                <w:kern w:val="0"/>
              </w:rPr>
              <w:t>覆盖所有可能与废物及其渗滤液、渗漏液等接触的构筑物表面；采用不同防渗、防腐工艺</w:t>
            </w:r>
            <w:r>
              <w:rPr>
                <w:rFonts w:hint="eastAsia"/>
                <w:color w:val="auto"/>
                <w:kern w:val="0"/>
              </w:rPr>
              <w:t>已</w:t>
            </w:r>
            <w:r>
              <w:rPr>
                <w:color w:val="auto"/>
                <w:kern w:val="0"/>
              </w:rPr>
              <w:t>分别建设贮存分区。</w:t>
            </w:r>
          </w:p>
          <w:p w14:paraId="39962F5E">
            <w:pPr>
              <w:adjustRightInd w:val="0"/>
              <w:snapToGrid w:val="0"/>
              <w:spacing w:line="360" w:lineRule="auto"/>
              <w:ind w:firstLine="420" w:firstLineChars="200"/>
              <w:rPr>
                <w:color w:val="auto"/>
                <w:kern w:val="0"/>
              </w:rPr>
            </w:pPr>
            <w:r>
              <w:rPr>
                <w:rFonts w:hint="eastAsia"/>
                <w:color w:val="auto"/>
                <w:kern w:val="0"/>
              </w:rPr>
              <w:t>F、</w:t>
            </w:r>
            <w:r>
              <w:rPr>
                <w:color w:val="auto"/>
                <w:kern w:val="0"/>
              </w:rPr>
              <w:t>贮存设施</w:t>
            </w:r>
            <w:r>
              <w:rPr>
                <w:rFonts w:hint="eastAsia"/>
                <w:color w:val="auto"/>
                <w:kern w:val="0"/>
              </w:rPr>
              <w:t>已</w:t>
            </w:r>
            <w:r>
              <w:rPr>
                <w:color w:val="auto"/>
                <w:kern w:val="0"/>
              </w:rPr>
              <w:t>采取技术和管理措施防止无关人员进入。</w:t>
            </w:r>
          </w:p>
          <w:p w14:paraId="5E83272D">
            <w:pPr>
              <w:adjustRightInd w:val="0"/>
              <w:snapToGrid w:val="0"/>
              <w:spacing w:line="360" w:lineRule="auto"/>
              <w:ind w:firstLine="420" w:firstLineChars="200"/>
              <w:rPr>
                <w:color w:val="auto"/>
                <w:kern w:val="0"/>
              </w:rPr>
            </w:pPr>
            <w:r>
              <w:rPr>
                <w:rFonts w:hint="eastAsia"/>
                <w:color w:val="auto"/>
                <w:kern w:val="0"/>
              </w:rPr>
              <w:t>G、</w:t>
            </w:r>
            <w:r>
              <w:rPr>
                <w:color w:val="auto"/>
                <w:kern w:val="0"/>
              </w:rPr>
              <w:t>贮存设施或场所、容器和包装物</w:t>
            </w:r>
            <w:r>
              <w:rPr>
                <w:rFonts w:hint="eastAsia"/>
                <w:color w:val="auto"/>
                <w:kern w:val="0"/>
              </w:rPr>
              <w:t>已</w:t>
            </w:r>
            <w:r>
              <w:rPr>
                <w:color w:val="auto"/>
                <w:kern w:val="0"/>
              </w:rPr>
              <w:t>按HJ1276要求设置危险废物贮存设施或场所标志、危险废物贮存分区标志和危险废物标签等危险废物识别标志。</w:t>
            </w:r>
          </w:p>
          <w:p w14:paraId="1F305CD1">
            <w:pPr>
              <w:adjustRightInd w:val="0"/>
              <w:snapToGrid w:val="0"/>
              <w:spacing w:line="360" w:lineRule="auto"/>
              <w:ind w:firstLine="422" w:firstLineChars="200"/>
              <w:rPr>
                <w:b/>
                <w:bCs/>
                <w:color w:val="auto"/>
                <w:kern w:val="0"/>
              </w:rPr>
            </w:pPr>
            <w:r>
              <w:rPr>
                <w:rFonts w:hint="eastAsia"/>
                <w:b/>
                <w:bCs/>
                <w:color w:val="auto"/>
                <w:kern w:val="0"/>
              </w:rPr>
              <w:t>3）</w:t>
            </w:r>
            <w:r>
              <w:rPr>
                <w:b/>
                <w:bCs/>
                <w:color w:val="auto"/>
                <w:kern w:val="0"/>
              </w:rPr>
              <w:t>危险废物运输过程污染防治措施</w:t>
            </w:r>
          </w:p>
          <w:p w14:paraId="5D0655CE">
            <w:pPr>
              <w:pStyle w:val="226"/>
              <w:snapToGrid w:val="0"/>
              <w:spacing w:before="0" w:beforeLines="0"/>
              <w:ind w:firstLine="480"/>
              <w:rPr>
                <w:color w:val="auto"/>
                <w:kern w:val="0"/>
                <w:sz w:val="21"/>
              </w:rPr>
            </w:pPr>
            <w:r>
              <w:rPr>
                <w:color w:val="auto"/>
                <w:kern w:val="0"/>
                <w:sz w:val="21"/>
              </w:rPr>
              <w:t>危险废物运输过程中如果发生散落、泄漏，容易腐化设备、产生恶臭，污染运输沿途环境，若下渗或泄漏进入土壤或地下水，将会造成局部土壤和地下水的污染，因此在运输过程中应按照相关规范加强管理。项目需按照</w:t>
            </w:r>
            <w:r>
              <w:rPr>
                <w:rFonts w:hint="eastAsia"/>
                <w:color w:val="auto"/>
                <w:kern w:val="0"/>
                <w:sz w:val="21"/>
              </w:rPr>
              <w:t>省生态环境厅关于印发《江苏省固体废物全过程环境监管工作意见》的通知（苏环办[2024]16号）及《危险废物识别标志设置技术规范》（HJ1276-2022）中</w:t>
            </w:r>
            <w:r>
              <w:rPr>
                <w:color w:val="auto"/>
                <w:kern w:val="0"/>
                <w:sz w:val="21"/>
              </w:rPr>
              <w:t>要求规范设置标志，配备通讯设备、照明设施和消防设施；在出入口、设施内部、危险废物运输车辆通道等关键位置按照危险废物贮存设施视频监控布设要求设置视频监控，并与中控室联网。</w:t>
            </w:r>
          </w:p>
          <w:p w14:paraId="7DC3C2BC">
            <w:pPr>
              <w:autoSpaceDE w:val="0"/>
              <w:autoSpaceDN w:val="0"/>
              <w:adjustRightInd w:val="0"/>
              <w:snapToGrid w:val="0"/>
              <w:spacing w:line="360" w:lineRule="auto"/>
              <w:ind w:firstLine="420" w:firstLineChars="200"/>
              <w:rPr>
                <w:color w:val="auto"/>
                <w:kern w:val="0"/>
              </w:rPr>
            </w:pPr>
            <w:r>
              <w:rPr>
                <w:color w:val="auto"/>
                <w:kern w:val="0"/>
              </w:rPr>
              <w:t>危险废物运输必须按照《危险废物收集 贮存 运输技术规范》（HJ2025-2012）的要求并做到以下几点：</w:t>
            </w:r>
          </w:p>
          <w:p w14:paraId="640FC6FE">
            <w:pPr>
              <w:autoSpaceDE w:val="0"/>
              <w:autoSpaceDN w:val="0"/>
              <w:adjustRightInd w:val="0"/>
              <w:snapToGrid w:val="0"/>
              <w:spacing w:line="360" w:lineRule="auto"/>
              <w:ind w:firstLine="420" w:firstLineChars="200"/>
              <w:rPr>
                <w:color w:val="auto"/>
                <w:kern w:val="0"/>
              </w:rPr>
            </w:pPr>
            <w:r>
              <w:rPr>
                <w:rFonts w:hint="eastAsia"/>
                <w:color w:val="auto"/>
                <w:kern w:val="0"/>
              </w:rPr>
              <w:t>A、</w:t>
            </w:r>
            <w:r>
              <w:rPr>
                <w:color w:val="auto"/>
                <w:kern w:val="0"/>
              </w:rPr>
              <w:t>危险废物运输应由持有危险废物经营许可证的单位按照其许可证的经营范围组织实施，承担危险废物运输的单位应获得交通运输部门颁发的危险货物运输资质。</w:t>
            </w:r>
          </w:p>
          <w:p w14:paraId="2090B11C">
            <w:pPr>
              <w:autoSpaceDE w:val="0"/>
              <w:autoSpaceDN w:val="0"/>
              <w:adjustRightInd w:val="0"/>
              <w:snapToGrid w:val="0"/>
              <w:spacing w:line="360" w:lineRule="auto"/>
              <w:ind w:firstLine="420" w:firstLineChars="200"/>
              <w:rPr>
                <w:color w:val="auto"/>
                <w:kern w:val="0"/>
              </w:rPr>
            </w:pPr>
            <w:r>
              <w:rPr>
                <w:rFonts w:hint="eastAsia"/>
                <w:color w:val="auto"/>
                <w:kern w:val="0"/>
              </w:rPr>
              <w:t>B、</w:t>
            </w:r>
            <w:r>
              <w:rPr>
                <w:color w:val="auto"/>
                <w:kern w:val="0"/>
              </w:rPr>
              <w:t>危险废物公路运输应按照《道路危险货物运输管理规定》（交通部令[2015年]第9号）、JT617以及JT618执行。</w:t>
            </w:r>
          </w:p>
          <w:p w14:paraId="231CB007">
            <w:pPr>
              <w:autoSpaceDE w:val="0"/>
              <w:autoSpaceDN w:val="0"/>
              <w:adjustRightInd w:val="0"/>
              <w:snapToGrid w:val="0"/>
              <w:spacing w:line="360" w:lineRule="auto"/>
              <w:ind w:firstLine="420" w:firstLineChars="200"/>
              <w:rPr>
                <w:color w:val="auto"/>
                <w:kern w:val="0"/>
              </w:rPr>
            </w:pPr>
            <w:r>
              <w:rPr>
                <w:rFonts w:hint="eastAsia"/>
                <w:color w:val="auto"/>
                <w:kern w:val="0"/>
              </w:rPr>
              <w:t>C、</w:t>
            </w:r>
            <w:r>
              <w:rPr>
                <w:color w:val="auto"/>
                <w:kern w:val="0"/>
              </w:rPr>
              <w:t>运输单位在承运危险废物时，应在危险废物包装上按照GB18597附录A设置标志。</w:t>
            </w:r>
          </w:p>
          <w:p w14:paraId="10666CF9">
            <w:pPr>
              <w:autoSpaceDE w:val="0"/>
              <w:autoSpaceDN w:val="0"/>
              <w:adjustRightInd w:val="0"/>
              <w:snapToGrid w:val="0"/>
              <w:spacing w:line="360" w:lineRule="auto"/>
              <w:ind w:firstLine="420" w:firstLineChars="200"/>
              <w:rPr>
                <w:color w:val="auto"/>
                <w:kern w:val="0"/>
              </w:rPr>
            </w:pPr>
            <w:r>
              <w:rPr>
                <w:rFonts w:hint="eastAsia"/>
                <w:color w:val="auto"/>
                <w:kern w:val="0"/>
              </w:rPr>
              <w:t>D、</w:t>
            </w:r>
            <w:r>
              <w:rPr>
                <w:color w:val="auto"/>
                <w:kern w:val="0"/>
              </w:rPr>
              <w:t>危险废物公路运输时，运输车辆按GB13392设置车辆标志。铁路运输和水路运输危险废物时应在集装箱外按GB190规定悬挂标志。</w:t>
            </w:r>
          </w:p>
          <w:p w14:paraId="36B6C0EC">
            <w:pPr>
              <w:autoSpaceDE w:val="0"/>
              <w:autoSpaceDN w:val="0"/>
              <w:adjustRightInd w:val="0"/>
              <w:snapToGrid w:val="0"/>
              <w:spacing w:line="360" w:lineRule="auto"/>
              <w:ind w:firstLine="420" w:firstLineChars="200"/>
              <w:rPr>
                <w:color w:val="auto"/>
                <w:kern w:val="0"/>
              </w:rPr>
            </w:pPr>
            <w:r>
              <w:rPr>
                <w:rFonts w:hint="eastAsia"/>
                <w:color w:val="auto"/>
                <w:kern w:val="0"/>
              </w:rPr>
              <w:t>E、</w:t>
            </w:r>
            <w:r>
              <w:rPr>
                <w:color w:val="auto"/>
                <w:kern w:val="0"/>
              </w:rPr>
              <w:t>危险废物运输时的中转、装卸过程应遵守如下技术要求：装卸区的工作人员应熟悉废物的危险特性，并配备适当的个人防护装备，装卸剧毒废物应配备特殊的防护装备；装卸区应配备必要的消防设备和设施，并设置明显的指示标志；危险废物装卸区应设置隔离设施，液态废物装卸区应设置收集槽和缓冲罐。</w:t>
            </w:r>
          </w:p>
          <w:p w14:paraId="3FEC037F">
            <w:pPr>
              <w:adjustRightInd w:val="0"/>
              <w:snapToGrid w:val="0"/>
              <w:spacing w:line="360" w:lineRule="auto"/>
              <w:ind w:firstLine="422" w:firstLineChars="200"/>
              <w:rPr>
                <w:b/>
                <w:bCs/>
                <w:color w:val="auto"/>
                <w:kern w:val="0"/>
              </w:rPr>
            </w:pPr>
            <w:r>
              <w:rPr>
                <w:rFonts w:hint="eastAsia"/>
                <w:b/>
                <w:bCs/>
                <w:color w:val="auto"/>
                <w:kern w:val="0"/>
              </w:rPr>
              <w:t>4）</w:t>
            </w:r>
            <w:r>
              <w:rPr>
                <w:b/>
                <w:bCs/>
                <w:color w:val="auto"/>
                <w:kern w:val="0"/>
              </w:rPr>
              <w:t>危险废物管理要求</w:t>
            </w:r>
          </w:p>
          <w:p w14:paraId="6816E956">
            <w:pPr>
              <w:adjustRightInd w:val="0"/>
              <w:snapToGrid w:val="0"/>
              <w:spacing w:line="360" w:lineRule="auto"/>
              <w:ind w:firstLine="420" w:firstLineChars="200"/>
              <w:rPr>
                <w:color w:val="auto"/>
                <w:kern w:val="0"/>
              </w:rPr>
            </w:pPr>
            <w:r>
              <w:rPr>
                <w:rFonts w:hint="eastAsia"/>
                <w:color w:val="auto"/>
                <w:kern w:val="0"/>
              </w:rPr>
              <w:t>A、</w:t>
            </w:r>
            <w:r>
              <w:rPr>
                <w:color w:val="auto"/>
                <w:kern w:val="0"/>
              </w:rPr>
              <w:t>危险废物的管理执行《危险废物贮存污染控制标准》（GB18597-</w:t>
            </w:r>
            <w:r>
              <w:rPr>
                <w:rFonts w:hint="eastAsia"/>
                <w:color w:val="auto"/>
                <w:kern w:val="0"/>
              </w:rPr>
              <w:t>2023</w:t>
            </w:r>
            <w:r>
              <w:rPr>
                <w:color w:val="auto"/>
                <w:kern w:val="0"/>
              </w:rPr>
              <w:t>）</w:t>
            </w:r>
            <w:r>
              <w:rPr>
                <w:rFonts w:hint="eastAsia"/>
                <w:color w:val="auto"/>
                <w:kern w:val="0"/>
              </w:rPr>
              <w:t>、省生态环境厅关于印发《江苏省固体废物全过程环境监管工作意见》的通知（苏环办[2024]16号）</w:t>
            </w:r>
            <w:r>
              <w:rPr>
                <w:color w:val="auto"/>
                <w:kern w:val="0"/>
              </w:rPr>
              <w:t>及《省生态环境厅关于印发江苏省危险废物贮存规范化管理专项整治行动方案的通知》（苏环办[2019]149号）中相关规定</w:t>
            </w:r>
            <w:r>
              <w:rPr>
                <w:rFonts w:hint="eastAsia"/>
                <w:color w:val="auto"/>
                <w:kern w:val="0"/>
              </w:rPr>
              <w:t>。</w:t>
            </w:r>
          </w:p>
          <w:p w14:paraId="7DB0881C">
            <w:pPr>
              <w:adjustRightInd w:val="0"/>
              <w:snapToGrid w:val="0"/>
              <w:spacing w:line="360" w:lineRule="auto"/>
              <w:ind w:firstLine="420" w:firstLineChars="200"/>
              <w:rPr>
                <w:color w:val="auto"/>
                <w:kern w:val="0"/>
              </w:rPr>
            </w:pPr>
            <w:r>
              <w:rPr>
                <w:rFonts w:hint="eastAsia"/>
                <w:color w:val="auto"/>
                <w:kern w:val="0"/>
              </w:rPr>
              <w:t>B、</w:t>
            </w:r>
            <w:r>
              <w:rPr>
                <w:color w:val="auto"/>
                <w:kern w:val="0"/>
              </w:rPr>
              <w:t>危废的暂存防范措施</w:t>
            </w:r>
            <w:r>
              <w:rPr>
                <w:rFonts w:hint="eastAsia"/>
                <w:color w:val="auto"/>
                <w:kern w:val="0"/>
              </w:rPr>
              <w:t>：</w:t>
            </w:r>
          </w:p>
          <w:p w14:paraId="6CC41E4E">
            <w:pPr>
              <w:adjustRightInd w:val="0"/>
              <w:snapToGrid w:val="0"/>
              <w:spacing w:line="360" w:lineRule="auto"/>
              <w:ind w:firstLine="420" w:firstLineChars="200"/>
              <w:rPr>
                <w:color w:val="auto"/>
                <w:kern w:val="0"/>
              </w:rPr>
            </w:pPr>
            <w:r>
              <w:rPr>
                <w:color w:val="auto"/>
                <w:kern w:val="0"/>
              </w:rPr>
              <w:t>a、采取室内贮存方式，设置环境保护图形标志和警示标志；</w:t>
            </w:r>
          </w:p>
          <w:p w14:paraId="4EE4F1EB">
            <w:pPr>
              <w:adjustRightInd w:val="0"/>
              <w:snapToGrid w:val="0"/>
              <w:spacing w:line="360" w:lineRule="auto"/>
              <w:ind w:firstLine="420" w:firstLineChars="200"/>
              <w:rPr>
                <w:color w:val="auto"/>
                <w:kern w:val="0"/>
              </w:rPr>
            </w:pPr>
            <w:r>
              <w:rPr>
                <w:color w:val="auto"/>
                <w:kern w:val="0"/>
              </w:rPr>
              <w:t>b、按类别放入相应的容器内，不同的危险废物分开存放并设有隔离间隔断；</w:t>
            </w:r>
          </w:p>
          <w:p w14:paraId="00EDB060">
            <w:pPr>
              <w:adjustRightInd w:val="0"/>
              <w:snapToGrid w:val="0"/>
              <w:spacing w:line="360" w:lineRule="auto"/>
              <w:ind w:firstLine="420" w:firstLineChars="200"/>
              <w:rPr>
                <w:color w:val="auto"/>
                <w:kern w:val="0"/>
              </w:rPr>
            </w:pPr>
            <w:r>
              <w:rPr>
                <w:color w:val="auto"/>
                <w:kern w:val="0"/>
              </w:rPr>
              <w:t>c、危险废物暂存设施为封闭砖混构筑物，室内四周设置围堰、导流沟，具有防雨、防风、防晒、防渗漏、防腐蚀、防盗措施等。室内地面为水泥地，具有耐腐蚀性，基础设置至少1m厚粘土层（渗透系数≤10</w:t>
            </w:r>
            <w:r>
              <w:rPr>
                <w:color w:val="auto"/>
                <w:kern w:val="0"/>
                <w:vertAlign w:val="superscript"/>
              </w:rPr>
              <w:t>-7</w:t>
            </w:r>
            <w:r>
              <w:rPr>
                <w:color w:val="auto"/>
                <w:kern w:val="0"/>
              </w:rPr>
              <w:t>cm/s），或2mm厚高密度聚乙烯，或至少2mm厚的其他人工材料，渗透系数≤10</w:t>
            </w:r>
            <w:r>
              <w:rPr>
                <w:color w:val="auto"/>
                <w:kern w:val="0"/>
                <w:vertAlign w:val="superscript"/>
              </w:rPr>
              <w:t>-10</w:t>
            </w:r>
            <w:r>
              <w:rPr>
                <w:color w:val="auto"/>
                <w:kern w:val="0"/>
              </w:rPr>
              <w:t>cm/s；</w:t>
            </w:r>
          </w:p>
          <w:p w14:paraId="0D8023F7">
            <w:pPr>
              <w:adjustRightInd w:val="0"/>
              <w:snapToGrid w:val="0"/>
              <w:spacing w:line="360" w:lineRule="auto"/>
              <w:ind w:firstLine="420" w:firstLineChars="200"/>
              <w:rPr>
                <w:color w:val="auto"/>
                <w:kern w:val="0"/>
              </w:rPr>
            </w:pPr>
            <w:r>
              <w:rPr>
                <w:color w:val="auto"/>
                <w:kern w:val="0"/>
              </w:rPr>
              <w:t>d、建立档案制度，对暂存的废物种类、数量、特性、包装容器类别、存放库位、存入日期、运出日期等详细记录在案并长期保存；</w:t>
            </w:r>
          </w:p>
          <w:p w14:paraId="7B7BF101">
            <w:pPr>
              <w:adjustRightInd w:val="0"/>
              <w:snapToGrid w:val="0"/>
              <w:spacing w:line="360" w:lineRule="auto"/>
              <w:ind w:firstLine="420" w:firstLineChars="200"/>
              <w:rPr>
                <w:color w:val="auto"/>
                <w:kern w:val="0"/>
              </w:rPr>
            </w:pPr>
            <w:r>
              <w:rPr>
                <w:color w:val="auto"/>
                <w:kern w:val="0"/>
              </w:rPr>
              <w:t>e、建设单位危废进行暂存的时间不得超过一年；</w:t>
            </w:r>
          </w:p>
          <w:p w14:paraId="0D3349D4">
            <w:pPr>
              <w:adjustRightInd w:val="0"/>
              <w:snapToGrid w:val="0"/>
              <w:spacing w:line="360" w:lineRule="auto"/>
              <w:ind w:firstLine="420" w:firstLineChars="200"/>
              <w:rPr>
                <w:color w:val="auto"/>
                <w:kern w:val="0"/>
              </w:rPr>
            </w:pPr>
            <w:r>
              <w:rPr>
                <w:color w:val="auto"/>
                <w:kern w:val="0"/>
              </w:rPr>
              <w:t>f、建立定期巡查、维护制度。</w:t>
            </w:r>
          </w:p>
          <w:p w14:paraId="1038E0F4">
            <w:pPr>
              <w:adjustRightInd w:val="0"/>
              <w:snapToGrid w:val="0"/>
              <w:spacing w:line="360" w:lineRule="auto"/>
              <w:ind w:firstLine="422" w:firstLineChars="200"/>
              <w:rPr>
                <w:b/>
                <w:bCs/>
                <w:color w:val="auto"/>
                <w:kern w:val="0"/>
              </w:rPr>
            </w:pPr>
            <w:r>
              <w:rPr>
                <w:b/>
                <w:bCs/>
                <w:color w:val="auto"/>
                <w:kern w:val="0"/>
              </w:rPr>
              <w:t>②一般固体废物污染防治措施</w:t>
            </w:r>
          </w:p>
          <w:p w14:paraId="7DAC4B1F">
            <w:pPr>
              <w:adjustRightInd w:val="0"/>
              <w:snapToGrid w:val="0"/>
              <w:spacing w:line="360" w:lineRule="auto"/>
              <w:ind w:firstLine="420" w:firstLineChars="200"/>
              <w:rPr>
                <w:color w:val="auto"/>
                <w:kern w:val="0"/>
              </w:rPr>
            </w:pPr>
            <w:r>
              <w:rPr>
                <w:rFonts w:hint="eastAsia"/>
                <w:color w:val="auto"/>
                <w:kern w:val="0"/>
              </w:rPr>
              <w:t>1）</w:t>
            </w:r>
            <w:r>
              <w:rPr>
                <w:color w:val="auto"/>
                <w:kern w:val="0"/>
              </w:rPr>
              <w:t>严格执行《一般工业固体废物贮存和填埋污染控制标准》（GB18599-2020）、《环境保护图形标志—固体废物贮存（处置场）》（GB15562.2-1995）等规定要求，对固体废物实行分类收集，选择满足要求的容器进行包装贮存；</w:t>
            </w:r>
          </w:p>
          <w:p w14:paraId="59462763">
            <w:pPr>
              <w:adjustRightInd w:val="0"/>
              <w:snapToGrid w:val="0"/>
              <w:spacing w:line="360" w:lineRule="auto"/>
              <w:ind w:firstLine="420" w:firstLineChars="200"/>
              <w:rPr>
                <w:color w:val="auto"/>
                <w:kern w:val="0"/>
              </w:rPr>
            </w:pPr>
            <w:r>
              <w:rPr>
                <w:rFonts w:hint="eastAsia"/>
                <w:color w:val="auto"/>
                <w:kern w:val="0"/>
              </w:rPr>
              <w:t>2）</w:t>
            </w:r>
            <w:r>
              <w:rPr>
                <w:color w:val="auto"/>
                <w:kern w:val="0"/>
              </w:rPr>
              <w:t>对固体废物实行从产生、收集、运输、贮存直至最终处理实行全过程管理，按照有关法律、法规的要求，对固体废弃物全过程管理应报当地环保行政主管部门等批准；</w:t>
            </w:r>
          </w:p>
          <w:p w14:paraId="4651DABF">
            <w:pPr>
              <w:adjustRightInd w:val="0"/>
              <w:snapToGrid w:val="0"/>
              <w:spacing w:line="360" w:lineRule="auto"/>
              <w:ind w:firstLine="420" w:firstLineChars="200"/>
              <w:rPr>
                <w:color w:val="auto"/>
                <w:kern w:val="0"/>
              </w:rPr>
            </w:pPr>
            <w:r>
              <w:rPr>
                <w:rFonts w:hint="eastAsia"/>
                <w:color w:val="auto"/>
                <w:kern w:val="0"/>
              </w:rPr>
              <w:t>3）</w:t>
            </w:r>
            <w:r>
              <w:rPr>
                <w:color w:val="auto"/>
                <w:kern w:val="0"/>
              </w:rPr>
              <w:t>加强固体废物规范化管理，固体废物分类定点堆放，堆放场所远离办公区和周围环境敏感点</w:t>
            </w:r>
            <w:r>
              <w:rPr>
                <w:rFonts w:hint="eastAsia"/>
                <w:color w:val="auto"/>
                <w:kern w:val="0"/>
              </w:rPr>
              <w:t>；</w:t>
            </w:r>
          </w:p>
          <w:p w14:paraId="6BC16A09">
            <w:pPr>
              <w:adjustRightInd w:val="0"/>
              <w:snapToGrid w:val="0"/>
              <w:spacing w:line="360" w:lineRule="auto"/>
              <w:ind w:firstLine="420" w:firstLineChars="200"/>
              <w:rPr>
                <w:color w:val="auto"/>
                <w:kern w:val="0"/>
              </w:rPr>
            </w:pPr>
            <w:r>
              <w:rPr>
                <w:rFonts w:hint="eastAsia"/>
                <w:color w:val="auto"/>
                <w:kern w:val="0"/>
              </w:rPr>
              <w:t>4）</w:t>
            </w:r>
            <w:r>
              <w:rPr>
                <w:color w:val="auto"/>
                <w:kern w:val="0"/>
              </w:rPr>
              <w:t>固体废物及时清运，避免产生二次污染；</w:t>
            </w:r>
          </w:p>
          <w:p w14:paraId="12C2D899">
            <w:pPr>
              <w:adjustRightInd w:val="0"/>
              <w:snapToGrid w:val="0"/>
              <w:spacing w:line="360" w:lineRule="auto"/>
              <w:ind w:firstLine="420" w:firstLineChars="200"/>
              <w:rPr>
                <w:color w:val="auto"/>
                <w:kern w:val="0"/>
              </w:rPr>
            </w:pPr>
            <w:r>
              <w:rPr>
                <w:rFonts w:hint="eastAsia"/>
                <w:color w:val="auto"/>
                <w:kern w:val="0"/>
              </w:rPr>
              <w:t>5）</w:t>
            </w:r>
            <w:r>
              <w:rPr>
                <w:color w:val="auto"/>
                <w:kern w:val="0"/>
              </w:rPr>
              <w:t>固体废物运输过程中应做到密闭运输，防治固废的泄漏，减少污染。</w:t>
            </w:r>
          </w:p>
          <w:p w14:paraId="1D9E5199">
            <w:pPr>
              <w:pStyle w:val="697"/>
              <w:adjustRightInd w:val="0"/>
              <w:snapToGrid w:val="0"/>
              <w:spacing w:line="360" w:lineRule="auto"/>
              <w:ind w:firstLine="422"/>
              <w:rPr>
                <w:rFonts w:eastAsia="宋体"/>
                <w:b/>
                <w:bCs/>
                <w:color w:val="auto"/>
                <w:kern w:val="0"/>
                <w:sz w:val="21"/>
                <w:szCs w:val="21"/>
              </w:rPr>
            </w:pPr>
            <w:r>
              <w:rPr>
                <w:rFonts w:eastAsia="宋体"/>
                <w:b/>
                <w:bCs/>
                <w:color w:val="auto"/>
                <w:kern w:val="0"/>
                <w:sz w:val="21"/>
                <w:szCs w:val="21"/>
              </w:rPr>
              <w:fldChar w:fldCharType="begin"/>
            </w:r>
            <w:r>
              <w:rPr>
                <w:rFonts w:eastAsia="宋体"/>
                <w:b/>
                <w:bCs/>
                <w:color w:val="auto"/>
                <w:kern w:val="0"/>
                <w:sz w:val="21"/>
                <w:szCs w:val="21"/>
              </w:rPr>
              <w:instrText xml:space="preserve"> = 3 \* GB3 \* MERGEFORMAT </w:instrText>
            </w:r>
            <w:r>
              <w:rPr>
                <w:rFonts w:eastAsia="宋体"/>
                <w:b/>
                <w:bCs/>
                <w:color w:val="auto"/>
                <w:kern w:val="0"/>
                <w:sz w:val="21"/>
                <w:szCs w:val="21"/>
              </w:rPr>
              <w:fldChar w:fldCharType="separate"/>
            </w:r>
            <w:r>
              <w:rPr>
                <w:b/>
                <w:bCs/>
                <w:color w:val="auto"/>
                <w:kern w:val="0"/>
                <w:sz w:val="21"/>
                <w:szCs w:val="21"/>
              </w:rPr>
              <w:t>③</w:t>
            </w:r>
            <w:r>
              <w:rPr>
                <w:rFonts w:eastAsia="宋体"/>
                <w:b/>
                <w:bCs/>
                <w:color w:val="auto"/>
                <w:kern w:val="0"/>
                <w:sz w:val="21"/>
                <w:szCs w:val="21"/>
              </w:rPr>
              <w:fldChar w:fldCharType="end"/>
            </w:r>
            <w:r>
              <w:rPr>
                <w:rFonts w:eastAsia="宋体"/>
                <w:b/>
                <w:bCs/>
                <w:color w:val="auto"/>
                <w:kern w:val="0"/>
                <w:sz w:val="21"/>
                <w:szCs w:val="21"/>
              </w:rPr>
              <w:t>生活垃圾污染防治措施</w:t>
            </w:r>
          </w:p>
          <w:p w14:paraId="285B2738">
            <w:pPr>
              <w:adjustRightInd w:val="0"/>
              <w:snapToGrid w:val="0"/>
              <w:spacing w:line="360" w:lineRule="auto"/>
              <w:ind w:firstLine="420" w:firstLineChars="200"/>
              <w:rPr>
                <w:color w:val="auto"/>
                <w:kern w:val="0"/>
              </w:rPr>
            </w:pPr>
            <w:r>
              <w:rPr>
                <w:color w:val="auto"/>
                <w:kern w:val="0"/>
              </w:rPr>
              <w:t>厂内设置垃圾桶若干，员工生活垃圾由环卫部门定期清运，可得到有效处置。</w:t>
            </w:r>
          </w:p>
          <w:p w14:paraId="0CC7CC68">
            <w:pPr>
              <w:pStyle w:val="697"/>
              <w:adjustRightInd w:val="0"/>
              <w:snapToGrid w:val="0"/>
              <w:spacing w:line="360" w:lineRule="auto"/>
              <w:ind w:firstLine="422"/>
              <w:rPr>
                <w:rFonts w:eastAsia="宋体"/>
                <w:b/>
                <w:bCs/>
                <w:color w:val="auto"/>
                <w:kern w:val="0"/>
                <w:sz w:val="21"/>
                <w:szCs w:val="21"/>
              </w:rPr>
            </w:pPr>
            <w:r>
              <w:rPr>
                <w:rFonts w:eastAsia="宋体"/>
                <w:b/>
                <w:bCs/>
                <w:color w:val="auto"/>
                <w:kern w:val="0"/>
                <w:sz w:val="21"/>
                <w:szCs w:val="21"/>
              </w:rPr>
              <w:t>（</w:t>
            </w:r>
            <w:r>
              <w:rPr>
                <w:rFonts w:hint="eastAsia" w:eastAsia="宋体"/>
                <w:b/>
                <w:bCs/>
                <w:color w:val="auto"/>
                <w:kern w:val="0"/>
                <w:sz w:val="21"/>
                <w:szCs w:val="21"/>
              </w:rPr>
              <w:t>5</w:t>
            </w:r>
            <w:r>
              <w:rPr>
                <w:rFonts w:eastAsia="宋体"/>
                <w:b/>
                <w:bCs/>
                <w:color w:val="auto"/>
                <w:kern w:val="0"/>
                <w:sz w:val="21"/>
                <w:szCs w:val="21"/>
              </w:rPr>
              <w:t>）固体废物环境管理要求</w:t>
            </w:r>
          </w:p>
          <w:p w14:paraId="79756840">
            <w:pPr>
              <w:adjustRightInd w:val="0"/>
              <w:snapToGrid w:val="0"/>
              <w:spacing w:line="360" w:lineRule="auto"/>
              <w:ind w:firstLine="420" w:firstLineChars="200"/>
              <w:rPr>
                <w:color w:val="auto"/>
                <w:kern w:val="0"/>
              </w:rPr>
            </w:pPr>
            <w:r>
              <w:rPr>
                <w:color w:val="auto"/>
                <w:kern w:val="0"/>
              </w:rPr>
              <w:t>企业为固体废物污染防治的责任主体，企业应建立有关转移管理的相关规定、人员培训考核制度、档案管理制度、全过程管理制度等。</w:t>
            </w:r>
          </w:p>
          <w:p w14:paraId="7B03F8FC">
            <w:pPr>
              <w:adjustRightInd w:val="0"/>
              <w:snapToGrid w:val="0"/>
              <w:spacing w:line="360" w:lineRule="auto"/>
              <w:ind w:firstLine="420" w:firstLineChars="200"/>
              <w:rPr>
                <w:color w:val="auto"/>
                <w:kern w:val="0"/>
              </w:rPr>
            </w:pPr>
            <w:r>
              <w:rPr>
                <w:color w:val="auto"/>
                <w:kern w:val="0"/>
              </w:rPr>
              <w:t>依据固体废物的种类、产生量及其管理的全过程可能造成的环境影响进行分析：</w:t>
            </w:r>
          </w:p>
          <w:p w14:paraId="7F94F8D1">
            <w:pPr>
              <w:adjustRightInd w:val="0"/>
              <w:snapToGrid w:val="0"/>
              <w:spacing w:line="360" w:lineRule="auto"/>
              <w:ind w:firstLine="420" w:firstLineChars="200"/>
              <w:rPr>
                <w:color w:val="auto"/>
                <w:kern w:val="0"/>
              </w:rPr>
            </w:pPr>
            <w:r>
              <w:rPr>
                <w:color w:val="auto"/>
                <w:kern w:val="0"/>
              </w:rPr>
              <w:t>①全厂固废分类收集与贮存，不混放，固废相互间不影响。</w:t>
            </w:r>
          </w:p>
          <w:p w14:paraId="39C8190D">
            <w:pPr>
              <w:adjustRightInd w:val="0"/>
              <w:snapToGrid w:val="0"/>
              <w:spacing w:line="360" w:lineRule="auto"/>
              <w:ind w:firstLine="420" w:firstLineChars="200"/>
              <w:rPr>
                <w:color w:val="auto"/>
                <w:kern w:val="0"/>
              </w:rPr>
            </w:pPr>
            <w:r>
              <w:rPr>
                <w:color w:val="auto"/>
                <w:kern w:val="0"/>
              </w:rPr>
              <w:t>②全厂固废运输由专业的运输单位负责，在运输过程中采用封闭运输，运输过程中不易散落和泄漏，对环境影响较小。</w:t>
            </w:r>
          </w:p>
          <w:p w14:paraId="5D3345AE">
            <w:pPr>
              <w:adjustRightInd w:val="0"/>
              <w:snapToGrid w:val="0"/>
              <w:spacing w:line="360" w:lineRule="auto"/>
              <w:ind w:firstLine="420" w:firstLineChars="200"/>
              <w:rPr>
                <w:color w:val="auto"/>
                <w:kern w:val="0"/>
              </w:rPr>
            </w:pPr>
            <w:r>
              <w:rPr>
                <w:color w:val="auto"/>
                <w:kern w:val="0"/>
              </w:rPr>
              <w:t>③固废的贮存场所地面采用防渗地面，发生渗漏等事故可能性较小或甚微，对土壤、地下水产生的影响较小。</w:t>
            </w:r>
          </w:p>
          <w:p w14:paraId="25A1A1BB">
            <w:pPr>
              <w:adjustRightInd w:val="0"/>
              <w:snapToGrid w:val="0"/>
              <w:spacing w:line="360" w:lineRule="auto"/>
              <w:ind w:firstLine="420" w:firstLineChars="200"/>
              <w:rPr>
                <w:color w:val="auto"/>
                <w:kern w:val="0"/>
              </w:rPr>
            </w:pPr>
            <w:r>
              <w:rPr>
                <w:color w:val="auto"/>
                <w:kern w:val="0"/>
              </w:rPr>
              <w:t>④全厂的固废通过外售、环卫清运、委托处置等方式处置或利用，均不在厂内自行建设施处理，对大气、水体、土壤环境基本不产生影响。</w:t>
            </w:r>
          </w:p>
          <w:p w14:paraId="2FA45DDE">
            <w:pPr>
              <w:pStyle w:val="23"/>
              <w:widowControl w:val="0"/>
              <w:ind w:firstLine="420" w:firstLineChars="200"/>
              <w:rPr>
                <w:color w:val="auto"/>
                <w:sz w:val="21"/>
                <w:szCs w:val="21"/>
              </w:rPr>
            </w:pPr>
            <w:r>
              <w:rPr>
                <w:color w:val="auto"/>
                <w:sz w:val="21"/>
                <w:szCs w:val="21"/>
              </w:rPr>
              <w:t>因此，项目所产生的固废均得到合理处置，固废零排放，对周围环境影响较小。</w:t>
            </w:r>
          </w:p>
          <w:p w14:paraId="50641F58">
            <w:pPr>
              <w:pStyle w:val="27"/>
              <w:spacing w:line="360" w:lineRule="auto"/>
              <w:ind w:left="0" w:leftChars="0" w:right="0" w:rightChars="0" w:firstLine="0" w:firstLineChars="0"/>
              <w:rPr>
                <w:b/>
                <w:bCs/>
                <w:color w:val="auto"/>
                <w:kern w:val="0"/>
                <w:sz w:val="21"/>
              </w:rPr>
            </w:pPr>
            <w:r>
              <w:rPr>
                <w:rFonts w:hint="eastAsia"/>
                <w:b/>
                <w:bCs/>
                <w:color w:val="auto"/>
                <w:kern w:val="0"/>
                <w:sz w:val="21"/>
              </w:rPr>
              <w:t>5、</w:t>
            </w:r>
            <w:r>
              <w:rPr>
                <w:b/>
                <w:bCs/>
                <w:color w:val="auto"/>
                <w:kern w:val="0"/>
                <w:sz w:val="21"/>
              </w:rPr>
              <w:t>土壤和地下水环境影响分析</w:t>
            </w:r>
          </w:p>
          <w:p w14:paraId="736A0756">
            <w:pPr>
              <w:pStyle w:val="27"/>
              <w:spacing w:line="360" w:lineRule="auto"/>
              <w:ind w:left="0" w:leftChars="0" w:right="0" w:rightChars="0" w:firstLine="422"/>
              <w:rPr>
                <w:color w:val="auto"/>
                <w:kern w:val="0"/>
                <w:sz w:val="21"/>
              </w:rPr>
            </w:pPr>
            <w:r>
              <w:rPr>
                <w:rFonts w:hint="eastAsia"/>
                <w:b/>
                <w:bCs/>
                <w:color w:val="auto"/>
                <w:kern w:val="0"/>
                <w:sz w:val="21"/>
              </w:rPr>
              <w:t>（1）影响途径</w:t>
            </w:r>
          </w:p>
          <w:p w14:paraId="719E7AB3">
            <w:pPr>
              <w:adjustRightInd w:val="0"/>
              <w:snapToGrid w:val="0"/>
              <w:spacing w:line="360" w:lineRule="auto"/>
              <w:ind w:firstLine="420" w:firstLineChars="200"/>
              <w:jc w:val="left"/>
              <w:rPr>
                <w:bCs/>
                <w:color w:val="auto"/>
                <w:kern w:val="0"/>
              </w:rPr>
            </w:pPr>
            <w:r>
              <w:rPr>
                <w:color w:val="auto"/>
                <w:kern w:val="0"/>
              </w:rPr>
              <w:t>本项目可能造成地下水和土壤污染影响的区域有：</w:t>
            </w:r>
            <w:r>
              <w:rPr>
                <w:rFonts w:hint="eastAsia"/>
                <w:color w:val="auto"/>
                <w:kern w:val="0"/>
                <w:lang w:val="en-US" w:eastAsia="zh-CN"/>
              </w:rPr>
              <w:t>油漆、</w:t>
            </w:r>
            <w:r>
              <w:rPr>
                <w:rFonts w:hint="eastAsia"/>
                <w:color w:val="auto"/>
                <w:kern w:val="0"/>
              </w:rPr>
              <w:t>危废仓库</w:t>
            </w:r>
            <w:r>
              <w:rPr>
                <w:color w:val="auto"/>
                <w:kern w:val="0"/>
              </w:rPr>
              <w:t>。可能的污染途径为：</w:t>
            </w:r>
            <w:r>
              <w:rPr>
                <w:rFonts w:hint="eastAsia"/>
                <w:color w:val="auto"/>
                <w:kern w:val="0"/>
              </w:rPr>
              <w:t>危险品和液态危险废物</w:t>
            </w:r>
            <w:r>
              <w:rPr>
                <w:color w:val="auto"/>
                <w:kern w:val="0"/>
              </w:rPr>
              <w:t>在装卸、贮存、使用、输送过程中发生倾覆或者包装容器破损，由此导致危险物质发生泄漏，泄漏后渗入到泄漏区附近的土壤和地下水中，从而发生污染事故。</w:t>
            </w:r>
            <w:r>
              <w:rPr>
                <w:bCs/>
                <w:color w:val="auto"/>
                <w:kern w:val="0"/>
              </w:rPr>
              <w:t>若不加强本项目</w:t>
            </w:r>
            <w:r>
              <w:rPr>
                <w:rFonts w:hint="eastAsia"/>
                <w:bCs/>
                <w:color w:val="auto"/>
                <w:kern w:val="0"/>
              </w:rPr>
              <w:t>仓库、危废仓库等</w:t>
            </w:r>
            <w:r>
              <w:rPr>
                <w:bCs/>
                <w:color w:val="auto"/>
                <w:kern w:val="0"/>
              </w:rPr>
              <w:t>区域的防渗处理和及时处置，存在污染土壤、地下水的可能。</w:t>
            </w:r>
          </w:p>
          <w:p w14:paraId="744F6181">
            <w:pPr>
              <w:pStyle w:val="27"/>
              <w:spacing w:line="360" w:lineRule="auto"/>
              <w:ind w:left="0" w:leftChars="0" w:right="0" w:rightChars="0" w:firstLine="422"/>
              <w:rPr>
                <w:b/>
                <w:bCs/>
                <w:color w:val="auto"/>
                <w:kern w:val="0"/>
                <w:sz w:val="21"/>
              </w:rPr>
            </w:pPr>
            <w:r>
              <w:rPr>
                <w:rFonts w:hint="eastAsia"/>
                <w:b/>
                <w:bCs/>
                <w:color w:val="auto"/>
                <w:kern w:val="0"/>
                <w:sz w:val="21"/>
              </w:rPr>
              <w:t>（</w:t>
            </w:r>
            <w:r>
              <w:rPr>
                <w:b/>
                <w:bCs/>
                <w:color w:val="auto"/>
                <w:kern w:val="0"/>
                <w:sz w:val="21"/>
              </w:rPr>
              <w:t>2）防渗</w:t>
            </w:r>
            <w:r>
              <w:rPr>
                <w:rFonts w:hint="eastAsia"/>
                <w:b/>
                <w:bCs/>
                <w:color w:val="auto"/>
                <w:kern w:val="0"/>
                <w:sz w:val="21"/>
              </w:rPr>
              <w:t>要求</w:t>
            </w:r>
          </w:p>
          <w:p w14:paraId="6C0FCAE2">
            <w:pPr>
              <w:adjustRightInd w:val="0"/>
              <w:snapToGrid w:val="0"/>
              <w:spacing w:line="360" w:lineRule="auto"/>
              <w:ind w:firstLine="420" w:firstLineChars="200"/>
              <w:jc w:val="left"/>
              <w:rPr>
                <w:bCs/>
                <w:color w:val="auto"/>
                <w:kern w:val="0"/>
              </w:rPr>
            </w:pPr>
            <w:r>
              <w:rPr>
                <w:bCs/>
                <w:color w:val="auto"/>
                <w:kern w:val="0"/>
              </w:rPr>
              <w:t>针对本项目可能发生的土壤和地下水污染，土壤及地下水污染防治措施按照</w:t>
            </w:r>
            <w:r>
              <w:rPr>
                <w:rFonts w:hint="eastAsia"/>
                <w:bCs/>
                <w:color w:val="auto"/>
                <w:kern w:val="0"/>
              </w:rPr>
              <w:t>“</w:t>
            </w:r>
            <w:r>
              <w:rPr>
                <w:bCs/>
                <w:color w:val="auto"/>
                <w:kern w:val="0"/>
              </w:rPr>
              <w:t>源头控制、末端防治、分区管理和控制</w:t>
            </w:r>
            <w:r>
              <w:rPr>
                <w:rFonts w:hint="eastAsia"/>
                <w:bCs/>
                <w:color w:val="auto"/>
                <w:kern w:val="0"/>
              </w:rPr>
              <w:t>”</w:t>
            </w:r>
            <w:r>
              <w:rPr>
                <w:bCs/>
                <w:color w:val="auto"/>
                <w:kern w:val="0"/>
              </w:rPr>
              <w:t>相结合的原则，</w:t>
            </w:r>
            <w:r>
              <w:rPr>
                <w:color w:val="auto"/>
                <w:kern w:val="0"/>
              </w:rPr>
              <w:t>建设单位</w:t>
            </w:r>
            <w:r>
              <w:rPr>
                <w:rFonts w:hint="eastAsia"/>
                <w:bCs/>
                <w:color w:val="auto"/>
                <w:kern w:val="0"/>
              </w:rPr>
              <w:t>仓库、危废仓库</w:t>
            </w:r>
            <w:r>
              <w:rPr>
                <w:bCs/>
                <w:color w:val="auto"/>
                <w:kern w:val="0"/>
              </w:rPr>
              <w:t>等处均需要进行防腐、防渗设计。为减少对土壤及地下水的影响，本项目应从污染物的产生、入渗、扩散、应急响应全阶段进行控制。</w:t>
            </w:r>
          </w:p>
          <w:p w14:paraId="7850718E">
            <w:pPr>
              <w:adjustRightInd w:val="0"/>
              <w:snapToGrid w:val="0"/>
              <w:spacing w:line="360" w:lineRule="auto"/>
              <w:ind w:firstLine="420" w:firstLineChars="200"/>
              <w:jc w:val="left"/>
              <w:rPr>
                <w:bCs/>
                <w:color w:val="auto"/>
                <w:kern w:val="0"/>
              </w:rPr>
            </w:pPr>
            <w:r>
              <w:rPr>
                <w:rFonts w:hint="eastAsia"/>
                <w:bCs/>
                <w:color w:val="auto"/>
                <w:kern w:val="0"/>
              </w:rPr>
              <w:t>①</w:t>
            </w:r>
            <w:r>
              <w:rPr>
                <w:bCs/>
                <w:color w:val="auto"/>
                <w:kern w:val="0"/>
              </w:rPr>
              <w:t>源头控制</w:t>
            </w:r>
            <w:r>
              <w:rPr>
                <w:rFonts w:hint="eastAsia"/>
                <w:bCs/>
                <w:color w:val="auto"/>
                <w:kern w:val="0"/>
              </w:rPr>
              <w:t>措施</w:t>
            </w:r>
          </w:p>
          <w:p w14:paraId="19647A29">
            <w:pPr>
              <w:adjustRightInd w:val="0"/>
              <w:snapToGrid w:val="0"/>
              <w:spacing w:line="360" w:lineRule="auto"/>
              <w:ind w:firstLine="420" w:firstLineChars="200"/>
              <w:jc w:val="left"/>
              <w:rPr>
                <w:bCs/>
                <w:color w:val="auto"/>
                <w:kern w:val="0"/>
              </w:rPr>
            </w:pPr>
            <w:r>
              <w:rPr>
                <w:bCs/>
                <w:color w:val="auto"/>
                <w:kern w:val="0"/>
              </w:rPr>
              <w:t>源头控制主要包括在工艺、管理、设备、污水储存及处理构筑物采取相应措施，防止和降低污染物跑、冒、滴、漏，将污染物泄漏的环境风险事故降到最低程度。</w:t>
            </w:r>
          </w:p>
          <w:p w14:paraId="132926D6">
            <w:pPr>
              <w:adjustRightInd w:val="0"/>
              <w:snapToGrid w:val="0"/>
              <w:spacing w:line="360" w:lineRule="auto"/>
              <w:ind w:firstLine="420" w:firstLineChars="200"/>
              <w:jc w:val="left"/>
              <w:rPr>
                <w:bCs/>
                <w:color w:val="auto"/>
                <w:kern w:val="0"/>
              </w:rPr>
            </w:pPr>
            <w:r>
              <w:rPr>
                <w:rFonts w:hint="eastAsia"/>
                <w:bCs/>
                <w:color w:val="auto"/>
                <w:kern w:val="0"/>
              </w:rPr>
              <w:t>②</w:t>
            </w:r>
            <w:r>
              <w:rPr>
                <w:bCs/>
                <w:color w:val="auto"/>
                <w:kern w:val="0"/>
              </w:rPr>
              <w:t>末端控制措施</w:t>
            </w:r>
          </w:p>
          <w:p w14:paraId="13CC143C">
            <w:pPr>
              <w:adjustRightInd w:val="0"/>
              <w:snapToGrid w:val="0"/>
              <w:spacing w:line="360" w:lineRule="auto"/>
              <w:ind w:firstLine="420" w:firstLineChars="200"/>
              <w:jc w:val="left"/>
              <w:rPr>
                <w:bCs/>
                <w:color w:val="auto"/>
                <w:kern w:val="0"/>
              </w:rPr>
            </w:pPr>
            <w:r>
              <w:rPr>
                <w:bCs/>
                <w:color w:val="auto"/>
                <w:kern w:val="0"/>
              </w:rPr>
              <w:t>末端控制措施主要包括厂内污染区地面的防渗措施和泄漏、渗漏污染物收集措施，即在污染区地面进行防渗处理，防止洒落地面的污染物渗入地下。</w:t>
            </w:r>
          </w:p>
          <w:p w14:paraId="01486C2E">
            <w:pPr>
              <w:adjustRightInd w:val="0"/>
              <w:snapToGrid w:val="0"/>
              <w:spacing w:line="360" w:lineRule="auto"/>
              <w:ind w:firstLine="420" w:firstLineChars="200"/>
              <w:jc w:val="left"/>
              <w:rPr>
                <w:bCs/>
                <w:color w:val="auto"/>
                <w:kern w:val="0"/>
              </w:rPr>
            </w:pPr>
            <w:r>
              <w:rPr>
                <w:rFonts w:hint="eastAsia"/>
                <w:bCs/>
                <w:color w:val="auto"/>
                <w:kern w:val="0"/>
              </w:rPr>
              <w:t>③</w:t>
            </w:r>
            <w:r>
              <w:rPr>
                <w:bCs/>
                <w:color w:val="auto"/>
                <w:kern w:val="0"/>
              </w:rPr>
              <w:t>分区管理和控制</w:t>
            </w:r>
            <w:r>
              <w:rPr>
                <w:rFonts w:hint="eastAsia"/>
                <w:bCs/>
                <w:color w:val="auto"/>
                <w:kern w:val="0"/>
              </w:rPr>
              <w:t>措施</w:t>
            </w:r>
          </w:p>
          <w:p w14:paraId="3E5E4D53">
            <w:pPr>
              <w:adjustRightInd w:val="0"/>
              <w:snapToGrid w:val="0"/>
              <w:spacing w:line="360" w:lineRule="auto"/>
              <w:ind w:firstLine="420" w:firstLineChars="200"/>
              <w:jc w:val="left"/>
              <w:rPr>
                <w:bCs/>
                <w:color w:val="auto"/>
                <w:kern w:val="0"/>
              </w:rPr>
            </w:pPr>
            <w:r>
              <w:rPr>
                <w:bCs/>
                <w:color w:val="auto"/>
                <w:kern w:val="0"/>
              </w:rPr>
              <w:t>分区管理和控制原则，即根据场址所在地的工程地质、水文地质条件和全厂可能发生泄漏的物料性质、排放量并参照相应标准要求有针对性的分区，并分别设计地面防渗层结构。</w:t>
            </w:r>
          </w:p>
          <w:p w14:paraId="705E6F30">
            <w:pPr>
              <w:adjustRightInd w:val="0"/>
              <w:snapToGrid w:val="0"/>
              <w:spacing w:line="360" w:lineRule="auto"/>
              <w:ind w:firstLine="420" w:firstLineChars="200"/>
              <w:jc w:val="left"/>
              <w:rPr>
                <w:bCs/>
                <w:color w:val="auto"/>
                <w:kern w:val="0"/>
              </w:rPr>
            </w:pPr>
            <w:r>
              <w:rPr>
                <w:color w:val="auto"/>
                <w:kern w:val="0"/>
              </w:rPr>
              <w:t>为了预防对地下水及土壤的污染，</w:t>
            </w:r>
            <w:r>
              <w:rPr>
                <w:rFonts w:hint="eastAsia"/>
                <w:color w:val="auto"/>
                <w:kern w:val="0"/>
              </w:rPr>
              <w:t>本项目</w:t>
            </w:r>
            <w:r>
              <w:rPr>
                <w:color w:val="auto"/>
                <w:kern w:val="0"/>
              </w:rPr>
              <w:t>按物料或者污染物泄漏的途径和生产功能单元所处的位置划分为重点污染防治区、一般污染防治区和简单防渗区三类污染防治区域：重点防渗区（</w:t>
            </w:r>
            <w:r>
              <w:rPr>
                <w:rFonts w:hint="eastAsia"/>
                <w:color w:val="auto"/>
                <w:kern w:val="0"/>
              </w:rPr>
              <w:t>危废仓库、</w:t>
            </w:r>
            <w:r>
              <w:rPr>
                <w:rStyle w:val="71"/>
                <w:rFonts w:hint="eastAsia"/>
                <w:color w:val="auto"/>
                <w:kern w:val="0"/>
              </w:rPr>
              <w:t>仓库</w:t>
            </w:r>
            <w:r>
              <w:rPr>
                <w:color w:val="auto"/>
                <w:kern w:val="0"/>
              </w:rPr>
              <w:t>）、一般防渗区（</w:t>
            </w:r>
            <w:r>
              <w:rPr>
                <w:rFonts w:hint="eastAsia"/>
                <w:color w:val="auto"/>
                <w:kern w:val="0"/>
              </w:rPr>
              <w:t>生产车间内其余生产区域</w:t>
            </w:r>
            <w:r>
              <w:rPr>
                <w:color w:val="auto"/>
                <w:kern w:val="0"/>
              </w:rPr>
              <w:t>）、简单防渗区（</w:t>
            </w:r>
            <w:r>
              <w:rPr>
                <w:rFonts w:hint="eastAsia"/>
                <w:color w:val="auto"/>
                <w:kern w:val="0"/>
              </w:rPr>
              <w:t>除重点防渗区和一般防渗区外的其他区域</w:t>
            </w:r>
            <w:r>
              <w:rPr>
                <w:color w:val="auto"/>
                <w:kern w:val="0"/>
              </w:rPr>
              <w:t>）。各防治区域的装置名录及其防渗要求见下表</w:t>
            </w:r>
            <w:r>
              <w:rPr>
                <w:rFonts w:hint="eastAsia"/>
                <w:color w:val="auto"/>
                <w:kern w:val="0"/>
              </w:rPr>
              <w:t>：</w:t>
            </w:r>
          </w:p>
          <w:p w14:paraId="60E2B3E5">
            <w:pPr>
              <w:adjustRightInd w:val="0"/>
              <w:snapToGrid w:val="0"/>
              <w:jc w:val="center"/>
              <w:rPr>
                <w:b/>
                <w:color w:val="auto"/>
                <w:kern w:val="0"/>
              </w:rPr>
            </w:pPr>
            <w:r>
              <w:rPr>
                <w:b/>
                <w:color w:val="auto"/>
                <w:kern w:val="0"/>
              </w:rPr>
              <w:t>表4-</w:t>
            </w:r>
            <w:r>
              <w:rPr>
                <w:rFonts w:hint="eastAsia"/>
                <w:b/>
                <w:color w:val="auto"/>
                <w:kern w:val="0"/>
                <w:lang w:val="en-US" w:eastAsia="zh-CN"/>
              </w:rPr>
              <w:t>26</w:t>
            </w:r>
            <w:r>
              <w:rPr>
                <w:rFonts w:hint="eastAsia"/>
                <w:b/>
                <w:color w:val="auto"/>
                <w:kern w:val="0"/>
              </w:rPr>
              <w:t xml:space="preserve">   </w:t>
            </w:r>
            <w:r>
              <w:rPr>
                <w:b/>
                <w:color w:val="auto"/>
                <w:kern w:val="0"/>
              </w:rPr>
              <w:t>项目污染防治分区划分及防渗要求</w:t>
            </w:r>
          </w:p>
          <w:tbl>
            <w:tblPr>
              <w:tblStyle w:val="5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2362"/>
              <w:gridCol w:w="1378"/>
              <w:gridCol w:w="5121"/>
            </w:tblGrid>
            <w:tr w14:paraId="565A4C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443" w:type="dxa"/>
                  <w:vAlign w:val="center"/>
                </w:tcPr>
                <w:p w14:paraId="01C600CD">
                  <w:pPr>
                    <w:jc w:val="center"/>
                    <w:rPr>
                      <w:rStyle w:val="71"/>
                      <w:b/>
                      <w:bCs/>
                      <w:color w:val="auto"/>
                      <w:kern w:val="0"/>
                    </w:rPr>
                  </w:pPr>
                  <w:r>
                    <w:rPr>
                      <w:rStyle w:val="71"/>
                      <w:b/>
                      <w:bCs/>
                      <w:color w:val="auto"/>
                      <w:kern w:val="0"/>
                    </w:rPr>
                    <w:t>防渗区域</w:t>
                  </w:r>
                </w:p>
              </w:tc>
              <w:tc>
                <w:tcPr>
                  <w:tcW w:w="1425" w:type="dxa"/>
                  <w:vAlign w:val="center"/>
                </w:tcPr>
                <w:p w14:paraId="7586FFD3">
                  <w:pPr>
                    <w:jc w:val="center"/>
                    <w:rPr>
                      <w:rStyle w:val="71"/>
                      <w:b/>
                      <w:bCs/>
                      <w:color w:val="auto"/>
                      <w:kern w:val="0"/>
                    </w:rPr>
                  </w:pPr>
                  <w:r>
                    <w:rPr>
                      <w:rStyle w:val="71"/>
                      <w:b/>
                      <w:bCs/>
                      <w:color w:val="auto"/>
                      <w:kern w:val="0"/>
                    </w:rPr>
                    <w:t>防渗类别</w:t>
                  </w:r>
                </w:p>
              </w:tc>
              <w:tc>
                <w:tcPr>
                  <w:tcW w:w="5296" w:type="dxa"/>
                  <w:vAlign w:val="center"/>
                </w:tcPr>
                <w:p w14:paraId="187A2318">
                  <w:pPr>
                    <w:jc w:val="center"/>
                    <w:rPr>
                      <w:rStyle w:val="71"/>
                      <w:b/>
                      <w:bCs/>
                      <w:color w:val="auto"/>
                      <w:kern w:val="0"/>
                    </w:rPr>
                  </w:pPr>
                  <w:r>
                    <w:rPr>
                      <w:rStyle w:val="71"/>
                      <w:b/>
                      <w:bCs/>
                      <w:color w:val="auto"/>
                      <w:kern w:val="0"/>
                    </w:rPr>
                    <w:t>防渗要求</w:t>
                  </w:r>
                </w:p>
              </w:tc>
            </w:tr>
            <w:tr w14:paraId="681980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443" w:type="dxa"/>
                  <w:vAlign w:val="center"/>
                </w:tcPr>
                <w:p w14:paraId="5BE7AA8C">
                  <w:pPr>
                    <w:jc w:val="center"/>
                    <w:rPr>
                      <w:rStyle w:val="71"/>
                      <w:color w:val="auto"/>
                      <w:kern w:val="0"/>
                    </w:rPr>
                  </w:pPr>
                  <w:r>
                    <w:rPr>
                      <w:rFonts w:hint="eastAsia"/>
                      <w:color w:val="auto"/>
                      <w:kern w:val="0"/>
                    </w:rPr>
                    <w:t>危废仓库、</w:t>
                  </w:r>
                  <w:r>
                    <w:rPr>
                      <w:rFonts w:hint="eastAsia"/>
                      <w:color w:val="auto"/>
                      <w:kern w:val="0"/>
                      <w:lang w:val="en-US" w:eastAsia="zh-CN"/>
                    </w:rPr>
                    <w:t>油漆</w:t>
                  </w:r>
                  <w:r>
                    <w:rPr>
                      <w:rStyle w:val="71"/>
                      <w:rFonts w:hint="eastAsia"/>
                      <w:color w:val="auto"/>
                      <w:kern w:val="0"/>
                    </w:rPr>
                    <w:t>仓库</w:t>
                  </w:r>
                </w:p>
              </w:tc>
              <w:tc>
                <w:tcPr>
                  <w:tcW w:w="1425" w:type="dxa"/>
                  <w:vAlign w:val="center"/>
                </w:tcPr>
                <w:p w14:paraId="2162D786">
                  <w:pPr>
                    <w:jc w:val="center"/>
                    <w:rPr>
                      <w:rStyle w:val="71"/>
                      <w:color w:val="auto"/>
                      <w:kern w:val="0"/>
                    </w:rPr>
                  </w:pPr>
                  <w:r>
                    <w:rPr>
                      <w:rStyle w:val="71"/>
                      <w:color w:val="auto"/>
                      <w:kern w:val="0"/>
                    </w:rPr>
                    <w:t>重点防渗</w:t>
                  </w:r>
                </w:p>
              </w:tc>
              <w:tc>
                <w:tcPr>
                  <w:tcW w:w="5296" w:type="dxa"/>
                  <w:vAlign w:val="center"/>
                </w:tcPr>
                <w:p w14:paraId="11469F89">
                  <w:pPr>
                    <w:jc w:val="center"/>
                    <w:rPr>
                      <w:rStyle w:val="71"/>
                      <w:color w:val="auto"/>
                      <w:kern w:val="0"/>
                    </w:rPr>
                  </w:pPr>
                  <w:r>
                    <w:rPr>
                      <w:rStyle w:val="71"/>
                      <w:color w:val="auto"/>
                      <w:kern w:val="0"/>
                    </w:rPr>
                    <w:t>地面应铺设抗渗混凝土及耐腐蚀硬化材料，防渗层为2mm厚高密度聚乙烯，或至少2mm厚的其它耐腐蚀材料，渗透系数≤10</w:t>
                  </w:r>
                  <w:r>
                    <w:rPr>
                      <w:rStyle w:val="71"/>
                      <w:color w:val="auto"/>
                      <w:kern w:val="0"/>
                      <w:vertAlign w:val="superscript"/>
                    </w:rPr>
                    <w:t>-10</w:t>
                  </w:r>
                  <w:r>
                    <w:rPr>
                      <w:rStyle w:val="71"/>
                      <w:color w:val="auto"/>
                      <w:kern w:val="0"/>
                    </w:rPr>
                    <w:t>cm/s，且地面无裂缝；衬里要能够覆盖废物或其溶出物可能涉及到的范围；衬里材料与堆放的废物相容。</w:t>
                  </w:r>
                </w:p>
              </w:tc>
            </w:tr>
            <w:tr w14:paraId="609A37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443" w:type="dxa"/>
                  <w:vAlign w:val="center"/>
                </w:tcPr>
                <w:p w14:paraId="1FE8EC6B">
                  <w:pPr>
                    <w:jc w:val="center"/>
                    <w:rPr>
                      <w:rStyle w:val="71"/>
                      <w:color w:val="auto"/>
                      <w:kern w:val="0"/>
                    </w:rPr>
                  </w:pPr>
                  <w:r>
                    <w:rPr>
                      <w:rFonts w:hint="eastAsia"/>
                      <w:color w:val="auto"/>
                      <w:kern w:val="0"/>
                    </w:rPr>
                    <w:t>生产车间、其余生产区域</w:t>
                  </w:r>
                </w:p>
              </w:tc>
              <w:tc>
                <w:tcPr>
                  <w:tcW w:w="1425" w:type="dxa"/>
                  <w:vAlign w:val="center"/>
                </w:tcPr>
                <w:p w14:paraId="7CDB1B66">
                  <w:pPr>
                    <w:jc w:val="center"/>
                    <w:rPr>
                      <w:rStyle w:val="71"/>
                      <w:color w:val="auto"/>
                      <w:kern w:val="0"/>
                    </w:rPr>
                  </w:pPr>
                  <w:r>
                    <w:rPr>
                      <w:rStyle w:val="71"/>
                      <w:color w:val="auto"/>
                      <w:kern w:val="0"/>
                    </w:rPr>
                    <w:t>一般防渗</w:t>
                  </w:r>
                </w:p>
              </w:tc>
              <w:tc>
                <w:tcPr>
                  <w:tcW w:w="5296" w:type="dxa"/>
                  <w:vAlign w:val="center"/>
                </w:tcPr>
                <w:p w14:paraId="03CEA453">
                  <w:pPr>
                    <w:adjustRightInd w:val="0"/>
                    <w:snapToGrid w:val="0"/>
                    <w:jc w:val="center"/>
                    <w:rPr>
                      <w:rStyle w:val="71"/>
                      <w:color w:val="auto"/>
                      <w:kern w:val="0"/>
                    </w:rPr>
                  </w:pPr>
                  <w:r>
                    <w:rPr>
                      <w:color w:val="auto"/>
                      <w:kern w:val="0"/>
                    </w:rPr>
                    <w:t>包括除重点防渗区外的其余部分地面，包括原料区、成品区等，采用抗渗等级不低于P1级的抗渗混凝土（渗透系数约0.4×10</w:t>
                  </w:r>
                  <w:r>
                    <w:rPr>
                      <w:color w:val="auto"/>
                      <w:kern w:val="0"/>
                      <w:vertAlign w:val="superscript"/>
                    </w:rPr>
                    <w:t>-7</w:t>
                  </w:r>
                  <w:r>
                    <w:rPr>
                      <w:color w:val="auto"/>
                      <w:kern w:val="0"/>
                    </w:rPr>
                    <w:t>cm/s，厚度不低于20cm）硬化地面。</w:t>
                  </w:r>
                </w:p>
              </w:tc>
            </w:tr>
            <w:tr w14:paraId="4FB235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443" w:type="dxa"/>
                  <w:vAlign w:val="center"/>
                </w:tcPr>
                <w:p w14:paraId="7A9DE16D">
                  <w:pPr>
                    <w:jc w:val="center"/>
                    <w:rPr>
                      <w:rStyle w:val="71"/>
                      <w:color w:val="auto"/>
                      <w:kern w:val="0"/>
                    </w:rPr>
                  </w:pPr>
                  <w:r>
                    <w:rPr>
                      <w:rFonts w:hint="eastAsia"/>
                      <w:color w:val="auto"/>
                      <w:kern w:val="0"/>
                    </w:rPr>
                    <w:t>除重点防渗区和一般防渗区外的其他区域</w:t>
                  </w:r>
                </w:p>
              </w:tc>
              <w:tc>
                <w:tcPr>
                  <w:tcW w:w="1425" w:type="dxa"/>
                  <w:vAlign w:val="center"/>
                </w:tcPr>
                <w:p w14:paraId="0D2DA74B">
                  <w:pPr>
                    <w:jc w:val="center"/>
                    <w:rPr>
                      <w:rStyle w:val="71"/>
                      <w:color w:val="auto"/>
                      <w:kern w:val="0"/>
                    </w:rPr>
                  </w:pPr>
                  <w:r>
                    <w:rPr>
                      <w:rStyle w:val="71"/>
                      <w:color w:val="auto"/>
                      <w:kern w:val="0"/>
                    </w:rPr>
                    <w:t>简单防渗区</w:t>
                  </w:r>
                </w:p>
              </w:tc>
              <w:tc>
                <w:tcPr>
                  <w:tcW w:w="5296" w:type="dxa"/>
                  <w:vAlign w:val="center"/>
                </w:tcPr>
                <w:p w14:paraId="4A24FC2C">
                  <w:pPr>
                    <w:adjustRightInd w:val="0"/>
                    <w:snapToGrid w:val="0"/>
                    <w:jc w:val="center"/>
                    <w:rPr>
                      <w:color w:val="auto"/>
                      <w:kern w:val="0"/>
                    </w:rPr>
                  </w:pPr>
                  <w:r>
                    <w:rPr>
                      <w:color w:val="auto"/>
                      <w:kern w:val="0"/>
                    </w:rPr>
                    <w:t>一般地面硬化</w:t>
                  </w:r>
                </w:p>
              </w:tc>
            </w:tr>
          </w:tbl>
          <w:p w14:paraId="50FE920B">
            <w:pPr>
              <w:pStyle w:val="697"/>
              <w:adjustRightInd w:val="0"/>
              <w:snapToGrid w:val="0"/>
              <w:spacing w:line="360" w:lineRule="auto"/>
              <w:ind w:firstLine="422"/>
              <w:rPr>
                <w:rFonts w:eastAsia="宋体"/>
                <w:b/>
                <w:bCs/>
                <w:color w:val="auto"/>
                <w:kern w:val="0"/>
                <w:sz w:val="21"/>
                <w:szCs w:val="21"/>
              </w:rPr>
            </w:pPr>
            <w:r>
              <w:rPr>
                <w:rFonts w:hint="eastAsia" w:eastAsia="宋体"/>
                <w:b/>
                <w:bCs/>
                <w:color w:val="auto"/>
                <w:kern w:val="0"/>
                <w:sz w:val="21"/>
                <w:szCs w:val="21"/>
              </w:rPr>
              <w:t>（</w:t>
            </w:r>
            <w:r>
              <w:rPr>
                <w:rFonts w:eastAsia="宋体"/>
                <w:b/>
                <w:bCs/>
                <w:color w:val="auto"/>
                <w:kern w:val="0"/>
                <w:sz w:val="21"/>
                <w:szCs w:val="21"/>
              </w:rPr>
              <w:t>3）</w:t>
            </w:r>
            <w:r>
              <w:rPr>
                <w:rFonts w:hint="eastAsia" w:eastAsia="宋体"/>
                <w:b/>
                <w:bCs/>
                <w:color w:val="auto"/>
                <w:kern w:val="0"/>
                <w:sz w:val="21"/>
                <w:szCs w:val="21"/>
              </w:rPr>
              <w:t>预防措施</w:t>
            </w:r>
          </w:p>
          <w:p w14:paraId="7A89A618">
            <w:pPr>
              <w:adjustRightInd w:val="0"/>
              <w:snapToGrid w:val="0"/>
              <w:spacing w:line="360" w:lineRule="auto"/>
              <w:ind w:firstLine="420" w:firstLineChars="200"/>
              <w:rPr>
                <w:color w:val="auto"/>
                <w:kern w:val="0"/>
              </w:rPr>
            </w:pPr>
            <w:r>
              <w:rPr>
                <w:color w:val="auto"/>
                <w:kern w:val="0"/>
              </w:rPr>
              <w:t>为防止</w:t>
            </w:r>
            <w:r>
              <w:rPr>
                <w:rFonts w:hint="eastAsia"/>
                <w:color w:val="auto"/>
                <w:kern w:val="0"/>
              </w:rPr>
              <w:t>土壤及</w:t>
            </w:r>
            <w:r>
              <w:rPr>
                <w:color w:val="auto"/>
                <w:kern w:val="0"/>
              </w:rPr>
              <w:t>地下水污染</w:t>
            </w:r>
            <w:r>
              <w:rPr>
                <w:rFonts w:hint="eastAsia"/>
                <w:color w:val="auto"/>
                <w:kern w:val="0"/>
              </w:rPr>
              <w:t>，企业应设置专人</w:t>
            </w:r>
            <w:r>
              <w:rPr>
                <w:color w:val="auto"/>
                <w:kern w:val="0"/>
              </w:rPr>
              <w:t>了解全厂生产是否出现异常情况，出现异常情况的装置、原因</w:t>
            </w:r>
            <w:r>
              <w:rPr>
                <w:rFonts w:hint="eastAsia"/>
                <w:color w:val="auto"/>
                <w:kern w:val="0"/>
              </w:rPr>
              <w:t>，</w:t>
            </w:r>
            <w:r>
              <w:rPr>
                <w:color w:val="auto"/>
                <w:kern w:val="0"/>
              </w:rPr>
              <w:t>定期对污染区的生产装置、法兰、阀门、管道等进行检查。</w:t>
            </w:r>
          </w:p>
          <w:p w14:paraId="0EAC2D4E">
            <w:pPr>
              <w:adjustRightInd w:val="0"/>
              <w:snapToGrid w:val="0"/>
              <w:spacing w:line="360" w:lineRule="auto"/>
              <w:ind w:firstLine="420" w:firstLineChars="200"/>
              <w:rPr>
                <w:color w:val="auto"/>
                <w:kern w:val="0"/>
              </w:rPr>
            </w:pPr>
            <w:r>
              <w:rPr>
                <w:color w:val="auto"/>
                <w:kern w:val="0"/>
              </w:rPr>
              <w:t>本项目将建设场地划分为重点污染防治区、一般污染防治区和简单污染防治区，防渗设计应根据污染防治分区采取相应的防渗方案。通过加强管理，跟踪监测，项目对地下水及土壤基本不会造成影响。</w:t>
            </w:r>
          </w:p>
          <w:p w14:paraId="1AD4C0AB">
            <w:pPr>
              <w:spacing w:line="360" w:lineRule="auto"/>
              <w:rPr>
                <w:b/>
                <w:bCs/>
                <w:color w:val="auto"/>
                <w:kern w:val="0"/>
              </w:rPr>
            </w:pPr>
            <w:r>
              <w:rPr>
                <w:rFonts w:hint="eastAsia"/>
                <w:b/>
                <w:bCs/>
                <w:color w:val="auto"/>
                <w:kern w:val="0"/>
              </w:rPr>
              <w:t>6、环境风险影响分析</w:t>
            </w:r>
          </w:p>
          <w:p w14:paraId="5DF2A7DE">
            <w:pPr>
              <w:adjustRightInd w:val="0"/>
              <w:snapToGrid w:val="0"/>
              <w:spacing w:line="360" w:lineRule="auto"/>
              <w:ind w:firstLine="422" w:firstLineChars="200"/>
              <w:jc w:val="left"/>
              <w:rPr>
                <w:b/>
                <w:color w:val="auto"/>
                <w:kern w:val="0"/>
              </w:rPr>
            </w:pPr>
            <w:r>
              <w:rPr>
                <w:b/>
                <w:color w:val="auto"/>
                <w:kern w:val="0"/>
              </w:rPr>
              <w:t>1</w:t>
            </w:r>
            <w:r>
              <w:rPr>
                <w:rFonts w:hint="eastAsia"/>
                <w:b/>
                <w:color w:val="auto"/>
                <w:kern w:val="0"/>
              </w:rPr>
              <w:t>）</w:t>
            </w:r>
            <w:r>
              <w:rPr>
                <w:b/>
                <w:color w:val="auto"/>
                <w:kern w:val="0"/>
              </w:rPr>
              <w:t>风险源调查及识别</w:t>
            </w:r>
          </w:p>
          <w:p w14:paraId="41AD4187">
            <w:pPr>
              <w:pStyle w:val="24"/>
              <w:adjustRightInd w:val="0"/>
              <w:snapToGrid w:val="0"/>
              <w:spacing w:after="0" w:line="360" w:lineRule="auto"/>
              <w:ind w:left="0" w:leftChars="0" w:firstLine="420" w:firstLineChars="200"/>
              <w:rPr>
                <w:color w:val="auto"/>
                <w:sz w:val="21"/>
                <w:szCs w:val="21"/>
              </w:rPr>
            </w:pPr>
            <w:r>
              <w:rPr>
                <w:color w:val="auto"/>
                <w:sz w:val="21"/>
                <w:szCs w:val="21"/>
              </w:rPr>
              <w:fldChar w:fldCharType="begin"/>
            </w:r>
            <w:r>
              <w:rPr>
                <w:color w:val="auto"/>
                <w:sz w:val="21"/>
                <w:szCs w:val="21"/>
              </w:rPr>
              <w:instrText xml:space="preserve"> = 1 \* GB3 \* MERGEFORMAT </w:instrText>
            </w:r>
            <w:r>
              <w:rPr>
                <w:color w:val="auto"/>
                <w:sz w:val="21"/>
                <w:szCs w:val="21"/>
              </w:rPr>
              <w:fldChar w:fldCharType="separate"/>
            </w:r>
            <w:r>
              <w:rPr>
                <w:color w:val="auto"/>
                <w:sz w:val="21"/>
                <w:szCs w:val="21"/>
              </w:rPr>
              <w:t>①</w:t>
            </w:r>
            <w:r>
              <w:rPr>
                <w:color w:val="auto"/>
                <w:sz w:val="21"/>
                <w:szCs w:val="21"/>
              </w:rPr>
              <w:fldChar w:fldCharType="end"/>
            </w:r>
            <w:r>
              <w:rPr>
                <w:color w:val="auto"/>
                <w:sz w:val="21"/>
                <w:szCs w:val="21"/>
              </w:rPr>
              <w:t>物质危险性识别</w:t>
            </w:r>
          </w:p>
          <w:p w14:paraId="0DAF33B4">
            <w:pPr>
              <w:pStyle w:val="24"/>
              <w:adjustRightInd w:val="0"/>
              <w:snapToGrid w:val="0"/>
              <w:spacing w:after="0" w:line="360" w:lineRule="auto"/>
              <w:ind w:left="0" w:leftChars="0" w:firstLine="420" w:firstLineChars="200"/>
              <w:rPr>
                <w:b/>
                <w:bCs/>
                <w:color w:val="auto"/>
                <w:sz w:val="21"/>
                <w:szCs w:val="21"/>
              </w:rPr>
            </w:pPr>
            <w:r>
              <w:rPr>
                <w:color w:val="auto"/>
                <w:sz w:val="21"/>
                <w:szCs w:val="21"/>
              </w:rPr>
              <w:t>根据《建设项目环境风险评价技术导则》（HJ/T169-2018）附录B，全厂涉及的危险物质数量及分布情况见下表。</w:t>
            </w:r>
          </w:p>
          <w:p w14:paraId="23B2E9D1">
            <w:pPr>
              <w:jc w:val="center"/>
              <w:rPr>
                <w:color w:val="auto"/>
                <w:kern w:val="0"/>
                <w:lang w:val="zh-CN"/>
              </w:rPr>
            </w:pPr>
            <w:r>
              <w:rPr>
                <w:b/>
                <w:bCs/>
                <w:color w:val="auto"/>
                <w:kern w:val="0"/>
              </w:rPr>
              <w:t>表4-</w:t>
            </w:r>
            <w:r>
              <w:rPr>
                <w:rFonts w:hint="eastAsia"/>
                <w:b/>
                <w:bCs/>
                <w:color w:val="auto"/>
                <w:kern w:val="0"/>
                <w:lang w:val="en-US" w:eastAsia="zh-CN"/>
              </w:rPr>
              <w:t>27</w:t>
            </w:r>
            <w:r>
              <w:rPr>
                <w:rFonts w:hint="eastAsia"/>
                <w:b/>
                <w:bCs/>
                <w:color w:val="auto"/>
                <w:kern w:val="0"/>
              </w:rPr>
              <w:t xml:space="preserve">   </w:t>
            </w:r>
            <w:r>
              <w:rPr>
                <w:b/>
                <w:bCs/>
                <w:color w:val="auto"/>
                <w:kern w:val="0"/>
              </w:rPr>
              <w:t>全厂涉及的危险物质数量及分布情况表</w:t>
            </w:r>
          </w:p>
          <w:tbl>
            <w:tblPr>
              <w:tblStyle w:val="59"/>
              <w:tblW w:w="5000"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0" w:type="dxa"/>
                <w:bottom w:w="0" w:type="dxa"/>
                <w:right w:w="0" w:type="dxa"/>
              </w:tblCellMar>
            </w:tblPr>
            <w:tblGrid>
              <w:gridCol w:w="2406"/>
              <w:gridCol w:w="2248"/>
              <w:gridCol w:w="2200"/>
              <w:gridCol w:w="2007"/>
            </w:tblGrid>
            <w:tr w14:paraId="0909F82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PrEx>
              <w:trPr>
                <w:jc w:val="center"/>
              </w:trPr>
              <w:tc>
                <w:tcPr>
                  <w:tcW w:w="1357" w:type="pct"/>
                  <w:tcBorders>
                    <w:tl2br w:val="nil"/>
                    <w:tr2bl w:val="nil"/>
                  </w:tcBorders>
                  <w:vAlign w:val="center"/>
                </w:tcPr>
                <w:p w14:paraId="63315662">
                  <w:pPr>
                    <w:tabs>
                      <w:tab w:val="left" w:pos="960"/>
                    </w:tabs>
                    <w:snapToGrid w:val="0"/>
                    <w:jc w:val="center"/>
                    <w:rPr>
                      <w:b/>
                      <w:bCs/>
                      <w:color w:val="auto"/>
                      <w:kern w:val="0"/>
                    </w:rPr>
                  </w:pPr>
                  <w:r>
                    <w:rPr>
                      <w:b/>
                      <w:bCs/>
                      <w:color w:val="auto"/>
                      <w:kern w:val="0"/>
                    </w:rPr>
                    <w:t>名称</w:t>
                  </w:r>
                </w:p>
              </w:tc>
              <w:tc>
                <w:tcPr>
                  <w:tcW w:w="1268" w:type="pct"/>
                  <w:tcBorders>
                    <w:tl2br w:val="nil"/>
                    <w:tr2bl w:val="nil"/>
                  </w:tcBorders>
                  <w:vAlign w:val="center"/>
                </w:tcPr>
                <w:p w14:paraId="710D0D83">
                  <w:pPr>
                    <w:tabs>
                      <w:tab w:val="left" w:pos="960"/>
                    </w:tabs>
                    <w:snapToGrid w:val="0"/>
                    <w:jc w:val="center"/>
                    <w:rPr>
                      <w:b/>
                      <w:bCs/>
                      <w:color w:val="auto"/>
                      <w:kern w:val="0"/>
                    </w:rPr>
                  </w:pPr>
                  <w:r>
                    <w:rPr>
                      <w:b/>
                      <w:bCs/>
                      <w:color w:val="auto"/>
                      <w:kern w:val="0"/>
                    </w:rPr>
                    <w:t>最大存储量/t</w:t>
                  </w:r>
                </w:p>
              </w:tc>
              <w:tc>
                <w:tcPr>
                  <w:tcW w:w="1241" w:type="pct"/>
                  <w:tcBorders>
                    <w:tl2br w:val="nil"/>
                    <w:tr2bl w:val="nil"/>
                  </w:tcBorders>
                  <w:vAlign w:val="center"/>
                </w:tcPr>
                <w:p w14:paraId="76F30892">
                  <w:pPr>
                    <w:tabs>
                      <w:tab w:val="left" w:pos="960"/>
                    </w:tabs>
                    <w:snapToGrid w:val="0"/>
                    <w:jc w:val="center"/>
                    <w:rPr>
                      <w:b/>
                      <w:bCs/>
                      <w:color w:val="auto"/>
                      <w:kern w:val="0"/>
                    </w:rPr>
                  </w:pPr>
                  <w:r>
                    <w:rPr>
                      <w:b/>
                      <w:bCs/>
                      <w:color w:val="auto"/>
                      <w:kern w:val="0"/>
                    </w:rPr>
                    <w:t>储存方式</w:t>
                  </w:r>
                </w:p>
              </w:tc>
              <w:tc>
                <w:tcPr>
                  <w:tcW w:w="1132" w:type="pct"/>
                  <w:tcBorders>
                    <w:tl2br w:val="nil"/>
                    <w:tr2bl w:val="nil"/>
                  </w:tcBorders>
                  <w:vAlign w:val="center"/>
                </w:tcPr>
                <w:p w14:paraId="5DD7A6DF">
                  <w:pPr>
                    <w:tabs>
                      <w:tab w:val="left" w:pos="960"/>
                    </w:tabs>
                    <w:snapToGrid w:val="0"/>
                    <w:jc w:val="center"/>
                    <w:rPr>
                      <w:b/>
                      <w:bCs/>
                      <w:color w:val="auto"/>
                      <w:kern w:val="0"/>
                    </w:rPr>
                  </w:pPr>
                  <w:r>
                    <w:rPr>
                      <w:b/>
                      <w:bCs/>
                      <w:color w:val="auto"/>
                      <w:kern w:val="0"/>
                    </w:rPr>
                    <w:t>储存位置</w:t>
                  </w:r>
                </w:p>
              </w:tc>
            </w:tr>
            <w:tr w14:paraId="27D5EED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1357" w:type="pct"/>
                  <w:tcBorders>
                    <w:tl2br w:val="nil"/>
                    <w:tr2bl w:val="nil"/>
                  </w:tcBorders>
                  <w:vAlign w:val="center"/>
                </w:tcPr>
                <w:p w14:paraId="6979B089">
                  <w:pPr>
                    <w:adjustRightInd w:val="0"/>
                    <w:snapToGrid w:val="0"/>
                    <w:jc w:val="center"/>
                    <w:rPr>
                      <w:rFonts w:hint="default"/>
                      <w:color w:val="auto"/>
                      <w:kern w:val="0"/>
                      <w:lang w:val="en-US" w:eastAsia="zh-CN"/>
                    </w:rPr>
                  </w:pPr>
                  <w:r>
                    <w:rPr>
                      <w:rFonts w:hint="eastAsia"/>
                      <w:color w:val="auto"/>
                      <w:kern w:val="0"/>
                      <w:lang w:val="en-US" w:eastAsia="zh-CN"/>
                    </w:rPr>
                    <w:t>涂料</w:t>
                  </w:r>
                </w:p>
              </w:tc>
              <w:tc>
                <w:tcPr>
                  <w:tcW w:w="1268" w:type="pct"/>
                  <w:tcBorders>
                    <w:tl2br w:val="nil"/>
                    <w:tr2bl w:val="nil"/>
                  </w:tcBorders>
                  <w:vAlign w:val="center"/>
                </w:tcPr>
                <w:p w14:paraId="2402E930">
                  <w:pPr>
                    <w:widowControl/>
                    <w:jc w:val="center"/>
                    <w:textAlignment w:val="center"/>
                    <w:rPr>
                      <w:rFonts w:hint="default"/>
                      <w:color w:val="auto"/>
                      <w:kern w:val="0"/>
                      <w:lang w:val="en-US" w:eastAsia="zh-CN"/>
                    </w:rPr>
                  </w:pPr>
                  <w:r>
                    <w:rPr>
                      <w:rFonts w:hint="eastAsia"/>
                      <w:color w:val="auto"/>
                      <w:kern w:val="0"/>
                      <w:lang w:val="en-US" w:eastAsia="zh-CN"/>
                    </w:rPr>
                    <w:t>2.5</w:t>
                  </w:r>
                </w:p>
              </w:tc>
              <w:tc>
                <w:tcPr>
                  <w:tcW w:w="1241" w:type="pct"/>
                  <w:tcBorders>
                    <w:tl2br w:val="nil"/>
                    <w:tr2bl w:val="nil"/>
                  </w:tcBorders>
                  <w:vAlign w:val="center"/>
                </w:tcPr>
                <w:p w14:paraId="274FBBC6">
                  <w:pPr>
                    <w:jc w:val="center"/>
                    <w:rPr>
                      <w:rFonts w:hint="eastAsia" w:eastAsia="宋体"/>
                      <w:color w:val="auto"/>
                      <w:kern w:val="0"/>
                      <w:lang w:val="en-US" w:eastAsia="zh-CN"/>
                    </w:rPr>
                  </w:pPr>
                  <w:r>
                    <w:rPr>
                      <w:rFonts w:hint="eastAsia"/>
                      <w:color w:val="auto"/>
                      <w:kern w:val="0"/>
                      <w:lang w:val="en-US" w:eastAsia="zh-CN"/>
                    </w:rPr>
                    <w:t>桶装</w:t>
                  </w:r>
                </w:p>
              </w:tc>
              <w:tc>
                <w:tcPr>
                  <w:tcW w:w="1132" w:type="pct"/>
                  <w:tcBorders>
                    <w:tl2br w:val="nil"/>
                    <w:tr2bl w:val="nil"/>
                  </w:tcBorders>
                  <w:vAlign w:val="center"/>
                </w:tcPr>
                <w:p w14:paraId="342545E1">
                  <w:pPr>
                    <w:tabs>
                      <w:tab w:val="left" w:pos="960"/>
                    </w:tabs>
                    <w:snapToGrid w:val="0"/>
                    <w:jc w:val="center"/>
                    <w:rPr>
                      <w:rFonts w:hint="eastAsia" w:eastAsia="宋体"/>
                      <w:color w:val="auto"/>
                      <w:kern w:val="0"/>
                      <w:lang w:val="en-US" w:eastAsia="zh-CN"/>
                    </w:rPr>
                  </w:pPr>
                  <w:r>
                    <w:rPr>
                      <w:rFonts w:hint="eastAsia"/>
                      <w:color w:val="auto"/>
                      <w:kern w:val="0"/>
                      <w:lang w:val="en-US" w:eastAsia="zh-CN"/>
                    </w:rPr>
                    <w:t>油漆仓库</w:t>
                  </w:r>
                </w:p>
              </w:tc>
            </w:tr>
            <w:tr w14:paraId="728FAF3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1357" w:type="pct"/>
                  <w:tcBorders>
                    <w:tl2br w:val="nil"/>
                    <w:tr2bl w:val="nil"/>
                  </w:tcBorders>
                  <w:vAlign w:val="center"/>
                </w:tcPr>
                <w:p w14:paraId="25CAA616">
                  <w:pPr>
                    <w:adjustRightInd w:val="0"/>
                    <w:snapToGrid w:val="0"/>
                    <w:jc w:val="center"/>
                    <w:rPr>
                      <w:rFonts w:hint="default"/>
                      <w:color w:val="auto"/>
                      <w:kern w:val="0"/>
                      <w:lang w:val="en-US" w:eastAsia="zh-CN"/>
                    </w:rPr>
                  </w:pPr>
                  <w:r>
                    <w:rPr>
                      <w:rFonts w:hint="eastAsia"/>
                      <w:color w:val="auto"/>
                      <w:kern w:val="0"/>
                      <w:lang w:val="en-US" w:eastAsia="zh-CN"/>
                    </w:rPr>
                    <w:t>稀释剂</w:t>
                  </w:r>
                </w:p>
              </w:tc>
              <w:tc>
                <w:tcPr>
                  <w:tcW w:w="1268" w:type="pct"/>
                  <w:tcBorders>
                    <w:tl2br w:val="nil"/>
                    <w:tr2bl w:val="nil"/>
                  </w:tcBorders>
                  <w:vAlign w:val="center"/>
                </w:tcPr>
                <w:p w14:paraId="3CACD4CE">
                  <w:pPr>
                    <w:widowControl/>
                    <w:jc w:val="center"/>
                    <w:textAlignment w:val="center"/>
                    <w:rPr>
                      <w:rFonts w:hint="default"/>
                      <w:color w:val="auto"/>
                      <w:kern w:val="0"/>
                      <w:lang w:val="en-US" w:eastAsia="zh-CN"/>
                    </w:rPr>
                  </w:pPr>
                  <w:r>
                    <w:rPr>
                      <w:rFonts w:hint="eastAsia"/>
                      <w:color w:val="auto"/>
                      <w:kern w:val="0"/>
                      <w:lang w:val="en-US" w:eastAsia="zh-CN"/>
                    </w:rPr>
                    <w:t>0.05</w:t>
                  </w:r>
                </w:p>
              </w:tc>
              <w:tc>
                <w:tcPr>
                  <w:tcW w:w="1241" w:type="pct"/>
                  <w:tcBorders>
                    <w:tl2br w:val="nil"/>
                    <w:tr2bl w:val="nil"/>
                  </w:tcBorders>
                  <w:vAlign w:val="center"/>
                </w:tcPr>
                <w:p w14:paraId="40E8B871">
                  <w:pPr>
                    <w:jc w:val="center"/>
                    <w:rPr>
                      <w:rFonts w:hint="default"/>
                      <w:color w:val="auto"/>
                      <w:kern w:val="0"/>
                      <w:lang w:val="en-US" w:eastAsia="zh-CN"/>
                    </w:rPr>
                  </w:pPr>
                  <w:r>
                    <w:rPr>
                      <w:rFonts w:hint="eastAsia"/>
                      <w:color w:val="auto"/>
                      <w:kern w:val="0"/>
                      <w:lang w:val="en-US" w:eastAsia="zh-CN"/>
                    </w:rPr>
                    <w:t>桶装</w:t>
                  </w:r>
                </w:p>
              </w:tc>
              <w:tc>
                <w:tcPr>
                  <w:tcW w:w="1132" w:type="pct"/>
                  <w:tcBorders>
                    <w:tl2br w:val="nil"/>
                    <w:tr2bl w:val="nil"/>
                  </w:tcBorders>
                  <w:vAlign w:val="center"/>
                </w:tcPr>
                <w:p w14:paraId="56B95DBD">
                  <w:pPr>
                    <w:tabs>
                      <w:tab w:val="left" w:pos="960"/>
                    </w:tabs>
                    <w:snapToGrid w:val="0"/>
                    <w:jc w:val="center"/>
                    <w:rPr>
                      <w:rFonts w:hint="default"/>
                      <w:color w:val="auto"/>
                      <w:kern w:val="0"/>
                      <w:lang w:val="en-US" w:eastAsia="zh-CN"/>
                    </w:rPr>
                  </w:pPr>
                  <w:r>
                    <w:rPr>
                      <w:rFonts w:hint="eastAsia"/>
                      <w:color w:val="auto"/>
                      <w:kern w:val="0"/>
                      <w:lang w:val="en-US" w:eastAsia="zh-CN"/>
                    </w:rPr>
                    <w:t>原材料区</w:t>
                  </w:r>
                </w:p>
              </w:tc>
            </w:tr>
            <w:tr w14:paraId="6365166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1357" w:type="pct"/>
                  <w:tcBorders>
                    <w:tl2br w:val="nil"/>
                    <w:tr2bl w:val="nil"/>
                  </w:tcBorders>
                  <w:vAlign w:val="center"/>
                </w:tcPr>
                <w:p w14:paraId="749124C1">
                  <w:pPr>
                    <w:adjustRightInd w:val="0"/>
                    <w:snapToGrid w:val="0"/>
                    <w:jc w:val="center"/>
                    <w:rPr>
                      <w:rFonts w:hint="eastAsia" w:eastAsia="宋体"/>
                      <w:color w:val="auto"/>
                      <w:kern w:val="0"/>
                      <w:lang w:eastAsia="zh-CN"/>
                    </w:rPr>
                  </w:pPr>
                  <w:r>
                    <w:rPr>
                      <w:rFonts w:hint="eastAsia"/>
                      <w:color w:val="auto"/>
                      <w:kern w:val="0"/>
                      <w:lang w:val="en-US" w:eastAsia="zh-CN"/>
                    </w:rPr>
                    <w:t>固化剂</w:t>
                  </w:r>
                </w:p>
              </w:tc>
              <w:tc>
                <w:tcPr>
                  <w:tcW w:w="1268" w:type="pct"/>
                  <w:tcBorders>
                    <w:tl2br w:val="nil"/>
                    <w:tr2bl w:val="nil"/>
                  </w:tcBorders>
                  <w:vAlign w:val="center"/>
                </w:tcPr>
                <w:p w14:paraId="5FB9B386">
                  <w:pPr>
                    <w:widowControl/>
                    <w:jc w:val="center"/>
                    <w:textAlignment w:val="center"/>
                    <w:rPr>
                      <w:rFonts w:hint="default" w:eastAsia="宋体"/>
                      <w:color w:val="auto"/>
                      <w:kern w:val="0"/>
                      <w:lang w:val="en-US" w:eastAsia="zh-CN"/>
                    </w:rPr>
                  </w:pPr>
                  <w:r>
                    <w:rPr>
                      <w:rFonts w:hint="eastAsia"/>
                      <w:color w:val="auto"/>
                      <w:kern w:val="0"/>
                      <w:lang w:val="en-US" w:eastAsia="zh-CN"/>
                    </w:rPr>
                    <w:t>0.2</w:t>
                  </w:r>
                </w:p>
              </w:tc>
              <w:tc>
                <w:tcPr>
                  <w:tcW w:w="1241" w:type="pct"/>
                  <w:tcBorders>
                    <w:tl2br w:val="nil"/>
                    <w:tr2bl w:val="nil"/>
                  </w:tcBorders>
                  <w:vAlign w:val="center"/>
                </w:tcPr>
                <w:p w14:paraId="66B19A94">
                  <w:pPr>
                    <w:jc w:val="center"/>
                    <w:rPr>
                      <w:color w:val="auto"/>
                      <w:kern w:val="0"/>
                    </w:rPr>
                  </w:pPr>
                  <w:r>
                    <w:rPr>
                      <w:rFonts w:hint="eastAsia"/>
                      <w:color w:val="auto"/>
                      <w:kern w:val="0"/>
                    </w:rPr>
                    <w:t>桶装</w:t>
                  </w:r>
                </w:p>
              </w:tc>
              <w:tc>
                <w:tcPr>
                  <w:tcW w:w="1132" w:type="pct"/>
                  <w:tcBorders>
                    <w:tl2br w:val="nil"/>
                    <w:tr2bl w:val="nil"/>
                  </w:tcBorders>
                  <w:vAlign w:val="center"/>
                </w:tcPr>
                <w:p w14:paraId="4180EF7C">
                  <w:pPr>
                    <w:tabs>
                      <w:tab w:val="left" w:pos="960"/>
                    </w:tabs>
                    <w:snapToGrid w:val="0"/>
                    <w:jc w:val="center"/>
                    <w:rPr>
                      <w:color w:val="auto"/>
                      <w:kern w:val="0"/>
                    </w:rPr>
                  </w:pPr>
                  <w:r>
                    <w:rPr>
                      <w:rFonts w:hint="eastAsia"/>
                      <w:color w:val="auto"/>
                      <w:kern w:val="0"/>
                      <w:lang w:val="en-US" w:eastAsia="zh-CN"/>
                    </w:rPr>
                    <w:t>原材料区</w:t>
                  </w:r>
                </w:p>
              </w:tc>
            </w:tr>
            <w:tr w14:paraId="5003D7A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1357" w:type="pct"/>
                  <w:tcBorders>
                    <w:tl2br w:val="nil"/>
                    <w:tr2bl w:val="nil"/>
                  </w:tcBorders>
                  <w:vAlign w:val="center"/>
                </w:tcPr>
                <w:p w14:paraId="6D0C6D46">
                  <w:pPr>
                    <w:pStyle w:val="698"/>
                    <w:rPr>
                      <w:rFonts w:eastAsia="宋体"/>
                      <w:bCs/>
                      <w:color w:val="auto"/>
                      <w:kern w:val="0"/>
                    </w:rPr>
                  </w:pPr>
                  <w:r>
                    <w:rPr>
                      <w:rFonts w:eastAsia="宋体"/>
                      <w:bCs/>
                      <w:color w:val="auto"/>
                      <w:kern w:val="0"/>
                    </w:rPr>
                    <w:t>危险废物</w:t>
                  </w:r>
                </w:p>
              </w:tc>
              <w:tc>
                <w:tcPr>
                  <w:tcW w:w="1268" w:type="pct"/>
                  <w:tcBorders>
                    <w:tl2br w:val="nil"/>
                    <w:tr2bl w:val="nil"/>
                  </w:tcBorders>
                  <w:vAlign w:val="center"/>
                </w:tcPr>
                <w:p w14:paraId="11F8EB41">
                  <w:pPr>
                    <w:widowControl/>
                    <w:jc w:val="center"/>
                    <w:textAlignment w:val="center"/>
                    <w:rPr>
                      <w:rFonts w:hint="default" w:eastAsia="宋体"/>
                      <w:color w:val="auto"/>
                      <w:kern w:val="0"/>
                      <w:lang w:val="en-US" w:eastAsia="zh-CN"/>
                    </w:rPr>
                  </w:pPr>
                  <w:r>
                    <w:rPr>
                      <w:rFonts w:hint="eastAsia"/>
                      <w:color w:val="auto"/>
                      <w:kern w:val="0"/>
                      <w:lang w:val="en-US" w:eastAsia="zh-CN"/>
                    </w:rPr>
                    <w:t>3.14</w:t>
                  </w:r>
                </w:p>
              </w:tc>
              <w:tc>
                <w:tcPr>
                  <w:tcW w:w="1241" w:type="pct"/>
                  <w:tcBorders>
                    <w:tl2br w:val="nil"/>
                    <w:tr2bl w:val="nil"/>
                  </w:tcBorders>
                  <w:vAlign w:val="center"/>
                </w:tcPr>
                <w:p w14:paraId="1606CDE7">
                  <w:pPr>
                    <w:jc w:val="center"/>
                    <w:rPr>
                      <w:rFonts w:hint="default" w:eastAsia="宋体"/>
                      <w:color w:val="auto"/>
                      <w:kern w:val="0"/>
                      <w:lang w:val="en-US" w:eastAsia="zh-CN"/>
                    </w:rPr>
                  </w:pPr>
                  <w:r>
                    <w:rPr>
                      <w:rFonts w:hint="eastAsia"/>
                      <w:color w:val="auto"/>
                      <w:kern w:val="0"/>
                    </w:rPr>
                    <w:t>袋装</w:t>
                  </w:r>
                  <w:r>
                    <w:rPr>
                      <w:rFonts w:hint="eastAsia"/>
                      <w:color w:val="auto"/>
                      <w:kern w:val="0"/>
                      <w:lang w:eastAsia="zh-CN"/>
                    </w:rPr>
                    <w:t>、</w:t>
                  </w:r>
                  <w:r>
                    <w:rPr>
                      <w:rFonts w:hint="eastAsia"/>
                      <w:color w:val="auto"/>
                      <w:kern w:val="0"/>
                      <w:lang w:val="en-US" w:eastAsia="zh-CN"/>
                    </w:rPr>
                    <w:t>桶装</w:t>
                  </w:r>
                </w:p>
              </w:tc>
              <w:tc>
                <w:tcPr>
                  <w:tcW w:w="1132" w:type="pct"/>
                  <w:tcBorders>
                    <w:tl2br w:val="nil"/>
                    <w:tr2bl w:val="nil"/>
                  </w:tcBorders>
                  <w:vAlign w:val="center"/>
                </w:tcPr>
                <w:p w14:paraId="4F541AD6">
                  <w:pPr>
                    <w:tabs>
                      <w:tab w:val="left" w:pos="960"/>
                    </w:tabs>
                    <w:snapToGrid w:val="0"/>
                    <w:jc w:val="center"/>
                    <w:rPr>
                      <w:bCs/>
                      <w:color w:val="auto"/>
                      <w:kern w:val="0"/>
                    </w:rPr>
                  </w:pPr>
                  <w:r>
                    <w:rPr>
                      <w:rFonts w:hint="eastAsia"/>
                      <w:bCs/>
                      <w:color w:val="auto"/>
                      <w:kern w:val="0"/>
                    </w:rPr>
                    <w:t>危废仓库</w:t>
                  </w:r>
                </w:p>
              </w:tc>
            </w:tr>
          </w:tbl>
          <w:p w14:paraId="56781EF7">
            <w:pPr>
              <w:pStyle w:val="24"/>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20" w:firstLineChars="200"/>
              <w:textAlignment w:val="auto"/>
              <w:rPr>
                <w:color w:val="auto"/>
                <w:sz w:val="21"/>
                <w:szCs w:val="21"/>
              </w:rPr>
            </w:pPr>
            <w:r>
              <w:rPr>
                <w:color w:val="auto"/>
                <w:sz w:val="21"/>
                <w:szCs w:val="21"/>
              </w:rPr>
              <w:fldChar w:fldCharType="begin"/>
            </w:r>
            <w:r>
              <w:rPr>
                <w:color w:val="auto"/>
                <w:sz w:val="21"/>
                <w:szCs w:val="21"/>
              </w:rPr>
              <w:instrText xml:space="preserve"> = 2 \* GB3 \* MERGEFORMAT </w:instrText>
            </w:r>
            <w:r>
              <w:rPr>
                <w:color w:val="auto"/>
                <w:sz w:val="21"/>
                <w:szCs w:val="21"/>
              </w:rPr>
              <w:fldChar w:fldCharType="separate"/>
            </w:r>
            <w:r>
              <w:rPr>
                <w:color w:val="auto"/>
                <w:sz w:val="21"/>
                <w:szCs w:val="21"/>
              </w:rPr>
              <w:t>②</w:t>
            </w:r>
            <w:r>
              <w:rPr>
                <w:color w:val="auto"/>
                <w:sz w:val="21"/>
                <w:szCs w:val="21"/>
              </w:rPr>
              <w:fldChar w:fldCharType="end"/>
            </w:r>
            <w:r>
              <w:rPr>
                <w:color w:val="auto"/>
                <w:sz w:val="21"/>
                <w:szCs w:val="21"/>
              </w:rPr>
              <w:t>生产系统危险性识别</w:t>
            </w:r>
          </w:p>
          <w:p w14:paraId="0D235092">
            <w:pPr>
              <w:pStyle w:val="24"/>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20" w:firstLineChars="200"/>
              <w:textAlignment w:val="auto"/>
              <w:rPr>
                <w:color w:val="auto"/>
                <w:sz w:val="21"/>
                <w:szCs w:val="21"/>
              </w:rPr>
            </w:pPr>
            <w:r>
              <w:rPr>
                <w:rFonts w:hint="eastAsia"/>
                <w:color w:val="auto"/>
                <w:sz w:val="21"/>
                <w:szCs w:val="21"/>
              </w:rPr>
              <w:t>项目生产工艺为</w:t>
            </w:r>
            <w:r>
              <w:rPr>
                <w:rFonts w:hint="eastAsia"/>
                <w:color w:val="auto"/>
                <w:sz w:val="21"/>
                <w:szCs w:val="21"/>
                <w:lang w:val="en-US" w:eastAsia="zh-CN"/>
              </w:rPr>
              <w:t>喷砂、喷锌、喷漆</w:t>
            </w:r>
            <w:r>
              <w:rPr>
                <w:rFonts w:hint="eastAsia"/>
                <w:color w:val="auto"/>
                <w:sz w:val="21"/>
                <w:szCs w:val="21"/>
              </w:rPr>
              <w:t>等。</w:t>
            </w:r>
          </w:p>
          <w:p w14:paraId="0F7C8365">
            <w:pPr>
              <w:pStyle w:val="24"/>
              <w:spacing w:after="0"/>
              <w:ind w:left="0" w:leftChars="0"/>
              <w:jc w:val="center"/>
              <w:rPr>
                <w:color w:val="auto"/>
                <w:sz w:val="21"/>
                <w:szCs w:val="21"/>
              </w:rPr>
            </w:pPr>
            <w:r>
              <w:rPr>
                <w:b/>
                <w:color w:val="auto"/>
                <w:sz w:val="21"/>
                <w:szCs w:val="21"/>
              </w:rPr>
              <w:t>表4-</w:t>
            </w:r>
            <w:r>
              <w:rPr>
                <w:rFonts w:hint="eastAsia"/>
                <w:b/>
                <w:color w:val="auto"/>
                <w:sz w:val="21"/>
                <w:szCs w:val="21"/>
                <w:lang w:val="en-US" w:eastAsia="zh-CN"/>
              </w:rPr>
              <w:t>28</w:t>
            </w:r>
            <w:r>
              <w:rPr>
                <w:rFonts w:hint="eastAsia"/>
                <w:b/>
                <w:color w:val="auto"/>
                <w:sz w:val="21"/>
                <w:szCs w:val="21"/>
              </w:rPr>
              <w:t xml:space="preserve">   </w:t>
            </w:r>
            <w:r>
              <w:rPr>
                <w:b/>
                <w:color w:val="auto"/>
                <w:sz w:val="21"/>
                <w:szCs w:val="21"/>
              </w:rPr>
              <w:t>生产系统危险性识别</w:t>
            </w:r>
          </w:p>
          <w:tbl>
            <w:tblPr>
              <w:tblStyle w:val="59"/>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5694"/>
              <w:gridCol w:w="3167"/>
            </w:tblGrid>
            <w:tr w14:paraId="4896D2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blHeader/>
              </w:trPr>
              <w:tc>
                <w:tcPr>
                  <w:tcW w:w="3213" w:type="pct"/>
                  <w:vAlign w:val="center"/>
                </w:tcPr>
                <w:p w14:paraId="41B1EB1F">
                  <w:pPr>
                    <w:adjustRightInd w:val="0"/>
                    <w:snapToGrid w:val="0"/>
                    <w:jc w:val="center"/>
                    <w:rPr>
                      <w:b/>
                      <w:color w:val="auto"/>
                      <w:kern w:val="0"/>
                    </w:rPr>
                  </w:pPr>
                  <w:r>
                    <w:rPr>
                      <w:b/>
                      <w:color w:val="auto"/>
                      <w:kern w:val="0"/>
                    </w:rPr>
                    <w:t>评估依据</w:t>
                  </w:r>
                </w:p>
              </w:tc>
              <w:tc>
                <w:tcPr>
                  <w:tcW w:w="1786" w:type="pct"/>
                  <w:vAlign w:val="center"/>
                </w:tcPr>
                <w:p w14:paraId="31BD6AC8">
                  <w:pPr>
                    <w:adjustRightInd w:val="0"/>
                    <w:snapToGrid w:val="0"/>
                    <w:jc w:val="center"/>
                    <w:rPr>
                      <w:b/>
                      <w:color w:val="auto"/>
                      <w:kern w:val="0"/>
                    </w:rPr>
                  </w:pPr>
                  <w:r>
                    <w:rPr>
                      <w:b/>
                      <w:color w:val="auto"/>
                      <w:kern w:val="0"/>
                    </w:rPr>
                    <w:t>本企业情况</w:t>
                  </w:r>
                </w:p>
              </w:tc>
            </w:tr>
            <w:tr w14:paraId="13CCBC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213" w:type="pct"/>
                  <w:vAlign w:val="center"/>
                </w:tcPr>
                <w:p w14:paraId="29681454">
                  <w:pPr>
                    <w:adjustRightInd w:val="0"/>
                    <w:snapToGrid w:val="0"/>
                    <w:jc w:val="center"/>
                    <w:rPr>
                      <w:color w:val="auto"/>
                      <w:kern w:val="0"/>
                    </w:rPr>
                  </w:pPr>
                  <w:r>
                    <w:rPr>
                      <w:color w:val="auto"/>
                      <w:kern w:val="0"/>
                    </w:rPr>
                    <w:t>涉及光气及光气化工艺、电解工艺（氯碱）、氯化工艺、硝化工艺、合成氨工艺、裂解（裂化）工艺、氟化工艺、加氢工艺、重氮化工艺、氧化工艺、过氧化工艺、胺基化工艺、磺化工艺、聚合工艺、烷基化工艺、新型煤化工工艺、电石生产工艺、偶氮化工艺</w:t>
                  </w:r>
                </w:p>
              </w:tc>
              <w:tc>
                <w:tcPr>
                  <w:tcW w:w="1786" w:type="pct"/>
                  <w:vAlign w:val="center"/>
                </w:tcPr>
                <w:p w14:paraId="3DABA781">
                  <w:pPr>
                    <w:adjustRightInd w:val="0"/>
                    <w:snapToGrid w:val="0"/>
                    <w:jc w:val="center"/>
                    <w:rPr>
                      <w:color w:val="auto"/>
                      <w:kern w:val="0"/>
                    </w:rPr>
                  </w:pPr>
                  <w:r>
                    <w:rPr>
                      <w:color w:val="auto"/>
                      <w:kern w:val="0"/>
                    </w:rPr>
                    <w:t>不涉及上述工艺</w:t>
                  </w:r>
                </w:p>
              </w:tc>
            </w:tr>
            <w:tr w14:paraId="4F8339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213" w:type="pct"/>
                  <w:vAlign w:val="center"/>
                </w:tcPr>
                <w:p w14:paraId="7A8BB42B">
                  <w:pPr>
                    <w:adjustRightInd w:val="0"/>
                    <w:snapToGrid w:val="0"/>
                    <w:jc w:val="center"/>
                    <w:rPr>
                      <w:color w:val="auto"/>
                      <w:kern w:val="0"/>
                    </w:rPr>
                  </w:pPr>
                  <w:r>
                    <w:rPr>
                      <w:color w:val="auto"/>
                      <w:kern w:val="0"/>
                    </w:rPr>
                    <w:t>其他高温或高压、涉及易燃易爆等物质的工艺过程</w:t>
                  </w:r>
                  <w:r>
                    <w:rPr>
                      <w:color w:val="auto"/>
                      <w:kern w:val="0"/>
                      <w:vertAlign w:val="superscript"/>
                    </w:rPr>
                    <w:t>a</w:t>
                  </w:r>
                </w:p>
              </w:tc>
              <w:tc>
                <w:tcPr>
                  <w:tcW w:w="1786" w:type="pct"/>
                  <w:vAlign w:val="center"/>
                </w:tcPr>
                <w:p w14:paraId="4050A815">
                  <w:pPr>
                    <w:adjustRightInd w:val="0"/>
                    <w:snapToGrid w:val="0"/>
                    <w:jc w:val="center"/>
                    <w:rPr>
                      <w:color w:val="auto"/>
                      <w:kern w:val="0"/>
                    </w:rPr>
                  </w:pPr>
                  <w:r>
                    <w:rPr>
                      <w:color w:val="auto"/>
                      <w:kern w:val="0"/>
                    </w:rPr>
                    <w:t>不涉及上述工艺</w:t>
                  </w:r>
                </w:p>
              </w:tc>
            </w:tr>
            <w:tr w14:paraId="1B604F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213" w:type="pct"/>
                  <w:vAlign w:val="center"/>
                </w:tcPr>
                <w:p w14:paraId="55320B16">
                  <w:pPr>
                    <w:adjustRightInd w:val="0"/>
                    <w:snapToGrid w:val="0"/>
                    <w:jc w:val="center"/>
                    <w:rPr>
                      <w:color w:val="auto"/>
                      <w:kern w:val="0"/>
                    </w:rPr>
                  </w:pPr>
                  <w:r>
                    <w:rPr>
                      <w:color w:val="auto"/>
                      <w:kern w:val="0"/>
                    </w:rPr>
                    <w:t>具有国家规定限期淘汰的工艺名录和设备</w:t>
                  </w:r>
                  <w:r>
                    <w:rPr>
                      <w:color w:val="auto"/>
                      <w:kern w:val="0"/>
                      <w:vertAlign w:val="superscript"/>
                    </w:rPr>
                    <w:t>b</w:t>
                  </w:r>
                </w:p>
              </w:tc>
              <w:tc>
                <w:tcPr>
                  <w:tcW w:w="1786" w:type="pct"/>
                  <w:vAlign w:val="center"/>
                </w:tcPr>
                <w:p w14:paraId="51FF0B9D">
                  <w:pPr>
                    <w:adjustRightInd w:val="0"/>
                    <w:snapToGrid w:val="0"/>
                    <w:jc w:val="center"/>
                    <w:rPr>
                      <w:color w:val="auto"/>
                      <w:kern w:val="0"/>
                    </w:rPr>
                  </w:pPr>
                  <w:r>
                    <w:rPr>
                      <w:color w:val="auto"/>
                      <w:kern w:val="0"/>
                    </w:rPr>
                    <w:t>不属于淘汰行业，无淘汰设备</w:t>
                  </w:r>
                </w:p>
              </w:tc>
            </w:tr>
            <w:tr w14:paraId="21B429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213" w:type="pct"/>
                  <w:vAlign w:val="center"/>
                </w:tcPr>
                <w:p w14:paraId="58EE927C">
                  <w:pPr>
                    <w:adjustRightInd w:val="0"/>
                    <w:snapToGrid w:val="0"/>
                    <w:jc w:val="center"/>
                    <w:rPr>
                      <w:color w:val="auto"/>
                      <w:kern w:val="0"/>
                    </w:rPr>
                  </w:pPr>
                  <w:r>
                    <w:rPr>
                      <w:color w:val="auto"/>
                      <w:kern w:val="0"/>
                    </w:rPr>
                    <w:t>不涉及以上危险工艺过程或国家规定的禁用工艺/设备</w:t>
                  </w:r>
                </w:p>
              </w:tc>
              <w:tc>
                <w:tcPr>
                  <w:tcW w:w="1786" w:type="pct"/>
                  <w:vAlign w:val="center"/>
                </w:tcPr>
                <w:p w14:paraId="2819500E">
                  <w:pPr>
                    <w:adjustRightInd w:val="0"/>
                    <w:snapToGrid w:val="0"/>
                    <w:jc w:val="center"/>
                    <w:rPr>
                      <w:color w:val="auto"/>
                      <w:kern w:val="0"/>
                    </w:rPr>
                  </w:pPr>
                  <w:r>
                    <w:rPr>
                      <w:rFonts w:hint="eastAsia"/>
                      <w:color w:val="auto"/>
                      <w:kern w:val="0"/>
                    </w:rPr>
                    <w:t>/</w:t>
                  </w:r>
                </w:p>
              </w:tc>
            </w:tr>
            <w:tr w14:paraId="572FB1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000" w:type="pct"/>
                  <w:gridSpan w:val="2"/>
                  <w:vAlign w:val="center"/>
                </w:tcPr>
                <w:p w14:paraId="7115BDC6">
                  <w:pPr>
                    <w:adjustRightInd w:val="0"/>
                    <w:snapToGrid w:val="0"/>
                    <w:rPr>
                      <w:color w:val="auto"/>
                      <w:kern w:val="0"/>
                    </w:rPr>
                  </w:pPr>
                  <w:r>
                    <w:rPr>
                      <w:b/>
                      <w:color w:val="auto"/>
                      <w:kern w:val="0"/>
                      <w:lang w:val="zh-CN"/>
                    </w:rPr>
                    <w:t>注：a高温指工艺温度≥300℃，高压指压力容器的设计压力（p）≥10.0MPa，易燃易爆等物质是指按照GB30000.2至GB30000.13所确定的化学物质；b指《产业结构调整指导目录》（最新年本）中有淘汰期限的淘汰类落后生产工艺装备。</w:t>
                  </w:r>
                </w:p>
              </w:tc>
            </w:tr>
          </w:tbl>
          <w:p w14:paraId="276C075E">
            <w:pPr>
              <w:adjustRightInd w:val="0"/>
              <w:snapToGrid w:val="0"/>
              <w:spacing w:line="360" w:lineRule="auto"/>
              <w:ind w:firstLine="420" w:firstLineChars="200"/>
              <w:rPr>
                <w:color w:val="auto"/>
                <w:kern w:val="0"/>
              </w:rPr>
            </w:pPr>
            <w:r>
              <w:rPr>
                <w:rFonts w:hint="eastAsia"/>
                <w:color w:val="auto"/>
                <w:kern w:val="0"/>
              </w:rPr>
              <w:t>③风险潜势初判</w:t>
            </w:r>
          </w:p>
          <w:p w14:paraId="1F977980">
            <w:pPr>
              <w:spacing w:line="360" w:lineRule="auto"/>
              <w:ind w:firstLine="420" w:firstLineChars="200"/>
              <w:rPr>
                <w:color w:val="auto"/>
                <w:kern w:val="0"/>
              </w:rPr>
            </w:pPr>
            <w:r>
              <w:rPr>
                <w:rFonts w:hint="eastAsia"/>
                <w:color w:val="auto"/>
                <w:kern w:val="0"/>
              </w:rPr>
              <w:t>根据《建设项目环境风险评价技术导则》（HJ 169-2018）附表C.1.1，计算所涉及的每种危险物质在厂界内的最大存在总量与其在附录B中对应临界量的比值Q。当只涉及一种危险物质时，计算该物质的总量与其临界量比值，即为Q；当存在多种危险物质时，则按式（C.1）计算物质总量与其临界量比值（Q）：</w:t>
            </w:r>
          </w:p>
          <w:p w14:paraId="3CCD38F8">
            <w:pPr>
              <w:adjustRightInd w:val="0"/>
              <w:snapToGrid w:val="0"/>
              <w:spacing w:line="360" w:lineRule="auto"/>
              <w:jc w:val="center"/>
              <w:rPr>
                <w:color w:val="auto"/>
                <w:kern w:val="0"/>
              </w:rPr>
            </w:pPr>
            <w:r>
              <w:rPr>
                <w:color w:val="auto"/>
                <w:kern w:val="0"/>
              </w:rPr>
              <w:drawing>
                <wp:inline distT="0" distB="0" distL="114300" distR="114300">
                  <wp:extent cx="3476625" cy="533400"/>
                  <wp:effectExtent l="0" t="0" r="9525" b="0"/>
                  <wp:docPr id="1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0"/>
                          <pic:cNvPicPr>
                            <a:picLocks noChangeAspect="1"/>
                          </pic:cNvPicPr>
                        </pic:nvPicPr>
                        <pic:blipFill>
                          <a:blip r:embed="rId38"/>
                          <a:stretch>
                            <a:fillRect/>
                          </a:stretch>
                        </pic:blipFill>
                        <pic:spPr>
                          <a:xfrm>
                            <a:off x="0" y="0"/>
                            <a:ext cx="3476625" cy="533400"/>
                          </a:xfrm>
                          <a:prstGeom prst="rect">
                            <a:avLst/>
                          </a:prstGeom>
                          <a:noFill/>
                          <a:ln>
                            <a:noFill/>
                          </a:ln>
                        </pic:spPr>
                      </pic:pic>
                    </a:graphicData>
                  </a:graphic>
                </wp:inline>
              </w:drawing>
            </w:r>
          </w:p>
          <w:p w14:paraId="4252ED13">
            <w:pPr>
              <w:spacing w:line="360" w:lineRule="auto"/>
              <w:ind w:firstLine="420" w:firstLineChars="200"/>
              <w:rPr>
                <w:color w:val="auto"/>
                <w:kern w:val="0"/>
              </w:rPr>
            </w:pPr>
            <w:r>
              <w:rPr>
                <w:color w:val="auto"/>
                <w:kern w:val="0"/>
              </w:rPr>
              <w:t>式中：q1，q2，...，qn——每种危险物质的最大存在总量，t；</w:t>
            </w:r>
          </w:p>
          <w:p w14:paraId="59F2365D">
            <w:pPr>
              <w:spacing w:line="360" w:lineRule="auto"/>
              <w:ind w:firstLine="420" w:firstLineChars="200"/>
              <w:rPr>
                <w:color w:val="auto"/>
                <w:kern w:val="0"/>
              </w:rPr>
            </w:pPr>
            <w:r>
              <w:rPr>
                <w:color w:val="auto"/>
                <w:kern w:val="0"/>
              </w:rPr>
              <w:t>Q1，Q2，...，Qn——每种危险物质的临界量，t。</w:t>
            </w:r>
          </w:p>
          <w:p w14:paraId="6A08CFDE">
            <w:pPr>
              <w:spacing w:line="360" w:lineRule="auto"/>
              <w:ind w:firstLine="420" w:firstLineChars="200"/>
              <w:rPr>
                <w:color w:val="auto"/>
                <w:kern w:val="0"/>
              </w:rPr>
            </w:pPr>
            <w:r>
              <w:rPr>
                <w:color w:val="auto"/>
                <w:kern w:val="0"/>
              </w:rPr>
              <w:t>当Q＜1时，该项目环境风险潜势为I。</w:t>
            </w:r>
          </w:p>
          <w:p w14:paraId="0AA25AAC">
            <w:pPr>
              <w:spacing w:line="360" w:lineRule="auto"/>
              <w:ind w:firstLine="420" w:firstLineChars="200"/>
              <w:rPr>
                <w:color w:val="auto"/>
                <w:kern w:val="0"/>
              </w:rPr>
            </w:pPr>
            <w:r>
              <w:rPr>
                <w:color w:val="auto"/>
                <w:kern w:val="0"/>
              </w:rPr>
              <w:t>当Q≥1时，将Q值划分为：（1）1≤Q＜10；（2）10≤Q＜100；（3）Q≥100。</w:t>
            </w:r>
          </w:p>
          <w:p w14:paraId="6246789E">
            <w:pPr>
              <w:pStyle w:val="663"/>
              <w:spacing w:line="360" w:lineRule="auto"/>
              <w:ind w:firstLine="420" w:firstLineChars="200"/>
              <w:jc w:val="left"/>
              <w:rPr>
                <w:b w:val="0"/>
                <w:bCs w:val="0"/>
                <w:color w:val="auto"/>
                <w:kern w:val="0"/>
              </w:rPr>
            </w:pPr>
            <w:r>
              <w:rPr>
                <w:rFonts w:hint="eastAsia"/>
                <w:b w:val="0"/>
                <w:bCs w:val="0"/>
                <w:color w:val="auto"/>
                <w:kern w:val="0"/>
              </w:rPr>
              <w:t>根据HJ 169-2018附表B，项目涉及的主要危险物质数量与临界量比值（Q）见下表。</w:t>
            </w:r>
          </w:p>
          <w:p w14:paraId="5673ED2B">
            <w:pPr>
              <w:adjustRightInd w:val="0"/>
              <w:snapToGrid w:val="0"/>
              <w:jc w:val="center"/>
              <w:rPr>
                <w:b/>
                <w:color w:val="auto"/>
                <w:kern w:val="0"/>
              </w:rPr>
            </w:pPr>
            <w:r>
              <w:rPr>
                <w:b/>
                <w:color w:val="auto"/>
                <w:kern w:val="0"/>
              </w:rPr>
              <w:t>表4-</w:t>
            </w:r>
            <w:r>
              <w:rPr>
                <w:rFonts w:hint="eastAsia"/>
                <w:b/>
                <w:color w:val="auto"/>
                <w:kern w:val="0"/>
                <w:lang w:val="en-US" w:eastAsia="zh-CN"/>
              </w:rPr>
              <w:t>29</w:t>
            </w:r>
            <w:r>
              <w:rPr>
                <w:b/>
                <w:color w:val="auto"/>
                <w:kern w:val="0"/>
              </w:rPr>
              <w:t xml:space="preserve">   涉及危险物质Q值计算</w:t>
            </w:r>
          </w:p>
          <w:tbl>
            <w:tblPr>
              <w:tblStyle w:val="59"/>
              <w:tblW w:w="5000"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0" w:type="dxa"/>
                <w:bottom w:w="0" w:type="dxa"/>
                <w:right w:w="0" w:type="dxa"/>
              </w:tblCellMar>
            </w:tblPr>
            <w:tblGrid>
              <w:gridCol w:w="1560"/>
              <w:gridCol w:w="1656"/>
              <w:gridCol w:w="1072"/>
              <w:gridCol w:w="1312"/>
              <w:gridCol w:w="1772"/>
              <w:gridCol w:w="1489"/>
            </w:tblGrid>
            <w:tr w14:paraId="24CDC9A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PrEx>
              <w:trPr>
                <w:jc w:val="center"/>
              </w:trPr>
              <w:tc>
                <w:tcPr>
                  <w:tcW w:w="880" w:type="pct"/>
                  <w:tcBorders>
                    <w:tl2br w:val="nil"/>
                    <w:tr2bl w:val="nil"/>
                  </w:tcBorders>
                  <w:vAlign w:val="center"/>
                </w:tcPr>
                <w:p w14:paraId="54DD53A8">
                  <w:pPr>
                    <w:tabs>
                      <w:tab w:val="left" w:pos="960"/>
                    </w:tabs>
                    <w:snapToGrid w:val="0"/>
                    <w:jc w:val="center"/>
                    <w:rPr>
                      <w:b/>
                      <w:bCs/>
                      <w:color w:val="auto"/>
                      <w:kern w:val="0"/>
                    </w:rPr>
                  </w:pPr>
                  <w:r>
                    <w:rPr>
                      <w:b/>
                      <w:bCs/>
                      <w:color w:val="auto"/>
                      <w:kern w:val="0"/>
                    </w:rPr>
                    <w:t>名称</w:t>
                  </w:r>
                </w:p>
              </w:tc>
              <w:tc>
                <w:tcPr>
                  <w:tcW w:w="934" w:type="pct"/>
                  <w:tcBorders>
                    <w:tl2br w:val="nil"/>
                    <w:tr2bl w:val="nil"/>
                  </w:tcBorders>
                  <w:vAlign w:val="center"/>
                </w:tcPr>
                <w:p w14:paraId="32FAB325">
                  <w:pPr>
                    <w:tabs>
                      <w:tab w:val="left" w:pos="960"/>
                    </w:tabs>
                    <w:snapToGrid w:val="0"/>
                    <w:jc w:val="center"/>
                    <w:rPr>
                      <w:b/>
                      <w:bCs/>
                      <w:color w:val="auto"/>
                      <w:kern w:val="0"/>
                    </w:rPr>
                  </w:pPr>
                  <w:r>
                    <w:rPr>
                      <w:b/>
                      <w:bCs/>
                      <w:color w:val="auto"/>
                      <w:kern w:val="0"/>
                    </w:rPr>
                    <w:t>最大存储量/t</w:t>
                  </w:r>
                </w:p>
              </w:tc>
              <w:tc>
                <w:tcPr>
                  <w:tcW w:w="604" w:type="pct"/>
                  <w:tcBorders>
                    <w:tl2br w:val="nil"/>
                    <w:tr2bl w:val="nil"/>
                  </w:tcBorders>
                  <w:vAlign w:val="center"/>
                </w:tcPr>
                <w:p w14:paraId="2A43F8A1">
                  <w:pPr>
                    <w:tabs>
                      <w:tab w:val="left" w:pos="960"/>
                    </w:tabs>
                    <w:snapToGrid w:val="0"/>
                    <w:jc w:val="center"/>
                    <w:rPr>
                      <w:b/>
                      <w:bCs/>
                      <w:color w:val="auto"/>
                      <w:kern w:val="0"/>
                    </w:rPr>
                  </w:pPr>
                  <w:r>
                    <w:rPr>
                      <w:b/>
                      <w:bCs/>
                      <w:color w:val="auto"/>
                      <w:kern w:val="0"/>
                    </w:rPr>
                    <w:t>临界量/t</w:t>
                  </w:r>
                </w:p>
              </w:tc>
              <w:tc>
                <w:tcPr>
                  <w:tcW w:w="740" w:type="pct"/>
                  <w:tcBorders>
                    <w:tl2br w:val="nil"/>
                    <w:tr2bl w:val="nil"/>
                  </w:tcBorders>
                  <w:vAlign w:val="center"/>
                </w:tcPr>
                <w:p w14:paraId="10AA8CF4">
                  <w:pPr>
                    <w:tabs>
                      <w:tab w:val="left" w:pos="960"/>
                    </w:tabs>
                    <w:snapToGrid w:val="0"/>
                    <w:jc w:val="center"/>
                    <w:rPr>
                      <w:b/>
                      <w:bCs/>
                      <w:color w:val="auto"/>
                      <w:kern w:val="0"/>
                    </w:rPr>
                  </w:pPr>
                  <w:r>
                    <w:rPr>
                      <w:b/>
                      <w:bCs/>
                      <w:color w:val="auto"/>
                      <w:kern w:val="0"/>
                    </w:rPr>
                    <w:t>Q值</w:t>
                  </w:r>
                </w:p>
              </w:tc>
              <w:tc>
                <w:tcPr>
                  <w:tcW w:w="999" w:type="pct"/>
                  <w:tcBorders>
                    <w:tl2br w:val="nil"/>
                    <w:tr2bl w:val="nil"/>
                  </w:tcBorders>
                  <w:vAlign w:val="center"/>
                </w:tcPr>
                <w:p w14:paraId="6836C4DB">
                  <w:pPr>
                    <w:tabs>
                      <w:tab w:val="left" w:pos="960"/>
                    </w:tabs>
                    <w:snapToGrid w:val="0"/>
                    <w:jc w:val="center"/>
                    <w:rPr>
                      <w:b/>
                      <w:bCs/>
                      <w:color w:val="auto"/>
                      <w:kern w:val="0"/>
                    </w:rPr>
                  </w:pPr>
                  <w:r>
                    <w:rPr>
                      <w:b/>
                      <w:bCs/>
                      <w:color w:val="auto"/>
                      <w:kern w:val="0"/>
                    </w:rPr>
                    <w:t>储存方式</w:t>
                  </w:r>
                </w:p>
              </w:tc>
              <w:tc>
                <w:tcPr>
                  <w:tcW w:w="840" w:type="pct"/>
                  <w:tcBorders>
                    <w:tl2br w:val="nil"/>
                    <w:tr2bl w:val="nil"/>
                  </w:tcBorders>
                  <w:vAlign w:val="center"/>
                </w:tcPr>
                <w:p w14:paraId="243EF5EB">
                  <w:pPr>
                    <w:tabs>
                      <w:tab w:val="left" w:pos="960"/>
                    </w:tabs>
                    <w:snapToGrid w:val="0"/>
                    <w:jc w:val="center"/>
                    <w:rPr>
                      <w:b/>
                      <w:bCs/>
                      <w:color w:val="auto"/>
                      <w:kern w:val="0"/>
                    </w:rPr>
                  </w:pPr>
                  <w:r>
                    <w:rPr>
                      <w:b/>
                      <w:bCs/>
                      <w:color w:val="auto"/>
                      <w:kern w:val="0"/>
                    </w:rPr>
                    <w:t>储存位置</w:t>
                  </w:r>
                </w:p>
              </w:tc>
            </w:tr>
            <w:tr w14:paraId="2AA8446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1560" w:type="dxa"/>
                  <w:tcBorders>
                    <w:tl2br w:val="nil"/>
                    <w:tr2bl w:val="nil"/>
                  </w:tcBorders>
                  <w:vAlign w:val="center"/>
                </w:tcPr>
                <w:p w14:paraId="2B7B5368">
                  <w:pPr>
                    <w:adjustRightInd w:val="0"/>
                    <w:snapToGrid w:val="0"/>
                    <w:jc w:val="center"/>
                    <w:rPr>
                      <w:rFonts w:hint="eastAsia" w:eastAsia="宋体"/>
                      <w:color w:val="auto"/>
                      <w:kern w:val="0"/>
                      <w:lang w:eastAsia="zh-CN"/>
                    </w:rPr>
                  </w:pPr>
                  <w:r>
                    <w:rPr>
                      <w:rFonts w:hint="eastAsia"/>
                      <w:color w:val="auto"/>
                      <w:kern w:val="0"/>
                      <w:lang w:val="en-US" w:eastAsia="zh-CN"/>
                    </w:rPr>
                    <w:t>涂料</w:t>
                  </w:r>
                </w:p>
              </w:tc>
              <w:tc>
                <w:tcPr>
                  <w:tcW w:w="1656" w:type="dxa"/>
                  <w:tcBorders>
                    <w:tl2br w:val="nil"/>
                    <w:tr2bl w:val="nil"/>
                  </w:tcBorders>
                  <w:vAlign w:val="center"/>
                </w:tcPr>
                <w:p w14:paraId="58135102">
                  <w:pPr>
                    <w:widowControl/>
                    <w:jc w:val="center"/>
                    <w:textAlignment w:val="center"/>
                    <w:rPr>
                      <w:rFonts w:hint="default" w:eastAsia="宋体"/>
                      <w:color w:val="auto"/>
                      <w:kern w:val="0"/>
                      <w:lang w:val="en-US" w:eastAsia="zh-CN"/>
                    </w:rPr>
                  </w:pPr>
                  <w:r>
                    <w:rPr>
                      <w:rFonts w:hint="eastAsia"/>
                      <w:color w:val="auto"/>
                      <w:kern w:val="0"/>
                      <w:lang w:val="en-US" w:eastAsia="zh-CN"/>
                    </w:rPr>
                    <w:t>2.5</w:t>
                  </w:r>
                </w:p>
              </w:tc>
              <w:tc>
                <w:tcPr>
                  <w:tcW w:w="604" w:type="pct"/>
                  <w:tcBorders>
                    <w:tl2br w:val="nil"/>
                    <w:tr2bl w:val="nil"/>
                  </w:tcBorders>
                  <w:vAlign w:val="center"/>
                </w:tcPr>
                <w:p w14:paraId="67C0E43D">
                  <w:pPr>
                    <w:widowControl/>
                    <w:jc w:val="center"/>
                    <w:textAlignment w:val="center"/>
                    <w:rPr>
                      <w:color w:val="auto"/>
                      <w:kern w:val="0"/>
                      <w:lang w:bidi="ar"/>
                    </w:rPr>
                  </w:pPr>
                  <w:r>
                    <w:rPr>
                      <w:rFonts w:hint="eastAsia"/>
                      <w:color w:val="auto"/>
                      <w:kern w:val="0"/>
                      <w:lang w:bidi="ar"/>
                    </w:rPr>
                    <w:t>50</w:t>
                  </w:r>
                </w:p>
              </w:tc>
              <w:tc>
                <w:tcPr>
                  <w:tcW w:w="1312" w:type="dxa"/>
                  <w:tcBorders>
                    <w:tl2br w:val="nil"/>
                    <w:tr2bl w:val="nil"/>
                  </w:tcBorders>
                  <w:vAlign w:val="center"/>
                </w:tcPr>
                <w:p w14:paraId="310A3E98">
                  <w:pPr>
                    <w:widowControl/>
                    <w:jc w:val="center"/>
                    <w:textAlignment w:val="center"/>
                    <w:rPr>
                      <w:rFonts w:hint="eastAsia" w:ascii="Times New Roman" w:hAnsi="Times New Roman" w:eastAsia="宋体" w:cs="Times New Roman"/>
                      <w:color w:val="auto"/>
                      <w:kern w:val="0"/>
                      <w:lang w:val="en-US" w:eastAsia="zh-CN" w:bidi="ar"/>
                    </w:rPr>
                  </w:pPr>
                  <w:r>
                    <w:rPr>
                      <w:rFonts w:hint="eastAsia" w:ascii="Times New Roman" w:hAnsi="Times New Roman" w:eastAsia="宋体" w:cs="Times New Roman"/>
                      <w:color w:val="auto"/>
                      <w:kern w:val="0"/>
                      <w:lang w:val="en-US" w:eastAsia="zh-CN" w:bidi="ar"/>
                    </w:rPr>
                    <w:t>0.05</w:t>
                  </w:r>
                </w:p>
              </w:tc>
              <w:tc>
                <w:tcPr>
                  <w:tcW w:w="999" w:type="pct"/>
                  <w:tcBorders>
                    <w:tl2br w:val="nil"/>
                    <w:tr2bl w:val="nil"/>
                  </w:tcBorders>
                  <w:vAlign w:val="center"/>
                </w:tcPr>
                <w:p w14:paraId="64382E05">
                  <w:pPr>
                    <w:jc w:val="center"/>
                    <w:rPr>
                      <w:color w:val="auto"/>
                      <w:kern w:val="0"/>
                    </w:rPr>
                  </w:pPr>
                  <w:r>
                    <w:rPr>
                      <w:rFonts w:hint="eastAsia"/>
                      <w:color w:val="auto"/>
                      <w:kern w:val="0"/>
                    </w:rPr>
                    <w:t>桶装</w:t>
                  </w:r>
                </w:p>
              </w:tc>
              <w:tc>
                <w:tcPr>
                  <w:tcW w:w="840" w:type="pct"/>
                  <w:tcBorders>
                    <w:tl2br w:val="nil"/>
                    <w:tr2bl w:val="nil"/>
                  </w:tcBorders>
                  <w:vAlign w:val="center"/>
                </w:tcPr>
                <w:p w14:paraId="10A1E620">
                  <w:pPr>
                    <w:tabs>
                      <w:tab w:val="left" w:pos="960"/>
                    </w:tabs>
                    <w:snapToGrid w:val="0"/>
                    <w:jc w:val="center"/>
                    <w:rPr>
                      <w:color w:val="auto"/>
                      <w:kern w:val="0"/>
                    </w:rPr>
                  </w:pPr>
                  <w:r>
                    <w:rPr>
                      <w:rFonts w:hint="eastAsia"/>
                      <w:color w:val="auto"/>
                      <w:kern w:val="0"/>
                      <w:lang w:val="en-US" w:eastAsia="zh-CN"/>
                    </w:rPr>
                    <w:t>油漆</w:t>
                  </w:r>
                  <w:r>
                    <w:rPr>
                      <w:rFonts w:hint="eastAsia"/>
                      <w:color w:val="auto"/>
                      <w:kern w:val="0"/>
                    </w:rPr>
                    <w:t>仓库</w:t>
                  </w:r>
                </w:p>
              </w:tc>
            </w:tr>
            <w:tr w14:paraId="3D7491A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1560" w:type="dxa"/>
                  <w:tcBorders>
                    <w:tl2br w:val="nil"/>
                    <w:tr2bl w:val="nil"/>
                  </w:tcBorders>
                  <w:vAlign w:val="center"/>
                </w:tcPr>
                <w:p w14:paraId="2C52C0F6">
                  <w:pPr>
                    <w:adjustRightInd w:val="0"/>
                    <w:snapToGrid w:val="0"/>
                    <w:jc w:val="center"/>
                    <w:rPr>
                      <w:rFonts w:hint="default"/>
                      <w:color w:val="auto"/>
                      <w:kern w:val="0"/>
                      <w:lang w:val="en-US" w:eastAsia="zh-CN"/>
                    </w:rPr>
                  </w:pPr>
                  <w:r>
                    <w:rPr>
                      <w:rFonts w:hint="eastAsia"/>
                      <w:color w:val="auto"/>
                      <w:kern w:val="0"/>
                      <w:lang w:val="en-US" w:eastAsia="zh-CN"/>
                    </w:rPr>
                    <w:t>稀释剂</w:t>
                  </w:r>
                </w:p>
              </w:tc>
              <w:tc>
                <w:tcPr>
                  <w:tcW w:w="1656" w:type="dxa"/>
                  <w:tcBorders>
                    <w:tl2br w:val="nil"/>
                    <w:tr2bl w:val="nil"/>
                  </w:tcBorders>
                  <w:vAlign w:val="center"/>
                </w:tcPr>
                <w:p w14:paraId="3992CACA">
                  <w:pPr>
                    <w:widowControl/>
                    <w:jc w:val="center"/>
                    <w:textAlignment w:val="center"/>
                    <w:rPr>
                      <w:rFonts w:hint="default"/>
                      <w:color w:val="auto"/>
                      <w:kern w:val="0"/>
                      <w:lang w:val="en-US" w:eastAsia="zh-CN"/>
                    </w:rPr>
                  </w:pPr>
                  <w:r>
                    <w:rPr>
                      <w:rFonts w:hint="eastAsia"/>
                      <w:color w:val="auto"/>
                      <w:kern w:val="0"/>
                      <w:lang w:val="en-US" w:eastAsia="zh-CN"/>
                    </w:rPr>
                    <w:t>0.05</w:t>
                  </w:r>
                </w:p>
              </w:tc>
              <w:tc>
                <w:tcPr>
                  <w:tcW w:w="604" w:type="pct"/>
                  <w:tcBorders>
                    <w:tl2br w:val="nil"/>
                    <w:tr2bl w:val="nil"/>
                  </w:tcBorders>
                  <w:vAlign w:val="center"/>
                </w:tcPr>
                <w:p w14:paraId="0F6C3498">
                  <w:pPr>
                    <w:widowControl/>
                    <w:jc w:val="center"/>
                    <w:textAlignment w:val="center"/>
                    <w:rPr>
                      <w:rFonts w:hint="default" w:eastAsia="宋体"/>
                      <w:color w:val="auto"/>
                      <w:kern w:val="0"/>
                      <w:lang w:val="en-US" w:eastAsia="zh-CN" w:bidi="ar"/>
                    </w:rPr>
                  </w:pPr>
                  <w:r>
                    <w:rPr>
                      <w:rFonts w:hint="eastAsia"/>
                      <w:color w:val="auto"/>
                      <w:kern w:val="0"/>
                      <w:lang w:bidi="ar"/>
                    </w:rPr>
                    <w:t>50</w:t>
                  </w:r>
                </w:p>
              </w:tc>
              <w:tc>
                <w:tcPr>
                  <w:tcW w:w="1312" w:type="dxa"/>
                  <w:tcBorders>
                    <w:tl2br w:val="nil"/>
                    <w:tr2bl w:val="nil"/>
                  </w:tcBorders>
                  <w:vAlign w:val="center"/>
                </w:tcPr>
                <w:p w14:paraId="63130D0E">
                  <w:pPr>
                    <w:widowControl/>
                    <w:jc w:val="center"/>
                    <w:textAlignment w:val="center"/>
                    <w:rPr>
                      <w:rFonts w:hint="default" w:ascii="Times New Roman" w:hAnsi="Times New Roman" w:eastAsia="宋体" w:cs="Times New Roman"/>
                      <w:color w:val="auto"/>
                      <w:kern w:val="0"/>
                      <w:lang w:val="en-US" w:eastAsia="zh-CN" w:bidi="ar"/>
                    </w:rPr>
                  </w:pPr>
                  <w:r>
                    <w:rPr>
                      <w:rFonts w:hint="eastAsia" w:ascii="Times New Roman" w:hAnsi="Times New Roman" w:eastAsia="宋体" w:cs="Times New Roman"/>
                      <w:color w:val="auto"/>
                      <w:kern w:val="0"/>
                      <w:lang w:val="en-US" w:eastAsia="zh-CN" w:bidi="ar"/>
                    </w:rPr>
                    <w:t>0.001</w:t>
                  </w:r>
                </w:p>
              </w:tc>
              <w:tc>
                <w:tcPr>
                  <w:tcW w:w="999" w:type="pct"/>
                  <w:tcBorders>
                    <w:tl2br w:val="nil"/>
                    <w:tr2bl w:val="nil"/>
                  </w:tcBorders>
                  <w:vAlign w:val="center"/>
                </w:tcPr>
                <w:p w14:paraId="4886B7EF">
                  <w:pPr>
                    <w:jc w:val="center"/>
                    <w:rPr>
                      <w:rFonts w:hint="eastAsia" w:eastAsia="宋体"/>
                      <w:color w:val="auto"/>
                      <w:kern w:val="0"/>
                      <w:lang w:val="en-US" w:eastAsia="zh-CN"/>
                    </w:rPr>
                  </w:pPr>
                  <w:r>
                    <w:rPr>
                      <w:rFonts w:hint="eastAsia"/>
                      <w:color w:val="auto"/>
                      <w:kern w:val="0"/>
                      <w:lang w:val="en-US" w:eastAsia="zh-CN"/>
                    </w:rPr>
                    <w:t>桶装</w:t>
                  </w:r>
                </w:p>
              </w:tc>
              <w:tc>
                <w:tcPr>
                  <w:tcW w:w="840" w:type="pct"/>
                  <w:tcBorders>
                    <w:tl2br w:val="nil"/>
                    <w:tr2bl w:val="nil"/>
                  </w:tcBorders>
                  <w:vAlign w:val="center"/>
                </w:tcPr>
                <w:p w14:paraId="47283415">
                  <w:pPr>
                    <w:tabs>
                      <w:tab w:val="left" w:pos="960"/>
                    </w:tabs>
                    <w:snapToGrid w:val="0"/>
                    <w:jc w:val="center"/>
                    <w:rPr>
                      <w:rFonts w:hint="eastAsia" w:eastAsia="宋体"/>
                      <w:color w:val="auto"/>
                      <w:kern w:val="0"/>
                      <w:lang w:val="en-US" w:eastAsia="zh-CN"/>
                    </w:rPr>
                  </w:pPr>
                  <w:r>
                    <w:rPr>
                      <w:rFonts w:hint="eastAsia"/>
                      <w:color w:val="auto"/>
                      <w:kern w:val="0"/>
                      <w:lang w:val="en-US" w:eastAsia="zh-CN"/>
                    </w:rPr>
                    <w:t>原材料区</w:t>
                  </w:r>
                </w:p>
              </w:tc>
            </w:tr>
            <w:tr w14:paraId="5023D72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1560" w:type="dxa"/>
                  <w:tcBorders>
                    <w:tl2br w:val="nil"/>
                    <w:tr2bl w:val="nil"/>
                  </w:tcBorders>
                  <w:vAlign w:val="center"/>
                </w:tcPr>
                <w:p w14:paraId="6D5932A7">
                  <w:pPr>
                    <w:adjustRightInd w:val="0"/>
                    <w:snapToGrid w:val="0"/>
                    <w:jc w:val="center"/>
                    <w:rPr>
                      <w:rFonts w:hint="eastAsia"/>
                      <w:color w:val="auto"/>
                      <w:kern w:val="0"/>
                      <w:lang w:val="en-US" w:eastAsia="zh-CN"/>
                    </w:rPr>
                  </w:pPr>
                  <w:r>
                    <w:rPr>
                      <w:rFonts w:hint="eastAsia"/>
                      <w:color w:val="auto"/>
                      <w:kern w:val="0"/>
                      <w:lang w:val="en-US" w:eastAsia="zh-CN"/>
                    </w:rPr>
                    <w:t>固化剂</w:t>
                  </w:r>
                </w:p>
              </w:tc>
              <w:tc>
                <w:tcPr>
                  <w:tcW w:w="1656" w:type="dxa"/>
                  <w:tcBorders>
                    <w:tl2br w:val="nil"/>
                    <w:tr2bl w:val="nil"/>
                  </w:tcBorders>
                  <w:vAlign w:val="center"/>
                </w:tcPr>
                <w:p w14:paraId="273A4B57">
                  <w:pPr>
                    <w:widowControl/>
                    <w:jc w:val="center"/>
                    <w:textAlignment w:val="center"/>
                    <w:rPr>
                      <w:rFonts w:hint="eastAsia"/>
                      <w:color w:val="auto"/>
                      <w:kern w:val="0"/>
                      <w:lang w:val="en-US" w:eastAsia="zh-CN"/>
                    </w:rPr>
                  </w:pPr>
                  <w:r>
                    <w:rPr>
                      <w:rFonts w:hint="eastAsia"/>
                      <w:color w:val="auto"/>
                      <w:kern w:val="0"/>
                      <w:lang w:val="en-US" w:eastAsia="zh-CN"/>
                    </w:rPr>
                    <w:t>0.2</w:t>
                  </w:r>
                </w:p>
              </w:tc>
              <w:tc>
                <w:tcPr>
                  <w:tcW w:w="604" w:type="pct"/>
                  <w:tcBorders>
                    <w:tl2br w:val="nil"/>
                    <w:tr2bl w:val="nil"/>
                  </w:tcBorders>
                  <w:vAlign w:val="center"/>
                </w:tcPr>
                <w:p w14:paraId="2F4CF93C">
                  <w:pPr>
                    <w:widowControl/>
                    <w:jc w:val="center"/>
                    <w:textAlignment w:val="center"/>
                    <w:rPr>
                      <w:rFonts w:hint="eastAsia"/>
                      <w:color w:val="auto"/>
                      <w:kern w:val="0"/>
                      <w:lang w:val="en-US" w:eastAsia="zh-CN" w:bidi="ar"/>
                    </w:rPr>
                  </w:pPr>
                  <w:r>
                    <w:rPr>
                      <w:rFonts w:hint="eastAsia"/>
                      <w:color w:val="auto"/>
                      <w:kern w:val="0"/>
                      <w:lang w:bidi="ar"/>
                    </w:rPr>
                    <w:t>50</w:t>
                  </w:r>
                </w:p>
              </w:tc>
              <w:tc>
                <w:tcPr>
                  <w:tcW w:w="1312" w:type="dxa"/>
                  <w:tcBorders>
                    <w:tl2br w:val="nil"/>
                    <w:tr2bl w:val="nil"/>
                  </w:tcBorders>
                  <w:vAlign w:val="center"/>
                </w:tcPr>
                <w:p w14:paraId="1177BBBF">
                  <w:pPr>
                    <w:widowControl/>
                    <w:jc w:val="center"/>
                    <w:textAlignment w:val="center"/>
                    <w:rPr>
                      <w:rFonts w:hint="eastAsia" w:ascii="Times New Roman" w:hAnsi="Times New Roman" w:eastAsia="宋体" w:cs="Times New Roman"/>
                      <w:color w:val="auto"/>
                      <w:kern w:val="0"/>
                      <w:lang w:val="en-US" w:eastAsia="zh-CN" w:bidi="ar"/>
                    </w:rPr>
                  </w:pPr>
                  <w:r>
                    <w:rPr>
                      <w:rFonts w:hint="eastAsia" w:ascii="Times New Roman" w:hAnsi="Times New Roman" w:eastAsia="宋体" w:cs="Times New Roman"/>
                      <w:color w:val="auto"/>
                      <w:kern w:val="0"/>
                      <w:lang w:val="en-US" w:eastAsia="zh-CN" w:bidi="ar"/>
                    </w:rPr>
                    <w:t>0.004</w:t>
                  </w:r>
                </w:p>
              </w:tc>
              <w:tc>
                <w:tcPr>
                  <w:tcW w:w="999" w:type="pct"/>
                  <w:tcBorders>
                    <w:tl2br w:val="nil"/>
                    <w:tr2bl w:val="nil"/>
                  </w:tcBorders>
                  <w:vAlign w:val="center"/>
                </w:tcPr>
                <w:p w14:paraId="0D30D609">
                  <w:pPr>
                    <w:jc w:val="center"/>
                    <w:rPr>
                      <w:rFonts w:hint="default"/>
                      <w:color w:val="auto"/>
                      <w:kern w:val="0"/>
                      <w:lang w:val="en-US" w:eastAsia="zh-CN"/>
                    </w:rPr>
                  </w:pPr>
                  <w:r>
                    <w:rPr>
                      <w:rFonts w:hint="eastAsia"/>
                      <w:color w:val="auto"/>
                      <w:kern w:val="0"/>
                      <w:lang w:val="en-US" w:eastAsia="zh-CN"/>
                    </w:rPr>
                    <w:t>桶装</w:t>
                  </w:r>
                </w:p>
              </w:tc>
              <w:tc>
                <w:tcPr>
                  <w:tcW w:w="840" w:type="pct"/>
                  <w:tcBorders>
                    <w:tl2br w:val="nil"/>
                    <w:tr2bl w:val="nil"/>
                  </w:tcBorders>
                  <w:vAlign w:val="center"/>
                </w:tcPr>
                <w:p w14:paraId="0CEB26F3">
                  <w:pPr>
                    <w:tabs>
                      <w:tab w:val="left" w:pos="960"/>
                    </w:tabs>
                    <w:snapToGrid w:val="0"/>
                    <w:jc w:val="center"/>
                    <w:rPr>
                      <w:rFonts w:hint="eastAsia"/>
                      <w:color w:val="auto"/>
                      <w:kern w:val="0"/>
                      <w:lang w:val="en-US" w:eastAsia="zh-CN"/>
                    </w:rPr>
                  </w:pPr>
                  <w:r>
                    <w:rPr>
                      <w:rFonts w:hint="eastAsia"/>
                      <w:color w:val="auto"/>
                      <w:kern w:val="0"/>
                      <w:lang w:val="en-US" w:eastAsia="zh-CN"/>
                    </w:rPr>
                    <w:t>原材料区</w:t>
                  </w:r>
                </w:p>
              </w:tc>
            </w:tr>
            <w:tr w14:paraId="418F285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1560" w:type="dxa"/>
                  <w:tcBorders>
                    <w:tl2br w:val="nil"/>
                    <w:tr2bl w:val="nil"/>
                  </w:tcBorders>
                  <w:vAlign w:val="center"/>
                </w:tcPr>
                <w:p w14:paraId="32B058B8">
                  <w:pPr>
                    <w:pStyle w:val="698"/>
                    <w:rPr>
                      <w:rFonts w:eastAsia="宋体"/>
                      <w:color w:val="auto"/>
                      <w:kern w:val="0"/>
                    </w:rPr>
                  </w:pPr>
                  <w:r>
                    <w:rPr>
                      <w:rFonts w:eastAsia="宋体"/>
                      <w:bCs/>
                      <w:color w:val="auto"/>
                      <w:kern w:val="0"/>
                    </w:rPr>
                    <w:t>危险废物</w:t>
                  </w:r>
                </w:p>
              </w:tc>
              <w:tc>
                <w:tcPr>
                  <w:tcW w:w="1656" w:type="dxa"/>
                  <w:tcBorders>
                    <w:tl2br w:val="nil"/>
                    <w:tr2bl w:val="nil"/>
                  </w:tcBorders>
                  <w:vAlign w:val="center"/>
                </w:tcPr>
                <w:p w14:paraId="795DE3E8">
                  <w:pPr>
                    <w:widowControl/>
                    <w:jc w:val="center"/>
                    <w:textAlignment w:val="center"/>
                    <w:rPr>
                      <w:rFonts w:hint="default" w:eastAsia="宋体"/>
                      <w:color w:val="auto"/>
                      <w:kern w:val="0"/>
                      <w:lang w:val="en-US" w:eastAsia="zh-CN"/>
                    </w:rPr>
                  </w:pPr>
                  <w:r>
                    <w:rPr>
                      <w:rFonts w:hint="eastAsia"/>
                      <w:color w:val="auto"/>
                      <w:kern w:val="0"/>
                      <w:lang w:val="en-US" w:eastAsia="zh-CN"/>
                    </w:rPr>
                    <w:t>3.14</w:t>
                  </w:r>
                </w:p>
              </w:tc>
              <w:tc>
                <w:tcPr>
                  <w:tcW w:w="604" w:type="pct"/>
                  <w:tcBorders>
                    <w:tl2br w:val="nil"/>
                    <w:tr2bl w:val="nil"/>
                  </w:tcBorders>
                  <w:vAlign w:val="center"/>
                </w:tcPr>
                <w:p w14:paraId="4165DA05">
                  <w:pPr>
                    <w:widowControl/>
                    <w:jc w:val="center"/>
                    <w:textAlignment w:val="center"/>
                    <w:rPr>
                      <w:color w:val="auto"/>
                      <w:kern w:val="0"/>
                      <w:lang w:bidi="ar"/>
                    </w:rPr>
                  </w:pPr>
                  <w:r>
                    <w:rPr>
                      <w:rFonts w:hint="eastAsia"/>
                      <w:color w:val="auto"/>
                      <w:kern w:val="0"/>
                      <w:lang w:bidi="ar"/>
                    </w:rPr>
                    <w:t>50</w:t>
                  </w:r>
                </w:p>
              </w:tc>
              <w:tc>
                <w:tcPr>
                  <w:tcW w:w="1312" w:type="dxa"/>
                  <w:tcBorders>
                    <w:tl2br w:val="nil"/>
                    <w:tr2bl w:val="nil"/>
                  </w:tcBorders>
                  <w:vAlign w:val="center"/>
                </w:tcPr>
                <w:p w14:paraId="786CB654">
                  <w:pPr>
                    <w:widowControl/>
                    <w:jc w:val="center"/>
                    <w:textAlignment w:val="center"/>
                    <w:rPr>
                      <w:rFonts w:hint="default" w:ascii="Times New Roman" w:hAnsi="Times New Roman" w:eastAsia="宋体" w:cs="Times New Roman"/>
                      <w:color w:val="auto"/>
                      <w:kern w:val="0"/>
                      <w:lang w:val="en-US" w:eastAsia="zh-CN" w:bidi="ar"/>
                    </w:rPr>
                  </w:pPr>
                  <w:r>
                    <w:rPr>
                      <w:rFonts w:hint="eastAsia" w:ascii="Times New Roman" w:hAnsi="Times New Roman" w:eastAsia="宋体" w:cs="Times New Roman"/>
                      <w:color w:val="auto"/>
                      <w:kern w:val="0"/>
                      <w:lang w:val="en-US" w:eastAsia="zh-CN" w:bidi="ar"/>
                    </w:rPr>
                    <w:t>0.0</w:t>
                  </w:r>
                  <w:r>
                    <w:rPr>
                      <w:rFonts w:hint="eastAsia" w:cs="Times New Roman"/>
                      <w:color w:val="auto"/>
                      <w:kern w:val="0"/>
                      <w:lang w:val="en-US" w:eastAsia="zh-CN" w:bidi="ar"/>
                    </w:rPr>
                    <w:t>628</w:t>
                  </w:r>
                </w:p>
              </w:tc>
              <w:tc>
                <w:tcPr>
                  <w:tcW w:w="999" w:type="pct"/>
                  <w:tcBorders>
                    <w:tl2br w:val="nil"/>
                    <w:tr2bl w:val="nil"/>
                  </w:tcBorders>
                  <w:vAlign w:val="center"/>
                </w:tcPr>
                <w:p w14:paraId="6852451D">
                  <w:pPr>
                    <w:jc w:val="center"/>
                    <w:rPr>
                      <w:rFonts w:hint="default" w:eastAsia="宋体"/>
                      <w:color w:val="auto"/>
                      <w:kern w:val="0"/>
                      <w:lang w:val="en-US" w:eastAsia="zh-CN"/>
                    </w:rPr>
                  </w:pPr>
                  <w:r>
                    <w:rPr>
                      <w:rFonts w:hint="eastAsia"/>
                      <w:color w:val="auto"/>
                      <w:kern w:val="0"/>
                    </w:rPr>
                    <w:t>袋装</w:t>
                  </w:r>
                  <w:r>
                    <w:rPr>
                      <w:rFonts w:hint="eastAsia"/>
                      <w:color w:val="auto"/>
                      <w:kern w:val="0"/>
                      <w:lang w:eastAsia="zh-CN"/>
                    </w:rPr>
                    <w:t>、</w:t>
                  </w:r>
                  <w:r>
                    <w:rPr>
                      <w:rFonts w:hint="eastAsia"/>
                      <w:color w:val="auto"/>
                      <w:kern w:val="0"/>
                      <w:lang w:val="en-US" w:eastAsia="zh-CN"/>
                    </w:rPr>
                    <w:t>桶装</w:t>
                  </w:r>
                </w:p>
              </w:tc>
              <w:tc>
                <w:tcPr>
                  <w:tcW w:w="840" w:type="pct"/>
                  <w:tcBorders>
                    <w:tl2br w:val="nil"/>
                    <w:tr2bl w:val="nil"/>
                  </w:tcBorders>
                  <w:vAlign w:val="center"/>
                </w:tcPr>
                <w:p w14:paraId="7CCCA058">
                  <w:pPr>
                    <w:tabs>
                      <w:tab w:val="left" w:pos="960"/>
                    </w:tabs>
                    <w:snapToGrid w:val="0"/>
                    <w:jc w:val="center"/>
                    <w:rPr>
                      <w:bCs/>
                      <w:color w:val="auto"/>
                      <w:kern w:val="0"/>
                    </w:rPr>
                  </w:pPr>
                  <w:r>
                    <w:rPr>
                      <w:bCs/>
                      <w:color w:val="auto"/>
                      <w:kern w:val="0"/>
                    </w:rPr>
                    <w:t>危废仓库</w:t>
                  </w:r>
                </w:p>
              </w:tc>
            </w:tr>
            <w:tr w14:paraId="16DF4633">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2419" w:type="pct"/>
                  <w:gridSpan w:val="3"/>
                  <w:tcBorders>
                    <w:tl2br w:val="nil"/>
                    <w:tr2bl w:val="nil"/>
                  </w:tcBorders>
                  <w:vAlign w:val="center"/>
                </w:tcPr>
                <w:p w14:paraId="23CACA25">
                  <w:pPr>
                    <w:snapToGrid w:val="0"/>
                    <w:jc w:val="center"/>
                    <w:rPr>
                      <w:bCs/>
                      <w:color w:val="auto"/>
                      <w:kern w:val="0"/>
                    </w:rPr>
                  </w:pPr>
                  <w:r>
                    <w:rPr>
                      <w:b/>
                      <w:bCs/>
                      <w:color w:val="auto"/>
                      <w:kern w:val="0"/>
                    </w:rPr>
                    <w:t>∑Q值</w:t>
                  </w:r>
                </w:p>
              </w:tc>
              <w:tc>
                <w:tcPr>
                  <w:tcW w:w="740" w:type="pct"/>
                  <w:tcBorders>
                    <w:tl2br w:val="nil"/>
                    <w:tr2bl w:val="nil"/>
                  </w:tcBorders>
                  <w:vAlign w:val="center"/>
                </w:tcPr>
                <w:p w14:paraId="0321404A">
                  <w:pPr>
                    <w:widowControl/>
                    <w:jc w:val="center"/>
                    <w:textAlignment w:val="center"/>
                    <w:rPr>
                      <w:rFonts w:hint="default" w:eastAsia="宋体"/>
                      <w:color w:val="auto"/>
                      <w:kern w:val="0"/>
                      <w:lang w:val="en-US" w:eastAsia="zh-CN"/>
                    </w:rPr>
                  </w:pPr>
                  <w:r>
                    <w:rPr>
                      <w:rFonts w:hint="eastAsia"/>
                      <w:color w:val="auto"/>
                      <w:kern w:val="0"/>
                    </w:rPr>
                    <w:t>0.</w:t>
                  </w:r>
                  <w:r>
                    <w:rPr>
                      <w:rFonts w:hint="eastAsia"/>
                      <w:color w:val="auto"/>
                      <w:kern w:val="0"/>
                      <w:lang w:val="en-US" w:eastAsia="zh-CN"/>
                    </w:rPr>
                    <w:t>1178</w:t>
                  </w:r>
                </w:p>
              </w:tc>
              <w:tc>
                <w:tcPr>
                  <w:tcW w:w="1840" w:type="pct"/>
                  <w:gridSpan w:val="2"/>
                  <w:tcBorders>
                    <w:tl2br w:val="nil"/>
                    <w:tr2bl w:val="nil"/>
                  </w:tcBorders>
                  <w:vAlign w:val="center"/>
                </w:tcPr>
                <w:p w14:paraId="7BCEC904">
                  <w:pPr>
                    <w:tabs>
                      <w:tab w:val="left" w:pos="960"/>
                    </w:tabs>
                    <w:snapToGrid w:val="0"/>
                    <w:jc w:val="center"/>
                    <w:rPr>
                      <w:bCs/>
                      <w:color w:val="auto"/>
                      <w:kern w:val="0"/>
                    </w:rPr>
                  </w:pPr>
                  <w:r>
                    <w:rPr>
                      <w:bCs/>
                      <w:color w:val="auto"/>
                      <w:kern w:val="0"/>
                    </w:rPr>
                    <w:t>/</w:t>
                  </w:r>
                </w:p>
              </w:tc>
            </w:tr>
          </w:tbl>
          <w:p w14:paraId="38EEBB7F">
            <w:pPr>
              <w:pStyle w:val="24"/>
              <w:adjustRightInd w:val="0"/>
              <w:snapToGrid w:val="0"/>
              <w:spacing w:after="0" w:line="360" w:lineRule="auto"/>
              <w:ind w:left="0" w:leftChars="0" w:firstLine="420" w:firstLineChars="200"/>
              <w:rPr>
                <w:color w:val="auto"/>
                <w:sz w:val="21"/>
                <w:szCs w:val="21"/>
              </w:rPr>
            </w:pPr>
            <w:r>
              <w:rPr>
                <w:color w:val="auto"/>
                <w:sz w:val="21"/>
                <w:szCs w:val="21"/>
              </w:rPr>
              <w:t>由上表可知</w:t>
            </w:r>
            <w:r>
              <w:rPr>
                <w:bCs/>
                <w:color w:val="auto"/>
                <w:sz w:val="21"/>
                <w:szCs w:val="21"/>
              </w:rPr>
              <w:t>Q＜1，本项目建成后全厂环境风险潜势为Ⅰ</w:t>
            </w:r>
            <w:r>
              <w:rPr>
                <w:color w:val="auto"/>
                <w:sz w:val="21"/>
                <w:szCs w:val="21"/>
              </w:rPr>
              <w:t>。</w:t>
            </w:r>
          </w:p>
          <w:p w14:paraId="186ECA73">
            <w:pPr>
              <w:pStyle w:val="24"/>
              <w:adjustRightInd w:val="0"/>
              <w:snapToGrid w:val="0"/>
              <w:spacing w:after="0" w:line="360" w:lineRule="auto"/>
              <w:ind w:left="0" w:leftChars="0" w:firstLine="420" w:firstLineChars="200"/>
              <w:rPr>
                <w:color w:val="auto"/>
                <w:sz w:val="21"/>
                <w:szCs w:val="21"/>
              </w:rPr>
            </w:pPr>
            <w:r>
              <w:rPr>
                <w:rFonts w:hint="eastAsia"/>
                <w:color w:val="auto"/>
                <w:sz w:val="21"/>
                <w:szCs w:val="21"/>
              </w:rPr>
              <w:fldChar w:fldCharType="begin"/>
            </w:r>
            <w:r>
              <w:rPr>
                <w:rFonts w:hint="eastAsia"/>
                <w:color w:val="auto"/>
                <w:sz w:val="21"/>
                <w:szCs w:val="21"/>
              </w:rPr>
              <w:instrText xml:space="preserve"> = 4 \* GB3 \* MERGEFORMAT </w:instrText>
            </w:r>
            <w:r>
              <w:rPr>
                <w:rFonts w:hint="eastAsia"/>
                <w:color w:val="auto"/>
                <w:sz w:val="21"/>
                <w:szCs w:val="21"/>
              </w:rPr>
              <w:fldChar w:fldCharType="separate"/>
            </w:r>
            <w:r>
              <w:rPr>
                <w:color w:val="auto"/>
                <w:sz w:val="21"/>
                <w:szCs w:val="21"/>
              </w:rPr>
              <w:t>④</w:t>
            </w:r>
            <w:r>
              <w:rPr>
                <w:rFonts w:hint="eastAsia"/>
                <w:color w:val="auto"/>
                <w:sz w:val="21"/>
                <w:szCs w:val="21"/>
              </w:rPr>
              <w:fldChar w:fldCharType="end"/>
            </w:r>
            <w:r>
              <w:rPr>
                <w:color w:val="auto"/>
                <w:sz w:val="21"/>
                <w:szCs w:val="21"/>
              </w:rPr>
              <w:t>评价等级判定</w:t>
            </w:r>
          </w:p>
          <w:p w14:paraId="46D8AD4C">
            <w:pPr>
              <w:adjustRightInd w:val="0"/>
              <w:snapToGrid w:val="0"/>
              <w:spacing w:line="360" w:lineRule="auto"/>
              <w:ind w:firstLine="420" w:firstLineChars="200"/>
              <w:rPr>
                <w:color w:val="auto"/>
                <w:kern w:val="0"/>
              </w:rPr>
            </w:pPr>
            <w:r>
              <w:rPr>
                <w:color w:val="auto"/>
                <w:kern w:val="0"/>
              </w:rPr>
              <w:t>根据</w:t>
            </w:r>
            <w:r>
              <w:rPr>
                <w:bCs/>
                <w:color w:val="auto"/>
                <w:kern w:val="0"/>
              </w:rPr>
              <w:t>《建设项目环境风险评价技术导则》（HJ/T169-2018），全厂环境风险潜势为Ⅰ，</w:t>
            </w:r>
            <w:r>
              <w:rPr>
                <w:color w:val="auto"/>
                <w:kern w:val="0"/>
              </w:rPr>
              <w:t>评价等级为简单分析。</w:t>
            </w:r>
          </w:p>
          <w:p w14:paraId="1B2637AC">
            <w:pPr>
              <w:jc w:val="center"/>
              <w:rPr>
                <w:b/>
                <w:color w:val="auto"/>
                <w:kern w:val="0"/>
              </w:rPr>
            </w:pPr>
            <w:r>
              <w:rPr>
                <w:b/>
                <w:color w:val="auto"/>
                <w:kern w:val="0"/>
              </w:rPr>
              <w:t>表4</w:t>
            </w:r>
            <w:r>
              <w:rPr>
                <w:rFonts w:hint="eastAsia"/>
                <w:b/>
                <w:color w:val="auto"/>
                <w:kern w:val="0"/>
              </w:rPr>
              <w:t>-</w:t>
            </w:r>
            <w:r>
              <w:rPr>
                <w:rFonts w:hint="eastAsia"/>
                <w:b/>
                <w:color w:val="auto"/>
                <w:kern w:val="0"/>
                <w:lang w:val="en-US" w:eastAsia="zh-CN"/>
              </w:rPr>
              <w:t>30</w:t>
            </w:r>
            <w:r>
              <w:rPr>
                <w:rFonts w:hint="eastAsia"/>
                <w:b/>
                <w:color w:val="auto"/>
                <w:kern w:val="0"/>
              </w:rPr>
              <w:t xml:space="preserve">   </w:t>
            </w:r>
            <w:r>
              <w:rPr>
                <w:b/>
                <w:color w:val="auto"/>
                <w:kern w:val="0"/>
              </w:rPr>
              <w:t>风险评价工作等级划分</w:t>
            </w:r>
          </w:p>
          <w:tbl>
            <w:tblPr>
              <w:tblStyle w:val="59"/>
              <w:tblW w:w="5000" w:type="pct"/>
              <w:tblInd w:w="0" w:type="dxa"/>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Layout w:type="fixed"/>
              <w:tblCellMar>
                <w:top w:w="0" w:type="dxa"/>
                <w:left w:w="108" w:type="dxa"/>
                <w:bottom w:w="0" w:type="dxa"/>
                <w:right w:w="108" w:type="dxa"/>
              </w:tblCellMar>
            </w:tblPr>
            <w:tblGrid>
              <w:gridCol w:w="2937"/>
              <w:gridCol w:w="1446"/>
              <w:gridCol w:w="1361"/>
              <w:gridCol w:w="1474"/>
              <w:gridCol w:w="1643"/>
            </w:tblGrid>
            <w:tr w14:paraId="5E627219">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112" w:hRule="atLeast"/>
              </w:trPr>
              <w:tc>
                <w:tcPr>
                  <w:tcW w:w="1657" w:type="pct"/>
                  <w:tcBorders>
                    <w:tl2br w:val="nil"/>
                    <w:tr2bl w:val="nil"/>
                  </w:tcBorders>
                  <w:vAlign w:val="center"/>
                </w:tcPr>
                <w:p w14:paraId="642690A6">
                  <w:pPr>
                    <w:jc w:val="center"/>
                    <w:rPr>
                      <w:b/>
                      <w:color w:val="auto"/>
                      <w:kern w:val="0"/>
                    </w:rPr>
                  </w:pPr>
                  <w:r>
                    <w:rPr>
                      <w:b/>
                      <w:color w:val="auto"/>
                      <w:kern w:val="0"/>
                    </w:rPr>
                    <w:t>环境风险潜势</w:t>
                  </w:r>
                </w:p>
              </w:tc>
              <w:tc>
                <w:tcPr>
                  <w:tcW w:w="816" w:type="pct"/>
                  <w:tcBorders>
                    <w:tl2br w:val="nil"/>
                    <w:tr2bl w:val="nil"/>
                  </w:tcBorders>
                  <w:vAlign w:val="center"/>
                </w:tcPr>
                <w:p w14:paraId="2DEAFE93">
                  <w:pPr>
                    <w:jc w:val="center"/>
                    <w:rPr>
                      <w:b/>
                      <w:color w:val="auto"/>
                      <w:kern w:val="0"/>
                    </w:rPr>
                  </w:pPr>
                  <w:r>
                    <w:rPr>
                      <w:b/>
                      <w:color w:val="auto"/>
                      <w:kern w:val="0"/>
                    </w:rPr>
                    <w:t>Ⅳ、Ⅳ</w:t>
                  </w:r>
                  <w:r>
                    <w:rPr>
                      <w:b/>
                      <w:color w:val="auto"/>
                      <w:kern w:val="0"/>
                      <w:vertAlign w:val="superscript"/>
                    </w:rPr>
                    <w:t>+</w:t>
                  </w:r>
                </w:p>
              </w:tc>
              <w:tc>
                <w:tcPr>
                  <w:tcW w:w="768" w:type="pct"/>
                  <w:tcBorders>
                    <w:tl2br w:val="nil"/>
                    <w:tr2bl w:val="nil"/>
                  </w:tcBorders>
                  <w:vAlign w:val="center"/>
                </w:tcPr>
                <w:p w14:paraId="431997DE">
                  <w:pPr>
                    <w:jc w:val="center"/>
                    <w:rPr>
                      <w:b/>
                      <w:color w:val="auto"/>
                      <w:kern w:val="0"/>
                    </w:rPr>
                  </w:pPr>
                  <w:r>
                    <w:rPr>
                      <w:b/>
                      <w:color w:val="auto"/>
                      <w:kern w:val="0"/>
                    </w:rPr>
                    <w:t>Ⅲ</w:t>
                  </w:r>
                </w:p>
              </w:tc>
              <w:tc>
                <w:tcPr>
                  <w:tcW w:w="832" w:type="pct"/>
                  <w:tcBorders>
                    <w:tl2br w:val="nil"/>
                    <w:tr2bl w:val="nil"/>
                  </w:tcBorders>
                  <w:vAlign w:val="center"/>
                </w:tcPr>
                <w:p w14:paraId="0EDEE990">
                  <w:pPr>
                    <w:jc w:val="center"/>
                    <w:rPr>
                      <w:b/>
                      <w:color w:val="auto"/>
                      <w:kern w:val="0"/>
                    </w:rPr>
                  </w:pPr>
                  <w:r>
                    <w:rPr>
                      <w:b/>
                      <w:color w:val="auto"/>
                      <w:kern w:val="0"/>
                    </w:rPr>
                    <w:t>Ⅱ</w:t>
                  </w:r>
                </w:p>
              </w:tc>
              <w:tc>
                <w:tcPr>
                  <w:tcW w:w="927" w:type="pct"/>
                  <w:tcBorders>
                    <w:tl2br w:val="nil"/>
                    <w:tr2bl w:val="nil"/>
                  </w:tcBorders>
                  <w:vAlign w:val="center"/>
                </w:tcPr>
                <w:p w14:paraId="6A00E486">
                  <w:pPr>
                    <w:jc w:val="center"/>
                    <w:rPr>
                      <w:b/>
                      <w:color w:val="auto"/>
                      <w:kern w:val="0"/>
                    </w:rPr>
                  </w:pPr>
                  <w:r>
                    <w:rPr>
                      <w:b/>
                      <w:color w:val="auto"/>
                      <w:kern w:val="0"/>
                    </w:rPr>
                    <w:t>Ⅰ</w:t>
                  </w:r>
                </w:p>
              </w:tc>
            </w:tr>
            <w:tr w14:paraId="567FD9FC">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c>
                <w:tcPr>
                  <w:tcW w:w="1657" w:type="pct"/>
                  <w:tcBorders>
                    <w:tl2br w:val="nil"/>
                    <w:tr2bl w:val="nil"/>
                  </w:tcBorders>
                  <w:shd w:val="clear" w:color="auto" w:fill="auto"/>
                  <w:vAlign w:val="center"/>
                </w:tcPr>
                <w:p w14:paraId="02C0F6D7">
                  <w:pPr>
                    <w:jc w:val="center"/>
                    <w:rPr>
                      <w:color w:val="auto"/>
                      <w:kern w:val="0"/>
                    </w:rPr>
                  </w:pPr>
                  <w:r>
                    <w:rPr>
                      <w:color w:val="auto"/>
                      <w:kern w:val="0"/>
                    </w:rPr>
                    <w:t>评价工作等级</w:t>
                  </w:r>
                </w:p>
              </w:tc>
              <w:tc>
                <w:tcPr>
                  <w:tcW w:w="816" w:type="pct"/>
                  <w:tcBorders>
                    <w:tl2br w:val="nil"/>
                    <w:tr2bl w:val="nil"/>
                  </w:tcBorders>
                  <w:shd w:val="clear" w:color="auto" w:fill="auto"/>
                  <w:vAlign w:val="center"/>
                </w:tcPr>
                <w:p w14:paraId="28E00F3D">
                  <w:pPr>
                    <w:jc w:val="center"/>
                    <w:rPr>
                      <w:color w:val="auto"/>
                      <w:kern w:val="0"/>
                    </w:rPr>
                  </w:pPr>
                  <w:r>
                    <w:rPr>
                      <w:color w:val="auto"/>
                      <w:kern w:val="0"/>
                    </w:rPr>
                    <w:t>一</w:t>
                  </w:r>
                </w:p>
              </w:tc>
              <w:tc>
                <w:tcPr>
                  <w:tcW w:w="768" w:type="pct"/>
                  <w:tcBorders>
                    <w:tl2br w:val="nil"/>
                    <w:tr2bl w:val="nil"/>
                  </w:tcBorders>
                  <w:shd w:val="clear" w:color="auto" w:fill="auto"/>
                  <w:vAlign w:val="center"/>
                </w:tcPr>
                <w:p w14:paraId="25ED367B">
                  <w:pPr>
                    <w:jc w:val="center"/>
                    <w:rPr>
                      <w:color w:val="auto"/>
                      <w:kern w:val="0"/>
                    </w:rPr>
                  </w:pPr>
                  <w:r>
                    <w:rPr>
                      <w:color w:val="auto"/>
                      <w:kern w:val="0"/>
                    </w:rPr>
                    <w:t>二</w:t>
                  </w:r>
                </w:p>
              </w:tc>
              <w:tc>
                <w:tcPr>
                  <w:tcW w:w="832" w:type="pct"/>
                  <w:tcBorders>
                    <w:tl2br w:val="nil"/>
                    <w:tr2bl w:val="nil"/>
                  </w:tcBorders>
                  <w:shd w:val="clear" w:color="auto" w:fill="auto"/>
                  <w:vAlign w:val="center"/>
                </w:tcPr>
                <w:p w14:paraId="11ED7633">
                  <w:pPr>
                    <w:jc w:val="center"/>
                    <w:rPr>
                      <w:color w:val="auto"/>
                      <w:kern w:val="0"/>
                    </w:rPr>
                  </w:pPr>
                  <w:r>
                    <w:rPr>
                      <w:color w:val="auto"/>
                      <w:kern w:val="0"/>
                    </w:rPr>
                    <w:t>三</w:t>
                  </w:r>
                </w:p>
              </w:tc>
              <w:tc>
                <w:tcPr>
                  <w:tcW w:w="927" w:type="pct"/>
                  <w:tcBorders>
                    <w:tl2br w:val="nil"/>
                    <w:tr2bl w:val="nil"/>
                  </w:tcBorders>
                  <w:shd w:val="clear" w:color="auto" w:fill="FFC000"/>
                  <w:vAlign w:val="center"/>
                </w:tcPr>
                <w:p w14:paraId="1D838CA9">
                  <w:pPr>
                    <w:jc w:val="center"/>
                    <w:rPr>
                      <w:color w:val="auto"/>
                      <w:kern w:val="0"/>
                    </w:rPr>
                  </w:pPr>
                  <w:r>
                    <w:rPr>
                      <w:color w:val="auto"/>
                      <w:kern w:val="0"/>
                    </w:rPr>
                    <w:t>简单分析</w:t>
                  </w:r>
                  <w:r>
                    <w:rPr>
                      <w:color w:val="auto"/>
                      <w:kern w:val="0"/>
                      <w:vertAlign w:val="superscript"/>
                    </w:rPr>
                    <w:t>a</w:t>
                  </w:r>
                </w:p>
              </w:tc>
            </w:tr>
            <w:tr w14:paraId="28DFA924">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c>
                <w:tcPr>
                  <w:tcW w:w="5000" w:type="pct"/>
                  <w:gridSpan w:val="5"/>
                  <w:tcBorders>
                    <w:tl2br w:val="nil"/>
                    <w:tr2bl w:val="nil"/>
                  </w:tcBorders>
                  <w:vAlign w:val="center"/>
                </w:tcPr>
                <w:p w14:paraId="75D5A541">
                  <w:pPr>
                    <w:rPr>
                      <w:color w:val="auto"/>
                      <w:kern w:val="0"/>
                    </w:rPr>
                  </w:pPr>
                  <w:r>
                    <w:rPr>
                      <w:color w:val="auto"/>
                      <w:kern w:val="0"/>
                    </w:rPr>
                    <w:t>a是对于详细评价工作内容而言，在描述危险物质、环境影响途径、环境危害后果、风险防范措施等方面给出定性的说明。见附录A。</w:t>
                  </w:r>
                </w:p>
              </w:tc>
            </w:tr>
          </w:tbl>
          <w:p w14:paraId="45D51D60">
            <w:pPr>
              <w:adjustRightInd w:val="0"/>
              <w:snapToGrid w:val="0"/>
              <w:spacing w:line="360" w:lineRule="auto"/>
              <w:ind w:firstLine="420" w:firstLineChars="200"/>
              <w:rPr>
                <w:bCs/>
                <w:color w:val="auto"/>
                <w:kern w:val="0"/>
              </w:rPr>
            </w:pPr>
            <w:r>
              <w:rPr>
                <w:rFonts w:hint="eastAsia"/>
                <w:bCs/>
                <w:color w:val="auto"/>
                <w:kern w:val="0"/>
              </w:rPr>
              <w:fldChar w:fldCharType="begin"/>
            </w:r>
            <w:r>
              <w:rPr>
                <w:rFonts w:hint="eastAsia"/>
                <w:bCs/>
                <w:color w:val="auto"/>
                <w:kern w:val="0"/>
              </w:rPr>
              <w:instrText xml:space="preserve"> = 5 \* GB3 \* MERGEFORMAT </w:instrText>
            </w:r>
            <w:r>
              <w:rPr>
                <w:rFonts w:hint="eastAsia"/>
                <w:bCs/>
                <w:color w:val="auto"/>
                <w:kern w:val="0"/>
              </w:rPr>
              <w:fldChar w:fldCharType="separate"/>
            </w:r>
            <w:r>
              <w:rPr>
                <w:color w:val="auto"/>
                <w:kern w:val="0"/>
              </w:rPr>
              <w:t>⑤</w:t>
            </w:r>
            <w:r>
              <w:rPr>
                <w:rFonts w:hint="eastAsia"/>
                <w:bCs/>
                <w:color w:val="auto"/>
                <w:kern w:val="0"/>
              </w:rPr>
              <w:fldChar w:fldCharType="end"/>
            </w:r>
            <w:r>
              <w:rPr>
                <w:rFonts w:hint="eastAsia"/>
                <w:bCs/>
                <w:color w:val="auto"/>
                <w:kern w:val="0"/>
              </w:rPr>
              <w:t>突发环境事件情景源强分析</w:t>
            </w:r>
          </w:p>
          <w:p w14:paraId="6A9C3C10">
            <w:pPr>
              <w:pStyle w:val="23"/>
              <w:widowControl w:val="0"/>
              <w:autoSpaceDE w:val="0"/>
              <w:autoSpaceDN w:val="0"/>
              <w:ind w:firstLine="420" w:firstLineChars="200"/>
              <w:rPr>
                <w:color w:val="auto"/>
                <w:sz w:val="21"/>
                <w:szCs w:val="21"/>
              </w:rPr>
            </w:pPr>
            <w:r>
              <w:rPr>
                <w:rFonts w:hint="eastAsia"/>
                <w:color w:val="auto"/>
                <w:sz w:val="21"/>
                <w:szCs w:val="21"/>
              </w:rPr>
              <w:t>1）</w:t>
            </w:r>
            <w:r>
              <w:rPr>
                <w:color w:val="auto"/>
                <w:sz w:val="21"/>
                <w:szCs w:val="21"/>
              </w:rPr>
              <w:t>物料泄漏事故源强</w:t>
            </w:r>
          </w:p>
          <w:p w14:paraId="4BA41B34">
            <w:pPr>
              <w:pStyle w:val="23"/>
              <w:widowControl w:val="0"/>
              <w:ind w:firstLine="420" w:firstLineChars="200"/>
              <w:rPr>
                <w:color w:val="auto"/>
                <w:sz w:val="21"/>
                <w:szCs w:val="21"/>
              </w:rPr>
            </w:pPr>
            <w:r>
              <w:rPr>
                <w:color w:val="auto"/>
                <w:sz w:val="21"/>
                <w:szCs w:val="21"/>
              </w:rPr>
              <w:t>生产过程中涉及到的</w:t>
            </w:r>
            <w:r>
              <w:rPr>
                <w:rFonts w:hint="eastAsia"/>
                <w:color w:val="auto"/>
                <w:sz w:val="21"/>
                <w:szCs w:val="21"/>
                <w:lang w:val="en-US" w:eastAsia="zh-CN"/>
              </w:rPr>
              <w:t>涂料、稀释剂、固化剂</w:t>
            </w:r>
            <w:r>
              <w:rPr>
                <w:rFonts w:hint="eastAsia"/>
                <w:color w:val="auto"/>
                <w:sz w:val="21"/>
                <w:szCs w:val="21"/>
              </w:rPr>
              <w:t>等</w:t>
            </w:r>
            <w:r>
              <w:rPr>
                <w:color w:val="auto"/>
                <w:sz w:val="21"/>
                <w:szCs w:val="21"/>
              </w:rPr>
              <w:t>发生泄漏对附近地表水环境有一定的影响</w:t>
            </w:r>
            <w:r>
              <w:rPr>
                <w:rFonts w:hint="eastAsia"/>
                <w:color w:val="auto"/>
                <w:sz w:val="21"/>
                <w:szCs w:val="21"/>
              </w:rPr>
              <w:t>。</w:t>
            </w:r>
          </w:p>
          <w:p w14:paraId="7D9337CD">
            <w:pPr>
              <w:pStyle w:val="23"/>
              <w:widowControl w:val="0"/>
              <w:autoSpaceDE w:val="0"/>
              <w:autoSpaceDN w:val="0"/>
              <w:ind w:firstLine="420" w:firstLineChars="200"/>
              <w:rPr>
                <w:color w:val="auto"/>
                <w:sz w:val="21"/>
                <w:szCs w:val="21"/>
              </w:rPr>
            </w:pPr>
            <w:r>
              <w:rPr>
                <w:rFonts w:hint="eastAsia"/>
                <w:color w:val="auto"/>
                <w:sz w:val="21"/>
                <w:szCs w:val="21"/>
              </w:rPr>
              <w:t>本项目</w:t>
            </w:r>
            <w:r>
              <w:rPr>
                <w:rFonts w:hint="eastAsia"/>
                <w:color w:val="auto"/>
                <w:sz w:val="21"/>
                <w:szCs w:val="21"/>
                <w:lang w:val="en-US" w:eastAsia="zh-CN"/>
              </w:rPr>
              <w:t>涂料、稀释剂、固化剂等</w:t>
            </w:r>
            <w:r>
              <w:rPr>
                <w:rFonts w:hint="eastAsia"/>
                <w:color w:val="auto"/>
                <w:sz w:val="21"/>
                <w:szCs w:val="21"/>
              </w:rPr>
              <w:t>暂存于车间仓库，桶底部设有托盘，</w:t>
            </w:r>
            <w:r>
              <w:rPr>
                <w:rFonts w:hint="eastAsia"/>
                <w:color w:val="auto"/>
                <w:sz w:val="21"/>
                <w:szCs w:val="21"/>
                <w:lang w:val="en-US" w:eastAsia="zh-CN"/>
              </w:rPr>
              <w:t>涂料、稀释剂、固化剂</w:t>
            </w:r>
            <w:r>
              <w:rPr>
                <w:rFonts w:hint="eastAsia"/>
                <w:color w:val="auto"/>
                <w:sz w:val="21"/>
                <w:szCs w:val="21"/>
              </w:rPr>
              <w:t>包装规格为</w:t>
            </w:r>
            <w:r>
              <w:rPr>
                <w:rFonts w:hint="eastAsia"/>
                <w:color w:val="auto"/>
                <w:sz w:val="21"/>
                <w:szCs w:val="21"/>
                <w:lang w:val="en-US" w:eastAsia="zh-CN"/>
              </w:rPr>
              <w:t>25kg/桶</w:t>
            </w:r>
            <w:r>
              <w:rPr>
                <w:rFonts w:hint="eastAsia"/>
                <w:color w:val="auto"/>
                <w:sz w:val="21"/>
                <w:szCs w:val="21"/>
              </w:rPr>
              <w:t>，暂存量较小，且仓库地面作防渗处理，因此即便发生泄漏，也可全部收集于托盘中，</w:t>
            </w:r>
            <w:r>
              <w:rPr>
                <w:color w:val="auto"/>
                <w:sz w:val="21"/>
                <w:szCs w:val="21"/>
              </w:rPr>
              <w:t>不会扩散至厂区或厂外环境。</w:t>
            </w:r>
          </w:p>
          <w:p w14:paraId="3AA138BF">
            <w:pPr>
              <w:pStyle w:val="23"/>
              <w:widowControl w:val="0"/>
              <w:autoSpaceDE w:val="0"/>
              <w:autoSpaceDN w:val="0"/>
              <w:ind w:firstLine="420" w:firstLineChars="200"/>
              <w:rPr>
                <w:color w:val="auto"/>
                <w:sz w:val="21"/>
                <w:szCs w:val="21"/>
              </w:rPr>
            </w:pPr>
            <w:r>
              <w:rPr>
                <w:rFonts w:hint="eastAsia"/>
                <w:color w:val="auto"/>
                <w:sz w:val="21"/>
                <w:szCs w:val="21"/>
              </w:rPr>
              <w:t>2）</w:t>
            </w:r>
            <w:r>
              <w:rPr>
                <w:color w:val="auto"/>
                <w:sz w:val="21"/>
                <w:szCs w:val="21"/>
              </w:rPr>
              <w:t>火灾爆炸事故源强</w:t>
            </w:r>
          </w:p>
          <w:p w14:paraId="215AB6CE">
            <w:pPr>
              <w:adjustRightInd w:val="0"/>
              <w:snapToGrid w:val="0"/>
              <w:spacing w:line="360" w:lineRule="auto"/>
              <w:ind w:firstLine="420" w:firstLineChars="200"/>
              <w:rPr>
                <w:color w:val="auto"/>
                <w:kern w:val="0"/>
              </w:rPr>
            </w:pPr>
            <w:r>
              <w:rPr>
                <w:color w:val="auto"/>
                <w:kern w:val="0"/>
              </w:rPr>
              <w:t>火灾、爆炸会产生次生或次生灾害，本次评估主要考虑火灾爆炸后衍生的废气污染物及消防尾水的环境影响。</w:t>
            </w:r>
          </w:p>
          <w:p w14:paraId="2C140414">
            <w:pPr>
              <w:pStyle w:val="23"/>
              <w:widowControl w:val="0"/>
              <w:autoSpaceDE w:val="0"/>
              <w:autoSpaceDN w:val="0"/>
              <w:ind w:firstLine="420" w:firstLineChars="200"/>
              <w:rPr>
                <w:color w:val="auto"/>
                <w:sz w:val="21"/>
                <w:szCs w:val="21"/>
              </w:rPr>
            </w:pPr>
            <w:r>
              <w:rPr>
                <w:rFonts w:hint="eastAsia"/>
                <w:color w:val="auto"/>
                <w:sz w:val="21"/>
                <w:szCs w:val="21"/>
              </w:rPr>
              <w:t>A、</w:t>
            </w:r>
            <w:r>
              <w:rPr>
                <w:color w:val="auto"/>
                <w:sz w:val="21"/>
                <w:szCs w:val="21"/>
              </w:rPr>
              <w:t>火灾爆炸伴生/次生的废气污染物</w:t>
            </w:r>
          </w:p>
          <w:p w14:paraId="0695C1C9">
            <w:pPr>
              <w:pStyle w:val="23"/>
              <w:widowControl w:val="0"/>
              <w:ind w:firstLine="420" w:firstLineChars="200"/>
              <w:rPr>
                <w:color w:val="auto"/>
                <w:sz w:val="21"/>
                <w:szCs w:val="21"/>
              </w:rPr>
            </w:pPr>
            <w:r>
              <w:rPr>
                <w:color w:val="auto"/>
                <w:sz w:val="21"/>
                <w:szCs w:val="21"/>
              </w:rPr>
              <w:t>建设单位可能发生的火灾爆炸环境事件主要是</w:t>
            </w:r>
            <w:r>
              <w:rPr>
                <w:rFonts w:hint="eastAsia"/>
                <w:color w:val="auto"/>
                <w:sz w:val="21"/>
                <w:szCs w:val="21"/>
                <w:lang w:val="en-US" w:eastAsia="zh-CN"/>
              </w:rPr>
              <w:t>涂料、稀释剂、固化剂</w:t>
            </w:r>
            <w:r>
              <w:rPr>
                <w:color w:val="auto"/>
                <w:sz w:val="21"/>
                <w:szCs w:val="21"/>
              </w:rPr>
              <w:t>遇到明火或者高温后引发的火灾事故及次生的大气污染。</w:t>
            </w:r>
            <w:r>
              <w:rPr>
                <w:rFonts w:hint="eastAsia"/>
                <w:color w:val="auto"/>
                <w:sz w:val="21"/>
                <w:szCs w:val="21"/>
              </w:rPr>
              <w:t>项目</w:t>
            </w:r>
            <w:r>
              <w:rPr>
                <w:rFonts w:hint="eastAsia"/>
                <w:color w:val="auto"/>
                <w:sz w:val="21"/>
                <w:szCs w:val="21"/>
                <w:lang w:val="en-US" w:eastAsia="zh-CN"/>
              </w:rPr>
              <w:t>涂料、稀释剂、固化剂</w:t>
            </w:r>
            <w:r>
              <w:rPr>
                <w:rFonts w:hint="eastAsia"/>
                <w:color w:val="auto"/>
                <w:sz w:val="21"/>
                <w:szCs w:val="21"/>
              </w:rPr>
              <w:t>暂存于</w:t>
            </w:r>
            <w:r>
              <w:rPr>
                <w:rFonts w:hint="eastAsia"/>
                <w:color w:val="auto"/>
                <w:sz w:val="21"/>
                <w:szCs w:val="21"/>
                <w:lang w:val="en-US" w:eastAsia="zh-CN"/>
              </w:rPr>
              <w:t>油漆仓库、原材料区</w:t>
            </w:r>
            <w:r>
              <w:rPr>
                <w:rFonts w:hint="eastAsia"/>
                <w:color w:val="auto"/>
                <w:sz w:val="21"/>
                <w:szCs w:val="21"/>
              </w:rPr>
              <w:t>，</w:t>
            </w:r>
            <w:r>
              <w:rPr>
                <w:color w:val="auto"/>
                <w:sz w:val="21"/>
                <w:szCs w:val="21"/>
              </w:rPr>
              <w:t>与其他功能区隔断，并严禁烟火，加强日常监控及管理，因此发生火灾爆炸的概率较低。</w:t>
            </w:r>
          </w:p>
          <w:p w14:paraId="2FA2D08E">
            <w:pPr>
              <w:pStyle w:val="27"/>
              <w:spacing w:line="360" w:lineRule="auto"/>
              <w:ind w:left="0" w:leftChars="0" w:right="0" w:rightChars="0" w:firstLine="422"/>
              <w:rPr>
                <w:b/>
                <w:bCs/>
                <w:color w:val="auto"/>
                <w:kern w:val="0"/>
                <w:sz w:val="21"/>
              </w:rPr>
            </w:pPr>
            <w:r>
              <w:rPr>
                <w:b/>
                <w:bCs/>
                <w:color w:val="auto"/>
                <w:kern w:val="0"/>
                <w:sz w:val="21"/>
              </w:rPr>
              <w:t>（2）环境风险防范措施及应急要求</w:t>
            </w:r>
          </w:p>
          <w:p w14:paraId="4971F006">
            <w:pPr>
              <w:pStyle w:val="27"/>
              <w:spacing w:line="360" w:lineRule="auto"/>
              <w:ind w:left="0" w:leftChars="0" w:right="0" w:rightChars="0" w:firstLine="422"/>
              <w:jc w:val="left"/>
              <w:rPr>
                <w:b/>
                <w:bCs/>
                <w:color w:val="auto"/>
                <w:kern w:val="0"/>
                <w:sz w:val="21"/>
              </w:rPr>
            </w:pPr>
            <w:r>
              <w:rPr>
                <w:rFonts w:hint="eastAsia"/>
                <w:b/>
                <w:bCs/>
                <w:color w:val="auto"/>
                <w:kern w:val="0"/>
                <w:sz w:val="21"/>
              </w:rPr>
              <w:fldChar w:fldCharType="begin"/>
            </w:r>
            <w:r>
              <w:rPr>
                <w:rFonts w:hint="eastAsia"/>
                <w:b/>
                <w:bCs/>
                <w:color w:val="auto"/>
                <w:kern w:val="0"/>
                <w:sz w:val="21"/>
              </w:rPr>
              <w:instrText xml:space="preserve"> = 1 \* GB3 \* MERGEFORMAT </w:instrText>
            </w:r>
            <w:r>
              <w:rPr>
                <w:rFonts w:hint="eastAsia"/>
                <w:b/>
                <w:bCs/>
                <w:color w:val="auto"/>
                <w:kern w:val="0"/>
                <w:sz w:val="21"/>
              </w:rPr>
              <w:fldChar w:fldCharType="separate"/>
            </w:r>
            <w:r>
              <w:rPr>
                <w:b/>
                <w:bCs/>
                <w:color w:val="auto"/>
                <w:kern w:val="0"/>
                <w:sz w:val="21"/>
              </w:rPr>
              <w:t>①</w:t>
            </w:r>
            <w:r>
              <w:rPr>
                <w:rFonts w:hint="eastAsia"/>
                <w:b/>
                <w:bCs/>
                <w:color w:val="auto"/>
                <w:kern w:val="0"/>
                <w:sz w:val="21"/>
              </w:rPr>
              <w:fldChar w:fldCharType="end"/>
            </w:r>
            <w:r>
              <w:rPr>
                <w:b/>
                <w:bCs/>
                <w:color w:val="auto"/>
                <w:kern w:val="0"/>
                <w:sz w:val="21"/>
              </w:rPr>
              <w:t>环境风险防范措施</w:t>
            </w:r>
          </w:p>
          <w:p w14:paraId="3E080CA0">
            <w:pPr>
              <w:adjustRightInd w:val="0"/>
              <w:snapToGrid w:val="0"/>
              <w:spacing w:line="360" w:lineRule="auto"/>
              <w:ind w:firstLine="422" w:firstLineChars="200"/>
              <w:rPr>
                <w:color w:val="auto"/>
                <w:kern w:val="0"/>
              </w:rPr>
            </w:pPr>
            <w:r>
              <w:rPr>
                <w:rFonts w:hint="eastAsia"/>
                <w:b/>
                <w:bCs/>
                <w:color w:val="auto"/>
                <w:kern w:val="0"/>
              </w:rPr>
              <w:t>1）</w:t>
            </w:r>
            <w:r>
              <w:rPr>
                <w:b/>
                <w:bCs/>
                <w:color w:val="auto"/>
                <w:kern w:val="0"/>
              </w:rPr>
              <w:t>泄漏事故风险防范措施</w:t>
            </w:r>
          </w:p>
          <w:p w14:paraId="5E33DFC3">
            <w:pPr>
              <w:adjustRightInd w:val="0"/>
              <w:snapToGrid w:val="0"/>
              <w:spacing w:line="360" w:lineRule="auto"/>
              <w:ind w:firstLine="420" w:firstLineChars="200"/>
              <w:rPr>
                <w:color w:val="auto"/>
                <w:kern w:val="0"/>
              </w:rPr>
            </w:pPr>
            <w:r>
              <w:rPr>
                <w:rFonts w:hint="eastAsia"/>
                <w:color w:val="auto"/>
                <w:kern w:val="0"/>
              </w:rPr>
              <w:t>本项目</w:t>
            </w:r>
            <w:r>
              <w:rPr>
                <w:rFonts w:hint="eastAsia"/>
                <w:color w:val="auto"/>
                <w:sz w:val="21"/>
                <w:szCs w:val="21"/>
                <w:lang w:val="en-US" w:eastAsia="zh-CN"/>
              </w:rPr>
              <w:t>涂料、稀释剂、固化剂</w:t>
            </w:r>
            <w:r>
              <w:rPr>
                <w:rFonts w:hint="eastAsia"/>
                <w:color w:val="auto"/>
                <w:sz w:val="21"/>
                <w:szCs w:val="21"/>
              </w:rPr>
              <w:t>暂存于</w:t>
            </w:r>
            <w:r>
              <w:rPr>
                <w:rFonts w:hint="eastAsia"/>
                <w:color w:val="auto"/>
                <w:sz w:val="21"/>
                <w:szCs w:val="21"/>
                <w:lang w:val="en-US" w:eastAsia="zh-CN"/>
              </w:rPr>
              <w:t>油漆仓库、原材料区</w:t>
            </w:r>
            <w:r>
              <w:rPr>
                <w:rFonts w:hint="eastAsia"/>
                <w:color w:val="auto"/>
                <w:kern w:val="0"/>
              </w:rPr>
              <w:t>，桶底部设有托盘，桶底部设有托盘，且仓库地面作防渗处理，同时加强车间巡检，关注各包装桶破损泄漏情况，及时更换破损包装桶，减少泄漏事故的发生</w:t>
            </w:r>
            <w:r>
              <w:rPr>
                <w:color w:val="auto"/>
                <w:kern w:val="0"/>
              </w:rPr>
              <w:t>。</w:t>
            </w:r>
          </w:p>
          <w:p w14:paraId="599942F7">
            <w:pPr>
              <w:widowControl/>
              <w:adjustRightInd w:val="0"/>
              <w:snapToGrid w:val="0"/>
              <w:spacing w:line="360" w:lineRule="auto"/>
              <w:ind w:firstLine="422" w:firstLineChars="200"/>
              <w:rPr>
                <w:b/>
                <w:bCs/>
                <w:color w:val="auto"/>
                <w:kern w:val="0"/>
              </w:rPr>
            </w:pPr>
            <w:r>
              <w:rPr>
                <w:rFonts w:hint="eastAsia"/>
                <w:b/>
                <w:bCs/>
                <w:color w:val="auto"/>
                <w:kern w:val="0"/>
              </w:rPr>
              <w:t>2）</w:t>
            </w:r>
            <w:r>
              <w:rPr>
                <w:b/>
                <w:bCs/>
                <w:color w:val="auto"/>
                <w:kern w:val="0"/>
              </w:rPr>
              <w:t>火灾爆炸事故风险防范措施</w:t>
            </w:r>
          </w:p>
          <w:p w14:paraId="0CABD5F6">
            <w:pPr>
              <w:pStyle w:val="23"/>
              <w:widowControl w:val="0"/>
              <w:ind w:firstLine="420" w:firstLineChars="200"/>
              <w:rPr>
                <w:color w:val="auto"/>
                <w:sz w:val="21"/>
                <w:szCs w:val="21"/>
              </w:rPr>
            </w:pPr>
            <w:r>
              <w:rPr>
                <w:color w:val="auto"/>
                <w:sz w:val="21"/>
                <w:szCs w:val="21"/>
              </w:rPr>
              <w:t>本项目</w:t>
            </w:r>
            <w:r>
              <w:rPr>
                <w:rFonts w:hint="eastAsia"/>
                <w:color w:val="auto"/>
                <w:sz w:val="21"/>
                <w:szCs w:val="21"/>
                <w:lang w:val="en-US" w:eastAsia="zh-CN"/>
              </w:rPr>
              <w:t>涂料、稀释剂、固化剂</w:t>
            </w:r>
            <w:r>
              <w:rPr>
                <w:color w:val="auto"/>
                <w:sz w:val="21"/>
                <w:szCs w:val="21"/>
              </w:rPr>
              <w:t>具备可燃性。因此建设单位应当做好防范措施。为减少事故的发生和影响建设单位应采取以下措施。</w:t>
            </w:r>
          </w:p>
          <w:p w14:paraId="5926480D">
            <w:pPr>
              <w:pStyle w:val="23"/>
              <w:widowControl w:val="0"/>
              <w:ind w:firstLine="420" w:firstLineChars="200"/>
              <w:rPr>
                <w:color w:val="auto"/>
                <w:sz w:val="21"/>
                <w:szCs w:val="21"/>
              </w:rPr>
            </w:pPr>
            <w:r>
              <w:rPr>
                <w:color w:val="auto"/>
                <w:sz w:val="21"/>
                <w:szCs w:val="21"/>
              </w:rPr>
              <w:t>建设单位需建立健全安全操作规程及值勤制度，设置通讯、报警装置，并确保其处于完好状态；厂区配置合格的消防器材，并确保其处于完好状态。</w:t>
            </w:r>
          </w:p>
          <w:p w14:paraId="796112F9">
            <w:pPr>
              <w:pStyle w:val="23"/>
              <w:widowControl w:val="0"/>
              <w:ind w:firstLine="420" w:firstLineChars="200"/>
              <w:rPr>
                <w:color w:val="auto"/>
                <w:sz w:val="21"/>
                <w:szCs w:val="21"/>
              </w:rPr>
            </w:pPr>
            <w:r>
              <w:rPr>
                <w:color w:val="auto"/>
                <w:sz w:val="21"/>
                <w:szCs w:val="21"/>
              </w:rPr>
              <w:t>加强火源的管理，严禁烟火带入，对设备需进行维修焊接，应经安全部门确认、准许，并有记录。机动车在厂内行驶，须安装阻火器，必要设备安装防火、防爆装置。</w:t>
            </w:r>
          </w:p>
          <w:p w14:paraId="49C8687E">
            <w:pPr>
              <w:pStyle w:val="23"/>
              <w:widowControl w:val="0"/>
              <w:ind w:firstLine="420" w:firstLineChars="200"/>
              <w:rPr>
                <w:color w:val="auto"/>
                <w:sz w:val="21"/>
                <w:szCs w:val="21"/>
              </w:rPr>
            </w:pPr>
            <w:r>
              <w:rPr>
                <w:color w:val="auto"/>
                <w:sz w:val="21"/>
                <w:szCs w:val="21"/>
              </w:rPr>
              <w:t>设备的安全管理：定期对设备进行安全检测，检测内容、时间、人员应有记录保存。安全检测应根据设备的安全性、危险性设定检测频次。</w:t>
            </w:r>
          </w:p>
          <w:p w14:paraId="7A8A518A">
            <w:pPr>
              <w:adjustRightInd w:val="0"/>
              <w:snapToGrid w:val="0"/>
              <w:spacing w:line="360" w:lineRule="auto"/>
              <w:ind w:firstLine="422" w:firstLineChars="200"/>
              <w:rPr>
                <w:color w:val="auto"/>
                <w:kern w:val="0"/>
              </w:rPr>
            </w:pPr>
            <w:r>
              <w:rPr>
                <w:rFonts w:hint="eastAsia"/>
                <w:b/>
                <w:bCs/>
                <w:color w:val="auto"/>
                <w:kern w:val="0"/>
              </w:rPr>
              <w:t>3）</w:t>
            </w:r>
            <w:r>
              <w:rPr>
                <w:b/>
                <w:bCs/>
                <w:color w:val="auto"/>
                <w:kern w:val="0"/>
              </w:rPr>
              <w:t>危废仓库风险防范措施</w:t>
            </w:r>
          </w:p>
          <w:p w14:paraId="52508A95">
            <w:pPr>
              <w:adjustRightInd w:val="0"/>
              <w:snapToGrid w:val="0"/>
              <w:spacing w:line="360" w:lineRule="auto"/>
              <w:ind w:firstLine="420" w:firstLineChars="200"/>
              <w:rPr>
                <w:color w:val="auto"/>
                <w:kern w:val="0"/>
              </w:rPr>
            </w:pPr>
            <w:r>
              <w:rPr>
                <w:color w:val="auto"/>
                <w:kern w:val="0"/>
              </w:rPr>
              <w:t>危废暂存场地必须按《危险废物贮存污染控制标准》（GB18597-2023）的要求进行设置。危险废物分类存放到危废仓库，做好进出库管理，及时登记，账物相符，并做好贮存场所和危废包装的标识工作。危废堆场要</w:t>
            </w:r>
            <w:r>
              <w:rPr>
                <w:rFonts w:hint="eastAsia"/>
                <w:color w:val="auto"/>
                <w:kern w:val="0"/>
              </w:rPr>
              <w:t>采取必要的防风、防晒、防雨、防漏、防渗、防腐以及其他环境污染防治措施</w:t>
            </w:r>
            <w:r>
              <w:rPr>
                <w:color w:val="auto"/>
                <w:kern w:val="0"/>
              </w:rPr>
              <w:t>；地面与裙脚要用坚固、防渗的材料建造，建筑材料必须与危险废物相容。通道、出入口和通向消防设施的道路保持畅通，同时配置合格的消防器材，并确保其处于完好状态。</w:t>
            </w:r>
          </w:p>
          <w:p w14:paraId="475F3CFB">
            <w:pPr>
              <w:adjustRightInd w:val="0"/>
              <w:snapToGrid w:val="0"/>
              <w:spacing w:line="360" w:lineRule="auto"/>
              <w:ind w:firstLine="422" w:firstLineChars="200"/>
              <w:rPr>
                <w:color w:val="auto"/>
                <w:kern w:val="0"/>
              </w:rPr>
            </w:pPr>
            <w:r>
              <w:rPr>
                <w:rFonts w:hint="eastAsia"/>
                <w:b/>
                <w:bCs/>
                <w:color w:val="auto"/>
                <w:kern w:val="0"/>
              </w:rPr>
              <w:t>4）</w:t>
            </w:r>
            <w:r>
              <w:rPr>
                <w:b/>
                <w:bCs/>
                <w:color w:val="auto"/>
                <w:kern w:val="0"/>
              </w:rPr>
              <w:t>废气处理装置设备事故风险防范措施</w:t>
            </w:r>
          </w:p>
          <w:p w14:paraId="03AA8B3A">
            <w:pPr>
              <w:pStyle w:val="5"/>
              <w:adjustRightInd w:val="0"/>
              <w:snapToGrid w:val="0"/>
              <w:spacing w:line="360" w:lineRule="auto"/>
              <w:ind w:firstLineChars="200"/>
              <w:rPr>
                <w:bCs/>
                <w:color w:val="auto"/>
                <w:kern w:val="0"/>
                <w:szCs w:val="21"/>
              </w:rPr>
            </w:pPr>
            <w:r>
              <w:rPr>
                <w:bCs/>
                <w:color w:val="auto"/>
                <w:kern w:val="0"/>
                <w:szCs w:val="21"/>
              </w:rPr>
              <w:t>为减少事故的发生和影响建设单位应采取以下措施。</w:t>
            </w:r>
          </w:p>
          <w:p w14:paraId="48C80A08">
            <w:pPr>
              <w:pStyle w:val="5"/>
              <w:adjustRightInd w:val="0"/>
              <w:snapToGrid w:val="0"/>
              <w:spacing w:line="360" w:lineRule="auto"/>
              <w:ind w:firstLineChars="200"/>
              <w:rPr>
                <w:bCs/>
                <w:color w:val="auto"/>
                <w:kern w:val="0"/>
                <w:szCs w:val="21"/>
              </w:rPr>
            </w:pPr>
            <w:r>
              <w:rPr>
                <w:rFonts w:hint="eastAsia"/>
                <w:bCs/>
                <w:color w:val="auto"/>
                <w:kern w:val="0"/>
                <w:szCs w:val="21"/>
              </w:rPr>
              <w:t>A、</w:t>
            </w:r>
            <w:r>
              <w:rPr>
                <w:bCs/>
                <w:color w:val="auto"/>
                <w:kern w:val="0"/>
                <w:szCs w:val="21"/>
              </w:rPr>
              <w:t>建立严格的操作规程，实行目标责任制，保证环境保护设施的正常运行。</w:t>
            </w:r>
          </w:p>
          <w:p w14:paraId="07701B1F">
            <w:pPr>
              <w:pStyle w:val="5"/>
              <w:adjustRightInd w:val="0"/>
              <w:snapToGrid w:val="0"/>
              <w:spacing w:line="360" w:lineRule="auto"/>
              <w:ind w:firstLineChars="200"/>
              <w:rPr>
                <w:bCs/>
                <w:color w:val="auto"/>
                <w:kern w:val="0"/>
                <w:szCs w:val="21"/>
              </w:rPr>
            </w:pPr>
            <w:r>
              <w:rPr>
                <w:rFonts w:hint="eastAsia"/>
                <w:bCs/>
                <w:color w:val="auto"/>
                <w:kern w:val="0"/>
                <w:szCs w:val="21"/>
              </w:rPr>
              <w:t>B、</w:t>
            </w:r>
            <w:r>
              <w:rPr>
                <w:bCs/>
                <w:color w:val="auto"/>
                <w:kern w:val="0"/>
                <w:szCs w:val="21"/>
              </w:rPr>
              <w:t>对废气处理系统进行定期的监测和检修，如发生腐蚀、设备运行不稳定的情况，需对设备进行更换和修理，确保废气处理装置的正常运行。</w:t>
            </w:r>
          </w:p>
          <w:p w14:paraId="06FA3D43">
            <w:pPr>
              <w:pStyle w:val="5"/>
              <w:adjustRightInd w:val="0"/>
              <w:snapToGrid w:val="0"/>
              <w:spacing w:line="360" w:lineRule="auto"/>
              <w:ind w:firstLineChars="200"/>
              <w:rPr>
                <w:bCs/>
                <w:color w:val="auto"/>
                <w:kern w:val="0"/>
                <w:szCs w:val="21"/>
              </w:rPr>
            </w:pPr>
            <w:r>
              <w:rPr>
                <w:rFonts w:hint="eastAsia"/>
                <w:bCs/>
                <w:color w:val="auto"/>
                <w:kern w:val="0"/>
                <w:szCs w:val="21"/>
              </w:rPr>
              <w:t>C、</w:t>
            </w:r>
            <w:r>
              <w:rPr>
                <w:bCs/>
                <w:color w:val="auto"/>
                <w:kern w:val="0"/>
                <w:szCs w:val="21"/>
              </w:rPr>
              <w:t>二级活性炭吸附装置对废气进行处理后，应定期对二级活性炭进行更换，以便于废气的有效处理。</w:t>
            </w:r>
          </w:p>
          <w:p w14:paraId="019C9436">
            <w:pPr>
              <w:pStyle w:val="5"/>
              <w:adjustRightInd w:val="0"/>
              <w:snapToGrid w:val="0"/>
              <w:spacing w:line="360" w:lineRule="auto"/>
              <w:ind w:firstLineChars="200"/>
              <w:rPr>
                <w:bCs/>
                <w:color w:val="auto"/>
                <w:kern w:val="0"/>
                <w:szCs w:val="21"/>
              </w:rPr>
            </w:pPr>
            <w:r>
              <w:rPr>
                <w:rFonts w:hint="eastAsia"/>
                <w:bCs/>
                <w:color w:val="auto"/>
                <w:kern w:val="0"/>
                <w:szCs w:val="21"/>
              </w:rPr>
              <w:t>D、</w:t>
            </w:r>
            <w:r>
              <w:rPr>
                <w:bCs/>
                <w:color w:val="auto"/>
                <w:kern w:val="0"/>
                <w:szCs w:val="21"/>
              </w:rPr>
              <w:t>废气处理装置一旦出现故障，应立即关闭生产设备，避免废气未经处理进入大气环境。</w:t>
            </w:r>
          </w:p>
          <w:p w14:paraId="3AEA6C28">
            <w:pPr>
              <w:pStyle w:val="5"/>
              <w:adjustRightInd w:val="0"/>
              <w:snapToGrid w:val="0"/>
              <w:spacing w:line="360" w:lineRule="auto"/>
              <w:ind w:firstLineChars="200"/>
              <w:rPr>
                <w:bCs/>
                <w:color w:val="auto"/>
                <w:kern w:val="0"/>
                <w:szCs w:val="21"/>
              </w:rPr>
            </w:pPr>
            <w:r>
              <w:rPr>
                <w:rFonts w:hint="eastAsia"/>
                <w:bCs/>
                <w:color w:val="auto"/>
                <w:kern w:val="0"/>
                <w:szCs w:val="21"/>
              </w:rPr>
              <w:t>E、</w:t>
            </w:r>
            <w:r>
              <w:rPr>
                <w:bCs/>
                <w:color w:val="auto"/>
                <w:kern w:val="0"/>
                <w:szCs w:val="21"/>
              </w:rPr>
              <w:t>二级活性炭吸附装置产生的废活性炭应妥善保存，避免过滤介质、二级活性炭接触明火和高温设备而引发的火灾及其次伴生环境风险事故。</w:t>
            </w:r>
          </w:p>
          <w:p w14:paraId="0A5AFCBF">
            <w:pPr>
              <w:adjustRightInd w:val="0"/>
              <w:snapToGrid w:val="0"/>
              <w:spacing w:line="360" w:lineRule="auto"/>
              <w:ind w:firstLine="420" w:firstLineChars="200"/>
              <w:rPr>
                <w:bCs/>
                <w:color w:val="auto"/>
                <w:kern w:val="0"/>
              </w:rPr>
            </w:pPr>
            <w:r>
              <w:rPr>
                <w:rFonts w:hint="eastAsia"/>
                <w:color w:val="auto"/>
                <w:kern w:val="0"/>
              </w:rPr>
              <w:t>F、</w:t>
            </w:r>
            <w:r>
              <w:rPr>
                <w:bCs/>
                <w:color w:val="auto"/>
                <w:kern w:val="0"/>
              </w:rPr>
              <w:t>每年定期组织一次污染治理设施意外事故的应急措施落实情况和应急设备（备用设备）完好情况的检查。</w:t>
            </w:r>
          </w:p>
          <w:p w14:paraId="55612D37">
            <w:pPr>
              <w:pStyle w:val="23"/>
              <w:ind w:firstLine="422" w:firstLineChars="200"/>
              <w:rPr>
                <w:b/>
                <w:bCs/>
                <w:color w:val="auto"/>
                <w:sz w:val="21"/>
                <w:szCs w:val="21"/>
              </w:rPr>
            </w:pPr>
            <w:r>
              <w:rPr>
                <w:b/>
                <w:bCs/>
                <w:color w:val="auto"/>
                <w:sz w:val="21"/>
                <w:szCs w:val="21"/>
              </w:rPr>
              <w:fldChar w:fldCharType="begin"/>
            </w:r>
            <w:r>
              <w:rPr>
                <w:b/>
                <w:bCs/>
                <w:color w:val="auto"/>
                <w:sz w:val="21"/>
                <w:szCs w:val="21"/>
              </w:rPr>
              <w:instrText xml:space="preserve"> = 2 \* GB3 \* MERGEFORMAT </w:instrText>
            </w:r>
            <w:r>
              <w:rPr>
                <w:b/>
                <w:bCs/>
                <w:color w:val="auto"/>
                <w:sz w:val="21"/>
                <w:szCs w:val="21"/>
              </w:rPr>
              <w:fldChar w:fldCharType="separate"/>
            </w:r>
            <w:r>
              <w:rPr>
                <w:b/>
                <w:bCs/>
                <w:color w:val="auto"/>
                <w:sz w:val="21"/>
                <w:szCs w:val="21"/>
              </w:rPr>
              <w:t>②</w:t>
            </w:r>
            <w:r>
              <w:rPr>
                <w:b/>
                <w:bCs/>
                <w:color w:val="auto"/>
                <w:sz w:val="21"/>
                <w:szCs w:val="21"/>
              </w:rPr>
              <w:fldChar w:fldCharType="end"/>
            </w:r>
            <w:r>
              <w:rPr>
                <w:b/>
                <w:bCs/>
                <w:color w:val="auto"/>
                <w:sz w:val="21"/>
                <w:szCs w:val="21"/>
              </w:rPr>
              <w:t>环境风</w:t>
            </w:r>
            <w:r>
              <w:rPr>
                <w:rFonts w:hint="eastAsia"/>
                <w:b/>
                <w:bCs/>
                <w:color w:val="auto"/>
                <w:sz w:val="21"/>
                <w:szCs w:val="21"/>
              </w:rPr>
              <w:t>险应急措施</w:t>
            </w:r>
          </w:p>
          <w:p w14:paraId="26A14EB2">
            <w:pPr>
              <w:pStyle w:val="23"/>
              <w:ind w:firstLine="422" w:firstLineChars="200"/>
              <w:rPr>
                <w:b/>
                <w:bCs/>
                <w:color w:val="auto"/>
                <w:sz w:val="21"/>
                <w:szCs w:val="21"/>
              </w:rPr>
            </w:pPr>
            <w:r>
              <w:rPr>
                <w:rFonts w:hint="eastAsia"/>
                <w:b/>
                <w:bCs/>
                <w:color w:val="auto"/>
                <w:sz w:val="21"/>
                <w:szCs w:val="21"/>
              </w:rPr>
              <w:t>1）火灾和爆炸事故应急措施</w:t>
            </w:r>
          </w:p>
          <w:p w14:paraId="30C48FF3">
            <w:pPr>
              <w:pStyle w:val="23"/>
              <w:ind w:firstLine="420" w:firstLineChars="200"/>
              <w:rPr>
                <w:color w:val="auto"/>
                <w:sz w:val="21"/>
                <w:szCs w:val="21"/>
              </w:rPr>
            </w:pPr>
            <w:r>
              <w:rPr>
                <w:rFonts w:hint="eastAsia"/>
                <w:color w:val="auto"/>
                <w:sz w:val="21"/>
                <w:szCs w:val="21"/>
              </w:rPr>
              <w:t>现场人员一旦发现火灾爆炸事故，应立即逐级报告，汇报时应明确发生的时间、地点、简要经过、人员伤亡情况等，并运用各种应急设施和器具急救，防止事故扩大。配电室或电器设备着火，应立即切断电源，采用二氧化碳或干粉灭火器进行灭火，不得使用水灭火。如火势较大影响自身安全时，应迅速组织人员疏散，发现火情人迅速向应急救援总指挥报告，请求支援。全警戒通讯组在引导人员紧急疏散时，要用湿毛巾或用其他棉织物捂住嘴、鼻逃离，要求人员低首俯身，贴近地面，以避开处于空气上方的毒烟，疏散到空旷的安全地带。</w:t>
            </w:r>
          </w:p>
          <w:p w14:paraId="00C351B2">
            <w:pPr>
              <w:pStyle w:val="23"/>
              <w:ind w:firstLine="420" w:firstLineChars="200"/>
              <w:rPr>
                <w:b/>
                <w:bCs/>
                <w:color w:val="auto"/>
                <w:sz w:val="21"/>
                <w:szCs w:val="21"/>
              </w:rPr>
            </w:pPr>
            <w:r>
              <w:rPr>
                <w:color w:val="auto"/>
                <w:sz w:val="21"/>
                <w:szCs w:val="21"/>
              </w:rPr>
              <w:t>火灾爆炸衍生的消防尾水</w:t>
            </w:r>
            <w:r>
              <w:rPr>
                <w:rFonts w:hint="eastAsia"/>
                <w:color w:val="auto"/>
                <w:sz w:val="21"/>
                <w:szCs w:val="21"/>
              </w:rPr>
              <w:t>：</w:t>
            </w:r>
          </w:p>
          <w:p w14:paraId="1B86A902">
            <w:pPr>
              <w:adjustRightInd w:val="0"/>
              <w:snapToGrid w:val="0"/>
              <w:spacing w:line="360" w:lineRule="auto"/>
              <w:ind w:firstLine="420" w:firstLineChars="200"/>
              <w:rPr>
                <w:color w:val="auto"/>
                <w:kern w:val="0"/>
              </w:rPr>
            </w:pPr>
            <w:r>
              <w:rPr>
                <w:color w:val="auto"/>
                <w:kern w:val="0"/>
              </w:rPr>
              <w:t>本次评估依据《事故状态下水体污染的预防与控制规范》（Q/SY08190-2019）计算事故排水量，包括事故时最大泄漏量、消防水量、生产废水量。事故水池容积确定拟参照Q/SY08190-2019确定，计算公式如下：</w:t>
            </w:r>
          </w:p>
          <w:p w14:paraId="1F95F392">
            <w:pPr>
              <w:snapToGrid w:val="0"/>
              <w:spacing w:line="360" w:lineRule="auto"/>
              <w:jc w:val="center"/>
              <w:rPr>
                <w:color w:val="auto"/>
                <w:kern w:val="0"/>
                <w:vertAlign w:val="subscript"/>
              </w:rPr>
            </w:pPr>
            <w:r>
              <w:rPr>
                <w:color w:val="auto"/>
                <w:kern w:val="0"/>
              </w:rPr>
              <w:t>V</w:t>
            </w:r>
            <w:r>
              <w:rPr>
                <w:color w:val="auto"/>
                <w:kern w:val="0"/>
                <w:vertAlign w:val="subscript"/>
              </w:rPr>
              <w:t>总</w:t>
            </w:r>
            <w:r>
              <w:rPr>
                <w:color w:val="auto"/>
                <w:kern w:val="0"/>
              </w:rPr>
              <w:t>=（V</w:t>
            </w:r>
            <w:r>
              <w:rPr>
                <w:color w:val="auto"/>
                <w:kern w:val="0"/>
                <w:vertAlign w:val="subscript"/>
              </w:rPr>
              <w:t>1</w:t>
            </w:r>
            <w:r>
              <w:rPr>
                <w:color w:val="auto"/>
                <w:kern w:val="0"/>
              </w:rPr>
              <w:t>+V</w:t>
            </w:r>
            <w:r>
              <w:rPr>
                <w:color w:val="auto"/>
                <w:kern w:val="0"/>
                <w:vertAlign w:val="subscript"/>
              </w:rPr>
              <w:t>2</w:t>
            </w:r>
            <w:r>
              <w:rPr>
                <w:color w:val="auto"/>
                <w:kern w:val="0"/>
              </w:rPr>
              <w:t>-V</w:t>
            </w:r>
            <w:r>
              <w:rPr>
                <w:color w:val="auto"/>
                <w:kern w:val="0"/>
                <w:vertAlign w:val="subscript"/>
              </w:rPr>
              <w:t>3</w:t>
            </w:r>
            <w:r>
              <w:rPr>
                <w:color w:val="auto"/>
                <w:kern w:val="0"/>
              </w:rPr>
              <w:t>）</w:t>
            </w:r>
            <w:r>
              <w:rPr>
                <w:color w:val="auto"/>
                <w:kern w:val="0"/>
                <w:vertAlign w:val="subscript"/>
              </w:rPr>
              <w:t>max</w:t>
            </w:r>
            <w:r>
              <w:rPr>
                <w:color w:val="auto"/>
                <w:kern w:val="0"/>
              </w:rPr>
              <w:t>+V</w:t>
            </w:r>
            <w:r>
              <w:rPr>
                <w:color w:val="auto"/>
                <w:kern w:val="0"/>
                <w:vertAlign w:val="subscript"/>
              </w:rPr>
              <w:t>4</w:t>
            </w:r>
            <w:r>
              <w:rPr>
                <w:color w:val="auto"/>
                <w:kern w:val="0"/>
              </w:rPr>
              <w:t>+V</w:t>
            </w:r>
            <w:r>
              <w:rPr>
                <w:color w:val="auto"/>
                <w:kern w:val="0"/>
                <w:vertAlign w:val="subscript"/>
              </w:rPr>
              <w:t>5</w:t>
            </w:r>
          </w:p>
          <w:p w14:paraId="798CE432">
            <w:pPr>
              <w:snapToGrid w:val="0"/>
              <w:spacing w:line="360" w:lineRule="auto"/>
              <w:jc w:val="center"/>
              <w:rPr>
                <w:color w:val="auto"/>
                <w:kern w:val="0"/>
                <w:vertAlign w:val="subscript"/>
              </w:rPr>
            </w:pPr>
            <w:r>
              <w:rPr>
                <w:color w:val="auto"/>
                <w:kern w:val="0"/>
              </w:rPr>
              <w:t>V</w:t>
            </w:r>
            <w:r>
              <w:rPr>
                <w:color w:val="auto"/>
                <w:kern w:val="0"/>
                <w:vertAlign w:val="subscript"/>
              </w:rPr>
              <w:t>2</w:t>
            </w:r>
            <w:r>
              <w:rPr>
                <w:color w:val="auto"/>
                <w:kern w:val="0"/>
              </w:rPr>
              <w:t>=∑Q</w:t>
            </w:r>
            <w:r>
              <w:rPr>
                <w:color w:val="auto"/>
                <w:kern w:val="0"/>
                <w:vertAlign w:val="subscript"/>
              </w:rPr>
              <w:t>消</w:t>
            </w:r>
            <w:r>
              <w:rPr>
                <w:color w:val="auto"/>
                <w:kern w:val="0"/>
              </w:rPr>
              <w:t>×t</w:t>
            </w:r>
            <w:r>
              <w:rPr>
                <w:color w:val="auto"/>
                <w:kern w:val="0"/>
                <w:vertAlign w:val="subscript"/>
              </w:rPr>
              <w:t>消</w:t>
            </w:r>
          </w:p>
          <w:p w14:paraId="0D3C1366">
            <w:pPr>
              <w:snapToGrid w:val="0"/>
              <w:spacing w:line="360" w:lineRule="auto"/>
              <w:jc w:val="center"/>
              <w:rPr>
                <w:color w:val="auto"/>
                <w:kern w:val="0"/>
              </w:rPr>
            </w:pPr>
            <w:r>
              <w:rPr>
                <w:color w:val="auto"/>
                <w:kern w:val="0"/>
              </w:rPr>
              <w:t>V</w:t>
            </w:r>
            <w:r>
              <w:rPr>
                <w:color w:val="auto"/>
                <w:kern w:val="0"/>
                <w:vertAlign w:val="subscript"/>
              </w:rPr>
              <w:t>5</w:t>
            </w:r>
            <w:r>
              <w:rPr>
                <w:color w:val="auto"/>
                <w:kern w:val="0"/>
              </w:rPr>
              <w:t>=10qf</w:t>
            </w:r>
          </w:p>
          <w:p w14:paraId="516694E2">
            <w:pPr>
              <w:pStyle w:val="701"/>
              <w:spacing w:line="360" w:lineRule="auto"/>
              <w:jc w:val="center"/>
              <w:rPr>
                <w:rFonts w:hint="default"/>
                <w:color w:val="auto"/>
                <w:kern w:val="0"/>
                <w:sz w:val="21"/>
              </w:rPr>
            </w:pPr>
            <w:r>
              <w:rPr>
                <w:rFonts w:hint="default"/>
                <w:color w:val="auto"/>
                <w:kern w:val="0"/>
                <w:sz w:val="21"/>
              </w:rPr>
              <w:t>q=q</w:t>
            </w:r>
            <w:r>
              <w:rPr>
                <w:rFonts w:hint="default"/>
                <w:color w:val="auto"/>
                <w:kern w:val="0"/>
                <w:sz w:val="21"/>
                <w:vertAlign w:val="subscript"/>
              </w:rPr>
              <w:t>a</w:t>
            </w:r>
            <w:r>
              <w:rPr>
                <w:rFonts w:hint="default"/>
                <w:color w:val="auto"/>
                <w:kern w:val="0"/>
                <w:sz w:val="21"/>
              </w:rPr>
              <w:t>/n</w:t>
            </w:r>
          </w:p>
          <w:p w14:paraId="353FB9F8">
            <w:pPr>
              <w:adjustRightInd w:val="0"/>
              <w:snapToGrid w:val="0"/>
              <w:spacing w:line="360" w:lineRule="auto"/>
              <w:ind w:firstLine="420" w:firstLineChars="200"/>
              <w:rPr>
                <w:color w:val="auto"/>
                <w:kern w:val="0"/>
              </w:rPr>
            </w:pPr>
            <w:r>
              <w:rPr>
                <w:color w:val="auto"/>
                <w:kern w:val="0"/>
              </w:rPr>
              <w:t>式中V</w:t>
            </w:r>
            <w:r>
              <w:rPr>
                <w:color w:val="auto"/>
                <w:kern w:val="0"/>
                <w:vertAlign w:val="subscript"/>
              </w:rPr>
              <w:t>总</w:t>
            </w:r>
            <w:r>
              <w:rPr>
                <w:color w:val="auto"/>
                <w:kern w:val="0"/>
              </w:rPr>
              <w:t>—事故缓冲设施总有效容积，单位为立方米（m</w:t>
            </w:r>
            <w:r>
              <w:rPr>
                <w:color w:val="auto"/>
                <w:kern w:val="0"/>
                <w:vertAlign w:val="superscript"/>
              </w:rPr>
              <w:t>3</w:t>
            </w:r>
            <w:r>
              <w:rPr>
                <w:color w:val="auto"/>
                <w:kern w:val="0"/>
              </w:rPr>
              <w:t>）；</w:t>
            </w:r>
          </w:p>
          <w:p w14:paraId="53893ABF">
            <w:pPr>
              <w:pStyle w:val="702"/>
              <w:autoSpaceDE w:val="0"/>
              <w:autoSpaceDN w:val="0"/>
              <w:spacing w:line="360" w:lineRule="auto"/>
              <w:ind w:firstLine="420" w:firstLineChars="200"/>
              <w:rPr>
                <w:rFonts w:eastAsia="宋体"/>
                <w:color w:val="auto"/>
                <w:kern w:val="0"/>
                <w:sz w:val="21"/>
                <w:szCs w:val="21"/>
              </w:rPr>
            </w:pPr>
            <w:r>
              <w:rPr>
                <w:rStyle w:val="218"/>
                <w:rFonts w:eastAsia="宋体"/>
                <w:b w:val="0"/>
                <w:color w:val="auto"/>
                <w:kern w:val="0"/>
                <w:sz w:val="21"/>
                <w:szCs w:val="21"/>
              </w:rPr>
              <w:t>V</w:t>
            </w:r>
            <w:r>
              <w:rPr>
                <w:rStyle w:val="218"/>
                <w:rFonts w:eastAsia="宋体"/>
                <w:b w:val="0"/>
                <w:color w:val="auto"/>
                <w:kern w:val="0"/>
                <w:sz w:val="21"/>
                <w:szCs w:val="21"/>
                <w:vertAlign w:val="subscript"/>
              </w:rPr>
              <w:t>1</w:t>
            </w:r>
            <w:r>
              <w:rPr>
                <w:rStyle w:val="218"/>
                <w:rFonts w:eastAsia="宋体"/>
                <w:b w:val="0"/>
                <w:color w:val="auto"/>
                <w:kern w:val="0"/>
                <w:sz w:val="21"/>
                <w:szCs w:val="21"/>
              </w:rPr>
              <w:t>—收集系统范围内发生事故的一个罐组或一套装置的物料量，项目无储罐或装置，</w:t>
            </w:r>
            <w:r>
              <w:rPr>
                <w:rFonts w:eastAsia="宋体"/>
                <w:b w:val="0"/>
                <w:bCs/>
                <w:color w:val="auto"/>
                <w:kern w:val="0"/>
                <w:sz w:val="21"/>
                <w:szCs w:val="21"/>
              </w:rPr>
              <w:t>因此</w:t>
            </w:r>
            <w:r>
              <w:rPr>
                <w:rFonts w:eastAsia="宋体"/>
                <w:bCs/>
                <w:color w:val="auto"/>
                <w:kern w:val="0"/>
                <w:sz w:val="21"/>
                <w:szCs w:val="21"/>
              </w:rPr>
              <w:t>V</w:t>
            </w:r>
            <w:r>
              <w:rPr>
                <w:rFonts w:eastAsia="宋体"/>
                <w:bCs/>
                <w:color w:val="auto"/>
                <w:kern w:val="0"/>
                <w:sz w:val="21"/>
                <w:szCs w:val="21"/>
                <w:vertAlign w:val="subscript"/>
              </w:rPr>
              <w:t>1</w:t>
            </w:r>
            <w:r>
              <w:rPr>
                <w:rFonts w:eastAsia="宋体"/>
                <w:bCs/>
                <w:color w:val="auto"/>
                <w:kern w:val="0"/>
                <w:sz w:val="21"/>
                <w:szCs w:val="21"/>
              </w:rPr>
              <w:t>=0m</w:t>
            </w:r>
            <w:r>
              <w:rPr>
                <w:rFonts w:eastAsia="宋体"/>
                <w:bCs/>
                <w:color w:val="auto"/>
                <w:kern w:val="0"/>
                <w:sz w:val="21"/>
                <w:szCs w:val="21"/>
                <w:vertAlign w:val="superscript"/>
              </w:rPr>
              <w:t>3</w:t>
            </w:r>
            <w:r>
              <w:rPr>
                <w:rFonts w:eastAsia="宋体"/>
                <w:color w:val="auto"/>
                <w:kern w:val="0"/>
                <w:sz w:val="21"/>
                <w:szCs w:val="21"/>
              </w:rPr>
              <w:t>；</w:t>
            </w:r>
          </w:p>
          <w:p w14:paraId="5EBFDF94">
            <w:pPr>
              <w:snapToGrid w:val="0"/>
              <w:spacing w:line="360" w:lineRule="auto"/>
              <w:ind w:firstLine="420" w:firstLineChars="200"/>
              <w:rPr>
                <w:color w:val="auto"/>
                <w:kern w:val="0"/>
              </w:rPr>
            </w:pPr>
            <w:r>
              <w:rPr>
                <w:color w:val="auto"/>
                <w:kern w:val="0"/>
              </w:rPr>
              <w:t>V</w:t>
            </w:r>
            <w:r>
              <w:rPr>
                <w:color w:val="auto"/>
                <w:kern w:val="0"/>
                <w:vertAlign w:val="subscript"/>
              </w:rPr>
              <w:t>2</w:t>
            </w:r>
            <w:r>
              <w:rPr>
                <w:color w:val="auto"/>
                <w:kern w:val="0"/>
              </w:rPr>
              <w:t>—发生事故的储罐、装置或铁路、汽车装卸区的消防水量，单位为立方米（m</w:t>
            </w:r>
            <w:r>
              <w:rPr>
                <w:color w:val="auto"/>
                <w:kern w:val="0"/>
                <w:vertAlign w:val="superscript"/>
              </w:rPr>
              <w:t>3</w:t>
            </w:r>
            <w:r>
              <w:rPr>
                <w:color w:val="auto"/>
                <w:kern w:val="0"/>
              </w:rPr>
              <w:t>）；</w:t>
            </w:r>
          </w:p>
          <w:p w14:paraId="6B639AD8">
            <w:pPr>
              <w:snapToGrid w:val="0"/>
              <w:spacing w:line="360" w:lineRule="auto"/>
              <w:ind w:firstLine="420" w:firstLineChars="200"/>
              <w:rPr>
                <w:color w:val="auto"/>
                <w:kern w:val="0"/>
              </w:rPr>
            </w:pPr>
            <w:r>
              <w:rPr>
                <w:color w:val="auto"/>
                <w:kern w:val="0"/>
              </w:rPr>
              <w:t>Q</w:t>
            </w:r>
            <w:r>
              <w:rPr>
                <w:color w:val="auto"/>
                <w:kern w:val="0"/>
                <w:vertAlign w:val="subscript"/>
              </w:rPr>
              <w:t>消</w:t>
            </w:r>
            <w:r>
              <w:rPr>
                <w:color w:val="auto"/>
                <w:kern w:val="0"/>
              </w:rPr>
              <w:t>—发生事故的储罐、装置或铁路、汽车装卸区同时使用的消防设施给水流量，单位为立方米每小时（m</w:t>
            </w:r>
            <w:r>
              <w:rPr>
                <w:color w:val="auto"/>
                <w:kern w:val="0"/>
                <w:vertAlign w:val="superscript"/>
              </w:rPr>
              <w:t>3</w:t>
            </w:r>
            <w:r>
              <w:rPr>
                <w:color w:val="auto"/>
                <w:kern w:val="0"/>
              </w:rPr>
              <w:t>/h）；</w:t>
            </w:r>
          </w:p>
          <w:p w14:paraId="4FA3CCD0">
            <w:pPr>
              <w:snapToGrid w:val="0"/>
              <w:spacing w:line="360" w:lineRule="auto"/>
              <w:ind w:firstLine="420" w:firstLineChars="200"/>
              <w:rPr>
                <w:color w:val="auto"/>
                <w:kern w:val="0"/>
              </w:rPr>
            </w:pPr>
            <w:r>
              <w:rPr>
                <w:color w:val="auto"/>
                <w:kern w:val="0"/>
              </w:rPr>
              <w:t>t</w:t>
            </w:r>
            <w:r>
              <w:rPr>
                <w:color w:val="auto"/>
                <w:kern w:val="0"/>
                <w:vertAlign w:val="subscript"/>
              </w:rPr>
              <w:t>消</w:t>
            </w:r>
            <w:r>
              <w:rPr>
                <w:color w:val="auto"/>
                <w:kern w:val="0"/>
              </w:rPr>
              <w:t>—消防设施对应的设计消防历时，单位为小时（h）；</w:t>
            </w:r>
          </w:p>
          <w:p w14:paraId="68649332">
            <w:pPr>
              <w:snapToGrid w:val="0"/>
              <w:spacing w:line="360" w:lineRule="auto"/>
              <w:ind w:firstLine="420" w:firstLineChars="200"/>
              <w:rPr>
                <w:color w:val="auto"/>
                <w:kern w:val="0"/>
              </w:rPr>
            </w:pPr>
            <w:r>
              <w:rPr>
                <w:color w:val="auto"/>
                <w:kern w:val="0"/>
              </w:rPr>
              <w:t>企业消防水量按</w:t>
            </w:r>
            <w:r>
              <w:rPr>
                <w:rFonts w:hint="eastAsia"/>
                <w:color w:val="auto"/>
                <w:kern w:val="0"/>
                <w:lang w:val="en-US" w:eastAsia="zh-CN"/>
              </w:rPr>
              <w:t>15</w:t>
            </w:r>
            <w:r>
              <w:rPr>
                <w:color w:val="auto"/>
                <w:kern w:val="0"/>
              </w:rPr>
              <w:t>L/s考虑，</w:t>
            </w:r>
            <w:r>
              <w:rPr>
                <w:rFonts w:hint="eastAsia"/>
                <w:color w:val="auto"/>
                <w:kern w:val="0"/>
                <w:lang w:val="en-US" w:eastAsia="zh-CN"/>
              </w:rPr>
              <w:t>火灾持续时间按1h计</w:t>
            </w:r>
            <w:r>
              <w:rPr>
                <w:color w:val="auto"/>
                <w:kern w:val="0"/>
              </w:rPr>
              <w:t>，则最大消防用水量为</w:t>
            </w:r>
            <w:r>
              <w:rPr>
                <w:rFonts w:hint="eastAsia"/>
                <w:color w:val="auto"/>
                <w:kern w:val="0"/>
                <w:lang w:val="en-US" w:eastAsia="zh-CN"/>
              </w:rPr>
              <w:t>54</w:t>
            </w:r>
            <w:r>
              <w:rPr>
                <w:color w:val="auto"/>
                <w:kern w:val="0"/>
              </w:rPr>
              <w:t>m</w:t>
            </w:r>
            <w:r>
              <w:rPr>
                <w:color w:val="auto"/>
                <w:kern w:val="0"/>
                <w:vertAlign w:val="superscript"/>
              </w:rPr>
              <w:t>3</w:t>
            </w:r>
            <w:r>
              <w:rPr>
                <w:color w:val="auto"/>
                <w:kern w:val="0"/>
              </w:rPr>
              <w:t>，因此</w:t>
            </w:r>
            <w:r>
              <w:rPr>
                <w:b/>
                <w:bCs/>
                <w:color w:val="auto"/>
                <w:kern w:val="0"/>
              </w:rPr>
              <w:t>V</w:t>
            </w:r>
            <w:r>
              <w:rPr>
                <w:b/>
                <w:bCs/>
                <w:color w:val="auto"/>
                <w:kern w:val="0"/>
                <w:vertAlign w:val="subscript"/>
              </w:rPr>
              <w:t>2</w:t>
            </w:r>
            <w:r>
              <w:rPr>
                <w:b/>
                <w:bCs/>
                <w:color w:val="auto"/>
                <w:kern w:val="0"/>
              </w:rPr>
              <w:t>=</w:t>
            </w:r>
            <w:r>
              <w:rPr>
                <w:rFonts w:hint="eastAsia"/>
                <w:b/>
                <w:bCs/>
                <w:color w:val="auto"/>
                <w:kern w:val="0"/>
                <w:lang w:val="en-US" w:eastAsia="zh-CN"/>
              </w:rPr>
              <w:t>54</w:t>
            </w:r>
            <w:r>
              <w:rPr>
                <w:b/>
                <w:bCs/>
                <w:color w:val="auto"/>
                <w:kern w:val="0"/>
              </w:rPr>
              <w:t>m</w:t>
            </w:r>
            <w:r>
              <w:rPr>
                <w:b/>
                <w:bCs/>
                <w:color w:val="auto"/>
                <w:kern w:val="0"/>
                <w:vertAlign w:val="superscript"/>
              </w:rPr>
              <w:t>3</w:t>
            </w:r>
            <w:r>
              <w:rPr>
                <w:color w:val="auto"/>
                <w:kern w:val="0"/>
              </w:rPr>
              <w:t>；</w:t>
            </w:r>
          </w:p>
          <w:p w14:paraId="77652028">
            <w:pPr>
              <w:snapToGrid w:val="0"/>
              <w:spacing w:line="360" w:lineRule="auto"/>
              <w:ind w:firstLine="420" w:firstLineChars="200"/>
              <w:rPr>
                <w:color w:val="auto"/>
                <w:kern w:val="0"/>
              </w:rPr>
            </w:pPr>
            <w:r>
              <w:rPr>
                <w:color w:val="auto"/>
                <w:kern w:val="0"/>
              </w:rPr>
              <w:t>V</w:t>
            </w:r>
            <w:r>
              <w:rPr>
                <w:color w:val="auto"/>
                <w:kern w:val="0"/>
                <w:vertAlign w:val="subscript"/>
              </w:rPr>
              <w:t>3</w:t>
            </w:r>
            <w:r>
              <w:rPr>
                <w:color w:val="auto"/>
                <w:kern w:val="0"/>
              </w:rPr>
              <w:t>—发生事故时可以转输到其他储存或处理设施的物料量，单位为立方米（m</w:t>
            </w:r>
            <w:r>
              <w:rPr>
                <w:color w:val="auto"/>
                <w:kern w:val="0"/>
                <w:vertAlign w:val="superscript"/>
              </w:rPr>
              <w:t>3</w:t>
            </w:r>
            <w:r>
              <w:rPr>
                <w:color w:val="auto"/>
                <w:kern w:val="0"/>
              </w:rPr>
              <w:t>）；</w:t>
            </w:r>
          </w:p>
          <w:p w14:paraId="11F168B8">
            <w:pPr>
              <w:pStyle w:val="702"/>
              <w:adjustRightInd/>
              <w:snapToGrid/>
              <w:spacing w:line="360" w:lineRule="auto"/>
              <w:ind w:left="31" w:leftChars="15" w:right="31" w:rightChars="15" w:firstLine="420" w:firstLineChars="200"/>
              <w:rPr>
                <w:rStyle w:val="218"/>
                <w:rFonts w:eastAsia="宋体"/>
                <w:b w:val="0"/>
                <w:color w:val="auto"/>
                <w:kern w:val="0"/>
                <w:sz w:val="21"/>
                <w:szCs w:val="21"/>
              </w:rPr>
            </w:pPr>
            <w:r>
              <w:rPr>
                <w:rStyle w:val="218"/>
                <w:rFonts w:hint="eastAsia" w:eastAsia="宋体"/>
                <w:b w:val="0"/>
                <w:color w:val="auto"/>
                <w:kern w:val="0"/>
                <w:sz w:val="21"/>
                <w:szCs w:val="21"/>
              </w:rPr>
              <w:t>企业无</w:t>
            </w:r>
            <w:r>
              <w:rPr>
                <w:rFonts w:eastAsia="宋体"/>
                <w:b w:val="0"/>
                <w:bCs/>
                <w:color w:val="auto"/>
                <w:kern w:val="0"/>
                <w:sz w:val="21"/>
                <w:szCs w:val="21"/>
              </w:rPr>
              <w:t>其他储存或处理设施</w:t>
            </w:r>
            <w:r>
              <w:rPr>
                <w:rFonts w:hint="eastAsia" w:eastAsia="宋体"/>
                <w:b w:val="0"/>
                <w:bCs/>
                <w:color w:val="auto"/>
                <w:kern w:val="0"/>
                <w:sz w:val="21"/>
                <w:szCs w:val="21"/>
              </w:rPr>
              <w:t>，</w:t>
            </w:r>
            <w:r>
              <w:rPr>
                <w:rStyle w:val="218"/>
                <w:rFonts w:hint="eastAsia" w:eastAsia="宋体"/>
                <w:b w:val="0"/>
                <w:color w:val="auto"/>
                <w:kern w:val="0"/>
                <w:sz w:val="21"/>
                <w:szCs w:val="21"/>
              </w:rPr>
              <w:t>故</w:t>
            </w:r>
            <w:r>
              <w:rPr>
                <w:rStyle w:val="218"/>
                <w:rFonts w:hint="eastAsia" w:eastAsia="宋体"/>
                <w:bCs/>
                <w:color w:val="auto"/>
                <w:kern w:val="0"/>
                <w:sz w:val="21"/>
                <w:szCs w:val="21"/>
              </w:rPr>
              <w:t>V</w:t>
            </w:r>
            <w:r>
              <w:rPr>
                <w:rStyle w:val="218"/>
                <w:rFonts w:hint="eastAsia" w:eastAsia="宋体"/>
                <w:bCs/>
                <w:color w:val="auto"/>
                <w:kern w:val="0"/>
                <w:sz w:val="21"/>
                <w:szCs w:val="21"/>
                <w:vertAlign w:val="subscript"/>
              </w:rPr>
              <w:t>3</w:t>
            </w:r>
            <w:r>
              <w:rPr>
                <w:rStyle w:val="218"/>
                <w:rFonts w:hint="eastAsia" w:eastAsia="宋体"/>
                <w:bCs/>
                <w:color w:val="auto"/>
                <w:kern w:val="0"/>
                <w:sz w:val="21"/>
                <w:szCs w:val="21"/>
              </w:rPr>
              <w:t>=0m</w:t>
            </w:r>
            <w:r>
              <w:rPr>
                <w:rStyle w:val="218"/>
                <w:rFonts w:hint="eastAsia" w:eastAsia="宋体"/>
                <w:bCs/>
                <w:color w:val="auto"/>
                <w:kern w:val="0"/>
                <w:sz w:val="21"/>
                <w:szCs w:val="21"/>
                <w:vertAlign w:val="superscript"/>
              </w:rPr>
              <w:t>3</w:t>
            </w:r>
            <w:r>
              <w:rPr>
                <w:rStyle w:val="218"/>
                <w:rFonts w:hint="eastAsia" w:eastAsia="宋体"/>
                <w:b w:val="0"/>
                <w:color w:val="auto"/>
                <w:kern w:val="0"/>
                <w:sz w:val="21"/>
                <w:szCs w:val="21"/>
              </w:rPr>
              <w:t>。</w:t>
            </w:r>
          </w:p>
          <w:p w14:paraId="4CE550D7">
            <w:pPr>
              <w:snapToGrid w:val="0"/>
              <w:spacing w:line="360" w:lineRule="auto"/>
              <w:ind w:left="479" w:leftChars="228"/>
              <w:rPr>
                <w:color w:val="auto"/>
                <w:kern w:val="0"/>
              </w:rPr>
            </w:pPr>
            <w:r>
              <w:rPr>
                <w:color w:val="auto"/>
                <w:kern w:val="0"/>
              </w:rPr>
              <w:t>V</w:t>
            </w:r>
            <w:r>
              <w:rPr>
                <w:color w:val="auto"/>
                <w:kern w:val="0"/>
                <w:vertAlign w:val="subscript"/>
              </w:rPr>
              <w:t>4</w:t>
            </w:r>
            <w:r>
              <w:rPr>
                <w:color w:val="auto"/>
                <w:kern w:val="0"/>
              </w:rPr>
              <w:t>—发生事故时仍必须进入该收集系统的生产废水量，单位为立方（m</w:t>
            </w:r>
            <w:r>
              <w:rPr>
                <w:color w:val="auto"/>
                <w:kern w:val="0"/>
                <w:vertAlign w:val="superscript"/>
              </w:rPr>
              <w:t>3</w:t>
            </w:r>
            <w:r>
              <w:rPr>
                <w:color w:val="auto"/>
                <w:kern w:val="0"/>
              </w:rPr>
              <w:t>）；</w:t>
            </w:r>
          </w:p>
          <w:p w14:paraId="7B5F5E36">
            <w:pPr>
              <w:snapToGrid w:val="0"/>
              <w:spacing w:line="360" w:lineRule="auto"/>
              <w:ind w:firstLine="420" w:firstLineChars="200"/>
              <w:rPr>
                <w:color w:val="auto"/>
                <w:kern w:val="0"/>
              </w:rPr>
            </w:pPr>
            <w:r>
              <w:rPr>
                <w:rFonts w:hint="eastAsia"/>
                <w:color w:val="auto"/>
                <w:kern w:val="0"/>
              </w:rPr>
              <w:t>全厂</w:t>
            </w:r>
            <w:r>
              <w:rPr>
                <w:color w:val="auto"/>
                <w:kern w:val="0"/>
              </w:rPr>
              <w:t>无生产废水外排，</w:t>
            </w:r>
            <w:r>
              <w:rPr>
                <w:b/>
                <w:bCs/>
                <w:color w:val="auto"/>
                <w:kern w:val="0"/>
              </w:rPr>
              <w:t>V</w:t>
            </w:r>
            <w:r>
              <w:rPr>
                <w:b/>
                <w:bCs/>
                <w:color w:val="auto"/>
                <w:kern w:val="0"/>
                <w:vertAlign w:val="subscript"/>
              </w:rPr>
              <w:t>4</w:t>
            </w:r>
            <w:r>
              <w:rPr>
                <w:b/>
                <w:bCs/>
                <w:color w:val="auto"/>
                <w:kern w:val="0"/>
              </w:rPr>
              <w:t>=0m</w:t>
            </w:r>
            <w:r>
              <w:rPr>
                <w:b/>
                <w:bCs/>
                <w:color w:val="auto"/>
                <w:kern w:val="0"/>
                <w:vertAlign w:val="superscript"/>
              </w:rPr>
              <w:t>3</w:t>
            </w:r>
            <w:r>
              <w:rPr>
                <w:color w:val="auto"/>
                <w:kern w:val="0"/>
              </w:rPr>
              <w:t>；</w:t>
            </w:r>
          </w:p>
          <w:p w14:paraId="7DEC5884">
            <w:pPr>
              <w:snapToGrid w:val="0"/>
              <w:spacing w:line="360" w:lineRule="auto"/>
              <w:ind w:left="479" w:leftChars="228"/>
              <w:rPr>
                <w:color w:val="auto"/>
                <w:kern w:val="0"/>
              </w:rPr>
            </w:pPr>
            <w:r>
              <w:rPr>
                <w:color w:val="auto"/>
                <w:kern w:val="0"/>
              </w:rPr>
              <w:t>V</w:t>
            </w:r>
            <w:r>
              <w:rPr>
                <w:color w:val="auto"/>
                <w:kern w:val="0"/>
                <w:vertAlign w:val="subscript"/>
              </w:rPr>
              <w:t>5</w:t>
            </w:r>
            <w:r>
              <w:rPr>
                <w:color w:val="auto"/>
                <w:kern w:val="0"/>
              </w:rPr>
              <w:t>—发生事故时可能进入该收集系统的降雨量，单位为立方米（m</w:t>
            </w:r>
            <w:r>
              <w:rPr>
                <w:color w:val="auto"/>
                <w:kern w:val="0"/>
                <w:vertAlign w:val="superscript"/>
              </w:rPr>
              <w:t>3</w:t>
            </w:r>
            <w:r>
              <w:rPr>
                <w:color w:val="auto"/>
                <w:kern w:val="0"/>
              </w:rPr>
              <w:t>）；</w:t>
            </w:r>
          </w:p>
          <w:p w14:paraId="5B5D99A6">
            <w:pPr>
              <w:snapToGrid w:val="0"/>
              <w:spacing w:line="360" w:lineRule="auto"/>
              <w:ind w:firstLine="420" w:firstLineChars="200"/>
              <w:rPr>
                <w:color w:val="auto"/>
                <w:kern w:val="0"/>
              </w:rPr>
            </w:pPr>
            <w:r>
              <w:rPr>
                <w:color w:val="auto"/>
                <w:kern w:val="0"/>
              </w:rPr>
              <w:t>q—降雨强度，按平均日降雨量，单位为毫米（mm）；</w:t>
            </w:r>
          </w:p>
          <w:p w14:paraId="3377D1B9">
            <w:pPr>
              <w:snapToGrid w:val="0"/>
              <w:spacing w:line="360" w:lineRule="auto"/>
              <w:ind w:firstLine="420" w:firstLineChars="200"/>
              <w:rPr>
                <w:color w:val="auto"/>
                <w:kern w:val="0"/>
              </w:rPr>
            </w:pPr>
            <w:r>
              <w:rPr>
                <w:color w:val="auto"/>
                <w:kern w:val="0"/>
              </w:rPr>
              <w:t>q</w:t>
            </w:r>
            <w:r>
              <w:rPr>
                <w:color w:val="auto"/>
                <w:kern w:val="0"/>
                <w:vertAlign w:val="subscript"/>
              </w:rPr>
              <w:t>a</w:t>
            </w:r>
            <w:r>
              <w:rPr>
                <w:color w:val="auto"/>
                <w:kern w:val="0"/>
              </w:rPr>
              <w:t>—年平均降雨量，单位为毫米（mm）；</w:t>
            </w:r>
          </w:p>
          <w:p w14:paraId="2BF87F21">
            <w:pPr>
              <w:snapToGrid w:val="0"/>
              <w:spacing w:line="360" w:lineRule="auto"/>
              <w:ind w:firstLine="420" w:firstLineChars="200"/>
              <w:rPr>
                <w:color w:val="auto"/>
                <w:kern w:val="0"/>
              </w:rPr>
            </w:pPr>
            <w:r>
              <w:rPr>
                <w:color w:val="auto"/>
                <w:kern w:val="0"/>
              </w:rPr>
              <w:t>n—年平均降雨日数，单位为天（d）；</w:t>
            </w:r>
          </w:p>
          <w:p w14:paraId="61CD064A">
            <w:pPr>
              <w:snapToGrid w:val="0"/>
              <w:spacing w:line="360" w:lineRule="auto"/>
              <w:ind w:firstLine="420" w:firstLineChars="200"/>
              <w:rPr>
                <w:color w:val="auto"/>
                <w:kern w:val="0"/>
              </w:rPr>
            </w:pPr>
            <w:r>
              <w:rPr>
                <w:color w:val="auto"/>
                <w:kern w:val="0"/>
              </w:rPr>
              <w:t>f—必须进入事故废水收集系统的雨水汇水面积，单位为公顷（ha）；</w:t>
            </w:r>
          </w:p>
          <w:p w14:paraId="0EFBBF02">
            <w:pPr>
              <w:snapToGrid w:val="0"/>
              <w:spacing w:line="360" w:lineRule="auto"/>
              <w:ind w:firstLine="420" w:firstLineChars="200"/>
              <w:rPr>
                <w:color w:val="auto"/>
                <w:kern w:val="0"/>
              </w:rPr>
            </w:pPr>
            <w:r>
              <w:rPr>
                <w:color w:val="auto"/>
                <w:kern w:val="0"/>
              </w:rPr>
              <w:t>企业无露天生产装置，无露天储罐，故初期雨水不需要收集进入事故池。</w:t>
            </w:r>
            <w:r>
              <w:rPr>
                <w:b/>
                <w:bCs/>
                <w:color w:val="auto"/>
                <w:kern w:val="0"/>
              </w:rPr>
              <w:t>V5=0m</w:t>
            </w:r>
            <w:r>
              <w:rPr>
                <w:b/>
                <w:bCs/>
                <w:color w:val="auto"/>
                <w:kern w:val="0"/>
                <w:vertAlign w:val="superscript"/>
              </w:rPr>
              <w:t>3</w:t>
            </w:r>
            <w:r>
              <w:rPr>
                <w:color w:val="auto"/>
                <w:kern w:val="0"/>
              </w:rPr>
              <w:t>。</w:t>
            </w:r>
          </w:p>
          <w:p w14:paraId="0A7482CC">
            <w:pPr>
              <w:adjustRightInd w:val="0"/>
              <w:snapToGrid w:val="0"/>
              <w:spacing w:line="360" w:lineRule="auto"/>
              <w:ind w:firstLine="420" w:firstLineChars="200"/>
              <w:rPr>
                <w:color w:val="auto"/>
                <w:kern w:val="0"/>
              </w:rPr>
            </w:pPr>
            <w:r>
              <w:rPr>
                <w:color w:val="auto"/>
                <w:kern w:val="0"/>
              </w:rPr>
              <w:t>计算过程：</w:t>
            </w:r>
          </w:p>
          <w:p w14:paraId="28640EAA">
            <w:pPr>
              <w:spacing w:line="360" w:lineRule="auto"/>
              <w:ind w:firstLine="420" w:firstLineChars="200"/>
              <w:rPr>
                <w:color w:val="auto"/>
                <w:kern w:val="0"/>
              </w:rPr>
            </w:pPr>
            <w:r>
              <w:rPr>
                <w:color w:val="auto"/>
                <w:kern w:val="0"/>
              </w:rPr>
              <w:t>V</w:t>
            </w:r>
            <w:r>
              <w:rPr>
                <w:color w:val="auto"/>
                <w:kern w:val="0"/>
                <w:vertAlign w:val="subscript"/>
              </w:rPr>
              <w:t>总</w:t>
            </w:r>
            <w:r>
              <w:rPr>
                <w:color w:val="auto"/>
                <w:kern w:val="0"/>
              </w:rPr>
              <w:t>=（V</w:t>
            </w:r>
            <w:r>
              <w:rPr>
                <w:color w:val="auto"/>
                <w:kern w:val="0"/>
                <w:vertAlign w:val="subscript"/>
              </w:rPr>
              <w:t>1</w:t>
            </w:r>
            <w:r>
              <w:rPr>
                <w:color w:val="auto"/>
                <w:kern w:val="0"/>
              </w:rPr>
              <w:t>+V</w:t>
            </w:r>
            <w:r>
              <w:rPr>
                <w:color w:val="auto"/>
                <w:kern w:val="0"/>
                <w:vertAlign w:val="subscript"/>
              </w:rPr>
              <w:t>2</w:t>
            </w:r>
            <w:r>
              <w:rPr>
                <w:color w:val="auto"/>
                <w:kern w:val="0"/>
              </w:rPr>
              <w:t>-V</w:t>
            </w:r>
            <w:r>
              <w:rPr>
                <w:color w:val="auto"/>
                <w:kern w:val="0"/>
                <w:vertAlign w:val="subscript"/>
              </w:rPr>
              <w:t>3</w:t>
            </w:r>
            <w:r>
              <w:rPr>
                <w:color w:val="auto"/>
                <w:kern w:val="0"/>
              </w:rPr>
              <w:t>）</w:t>
            </w:r>
            <w:r>
              <w:rPr>
                <w:color w:val="auto"/>
                <w:kern w:val="0"/>
                <w:vertAlign w:val="subscript"/>
              </w:rPr>
              <w:t>max</w:t>
            </w:r>
            <w:r>
              <w:rPr>
                <w:color w:val="auto"/>
                <w:kern w:val="0"/>
              </w:rPr>
              <w:t>+V</w:t>
            </w:r>
            <w:r>
              <w:rPr>
                <w:color w:val="auto"/>
                <w:kern w:val="0"/>
                <w:vertAlign w:val="subscript"/>
              </w:rPr>
              <w:t>4</w:t>
            </w:r>
            <w:r>
              <w:rPr>
                <w:color w:val="auto"/>
                <w:kern w:val="0"/>
              </w:rPr>
              <w:t>+V</w:t>
            </w:r>
            <w:r>
              <w:rPr>
                <w:color w:val="auto"/>
                <w:kern w:val="0"/>
                <w:vertAlign w:val="subscript"/>
              </w:rPr>
              <w:t>5</w:t>
            </w:r>
            <w:r>
              <w:rPr>
                <w:color w:val="auto"/>
                <w:kern w:val="0"/>
              </w:rPr>
              <w:t>=（0＋</w:t>
            </w:r>
            <w:r>
              <w:rPr>
                <w:rFonts w:hint="eastAsia"/>
                <w:color w:val="auto"/>
                <w:kern w:val="0"/>
                <w:lang w:val="en-US" w:eastAsia="zh-CN"/>
              </w:rPr>
              <w:t>54</w:t>
            </w:r>
            <w:r>
              <w:rPr>
                <w:color w:val="auto"/>
                <w:kern w:val="0"/>
              </w:rPr>
              <w:t>－</w:t>
            </w:r>
            <w:r>
              <w:rPr>
                <w:rFonts w:hint="eastAsia"/>
                <w:color w:val="auto"/>
                <w:kern w:val="0"/>
              </w:rPr>
              <w:t>0</w:t>
            </w:r>
            <w:r>
              <w:rPr>
                <w:color w:val="auto"/>
                <w:kern w:val="0"/>
              </w:rPr>
              <w:t>）＋0＋0=</w:t>
            </w:r>
            <w:r>
              <w:rPr>
                <w:rFonts w:hint="eastAsia"/>
                <w:color w:val="auto"/>
                <w:kern w:val="0"/>
                <w:lang w:val="en-US" w:eastAsia="zh-CN"/>
              </w:rPr>
              <w:t>54</w:t>
            </w:r>
            <w:r>
              <w:rPr>
                <w:color w:val="auto"/>
                <w:kern w:val="0"/>
              </w:rPr>
              <w:t>m</w:t>
            </w:r>
            <w:r>
              <w:rPr>
                <w:color w:val="auto"/>
                <w:kern w:val="0"/>
                <w:vertAlign w:val="superscript"/>
              </w:rPr>
              <w:t>3</w:t>
            </w:r>
          </w:p>
          <w:p w14:paraId="624BA070">
            <w:pPr>
              <w:pStyle w:val="702"/>
              <w:adjustRightInd/>
              <w:snapToGrid/>
              <w:spacing w:line="360" w:lineRule="auto"/>
              <w:ind w:right="31" w:rightChars="15" w:firstLine="420" w:firstLineChars="200"/>
              <w:rPr>
                <w:rFonts w:eastAsia="宋体"/>
                <w:color w:val="auto"/>
                <w:kern w:val="0"/>
                <w:sz w:val="21"/>
                <w:szCs w:val="21"/>
              </w:rPr>
            </w:pPr>
            <w:r>
              <w:rPr>
                <w:rFonts w:eastAsia="宋体"/>
                <w:b w:val="0"/>
                <w:color w:val="auto"/>
                <w:kern w:val="0"/>
                <w:sz w:val="21"/>
                <w:szCs w:val="21"/>
              </w:rPr>
              <w:t>经计算，</w:t>
            </w:r>
            <w:r>
              <w:rPr>
                <w:rFonts w:hint="eastAsia" w:eastAsia="宋体"/>
                <w:b w:val="0"/>
                <w:color w:val="auto"/>
                <w:kern w:val="0"/>
                <w:sz w:val="21"/>
                <w:szCs w:val="21"/>
              </w:rPr>
              <w:t>企业需设置</w:t>
            </w:r>
            <w:r>
              <w:rPr>
                <w:rFonts w:hint="eastAsia" w:eastAsia="宋体"/>
                <w:b w:val="0"/>
                <w:color w:val="auto"/>
                <w:kern w:val="0"/>
                <w:sz w:val="21"/>
                <w:szCs w:val="21"/>
                <w:lang w:val="en-US" w:eastAsia="zh-CN"/>
              </w:rPr>
              <w:t>54</w:t>
            </w:r>
            <w:r>
              <w:rPr>
                <w:rFonts w:hint="eastAsia" w:eastAsia="宋体"/>
                <w:b w:val="0"/>
                <w:color w:val="auto"/>
                <w:kern w:val="0"/>
                <w:sz w:val="21"/>
                <w:szCs w:val="21"/>
              </w:rPr>
              <w:t>m</w:t>
            </w:r>
            <w:r>
              <w:rPr>
                <w:rFonts w:hint="eastAsia" w:eastAsia="宋体"/>
                <w:b w:val="0"/>
                <w:color w:val="auto"/>
                <w:kern w:val="0"/>
                <w:sz w:val="21"/>
                <w:szCs w:val="21"/>
                <w:vertAlign w:val="superscript"/>
              </w:rPr>
              <w:t>3</w:t>
            </w:r>
            <w:r>
              <w:rPr>
                <w:rFonts w:eastAsia="宋体"/>
                <w:b w:val="0"/>
                <w:color w:val="auto"/>
                <w:kern w:val="0"/>
                <w:sz w:val="21"/>
                <w:szCs w:val="21"/>
              </w:rPr>
              <w:t>事故</w:t>
            </w:r>
            <w:r>
              <w:rPr>
                <w:rFonts w:hint="eastAsia" w:eastAsia="宋体"/>
                <w:b w:val="0"/>
                <w:color w:val="auto"/>
                <w:kern w:val="0"/>
                <w:sz w:val="21"/>
                <w:szCs w:val="21"/>
              </w:rPr>
              <w:t>应急池，</w:t>
            </w:r>
            <w:r>
              <w:rPr>
                <w:rFonts w:hint="eastAsia" w:eastAsia="宋体"/>
                <w:b w:val="0"/>
                <w:color w:val="auto"/>
                <w:kern w:val="0"/>
                <w:sz w:val="21"/>
                <w:szCs w:val="21"/>
                <w:lang w:val="en-US" w:eastAsia="zh-CN"/>
              </w:rPr>
              <w:t>本项目租赁厂区房东已设置80m</w:t>
            </w:r>
            <w:r>
              <w:rPr>
                <w:rFonts w:hint="eastAsia" w:eastAsia="宋体"/>
                <w:b w:val="0"/>
                <w:color w:val="auto"/>
                <w:kern w:val="0"/>
                <w:sz w:val="21"/>
                <w:szCs w:val="21"/>
                <w:vertAlign w:val="superscript"/>
                <w:lang w:val="en-US" w:eastAsia="zh-CN"/>
              </w:rPr>
              <w:t>3</w:t>
            </w:r>
            <w:r>
              <w:rPr>
                <w:rFonts w:hint="eastAsia" w:eastAsia="宋体"/>
                <w:b w:val="0"/>
                <w:color w:val="auto"/>
                <w:kern w:val="0"/>
                <w:sz w:val="21"/>
                <w:szCs w:val="21"/>
                <w:lang w:val="en-US" w:eastAsia="zh-CN"/>
              </w:rPr>
              <w:t>事故池，可满足要</w:t>
            </w:r>
            <w:r>
              <w:rPr>
                <w:rFonts w:hint="eastAsia" w:ascii="Times New Roman" w:hAnsi="Times New Roman" w:eastAsia="宋体" w:cs="Times New Roman"/>
                <w:b w:val="0"/>
                <w:color w:val="auto"/>
                <w:sz w:val="21"/>
                <w:szCs w:val="21"/>
                <w:highlight w:val="none"/>
                <w:lang w:val="en-US" w:eastAsia="zh-CN"/>
              </w:rPr>
              <w:t>事故状态下事故废水的收集，紧急情况下手动关闭雨水切换阀门，开启通往事故池阀门，将事故废水收集于事故池暂存</w:t>
            </w:r>
            <w:r>
              <w:rPr>
                <w:rFonts w:ascii="Times New Roman" w:hAnsi="Times New Roman" w:eastAsia="宋体" w:cs="Times New Roman"/>
                <w:b w:val="0"/>
                <w:color w:val="auto"/>
                <w:sz w:val="21"/>
                <w:szCs w:val="21"/>
                <w:highlight w:val="none"/>
              </w:rPr>
              <w:t>。</w:t>
            </w:r>
            <w:r>
              <w:rPr>
                <w:rFonts w:eastAsia="宋体"/>
                <w:b w:val="0"/>
                <w:color w:val="auto"/>
                <w:kern w:val="0"/>
                <w:sz w:val="21"/>
                <w:szCs w:val="21"/>
              </w:rPr>
              <w:t>通过完善消防废水收集、处理、排放系统，保证</w:t>
            </w:r>
            <w:r>
              <w:rPr>
                <w:rFonts w:hint="eastAsia" w:eastAsia="宋体"/>
                <w:b w:val="0"/>
                <w:color w:val="auto"/>
                <w:kern w:val="0"/>
                <w:sz w:val="21"/>
                <w:szCs w:val="21"/>
              </w:rPr>
              <w:t>生产车间、仓库以及危废仓库</w:t>
            </w:r>
            <w:r>
              <w:rPr>
                <w:rFonts w:eastAsia="宋体"/>
                <w:b w:val="0"/>
                <w:color w:val="auto"/>
                <w:kern w:val="0"/>
                <w:sz w:val="21"/>
                <w:szCs w:val="21"/>
              </w:rPr>
              <w:t>发生火灾事故时，消防废水等能迅速、安全地集中到事故应急池，然后针对水质实际情况进行必要的处理，避免对评价范围内的周围农田和河流造成影响。</w:t>
            </w:r>
          </w:p>
          <w:p w14:paraId="63929A02">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厂区设置事故废水三级防控措施：</w:t>
            </w:r>
          </w:p>
          <w:p w14:paraId="28B2D2BD">
            <w:pPr>
              <w:pStyle w:val="710"/>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1）一级防控措施</w:t>
            </w:r>
          </w:p>
          <w:p w14:paraId="05F57184">
            <w:pPr>
              <w:pStyle w:val="710"/>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第一级防控措施是设置在装置区、危废储存区，构筑生产过程中环境安全的第一层防控网，使泄漏物料转移到容器或隋性吸附物料中，将泄漏物料控制在生产车间、危废仓库内部，防止污染雨水和轻微事故泄漏造成的环境污染。</w:t>
            </w:r>
          </w:p>
          <w:p w14:paraId="1D72FA38">
            <w:pPr>
              <w:pStyle w:val="710"/>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具体措施如下：</w:t>
            </w:r>
          </w:p>
          <w:p w14:paraId="579D8586">
            <w:pPr>
              <w:pStyle w:val="710"/>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①生产车间地面设置防渗漏、防腐蚀、防淋溶、防流失措施，配备吸附材料、灭火器材等应急物资，若发生少量物料泄漏，采用吸附棉或其它惰性吸附材料进行吸附，及时转移进废弃物容器内；若发生大量物料泄漏，采用档板、沙土或砂包进行围档，用应急泵泵入废弃物容器内，并采用吸附材料清理地面。收集的泄漏物及沾染了泄漏物的吸附材料均作为危险废物，委托有资质单位处置。</w:t>
            </w:r>
          </w:p>
          <w:p w14:paraId="0A7FE78C">
            <w:pPr>
              <w:pStyle w:val="710"/>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②原料库、危废仓库地面防腐防渗，并铺设环氧地坪，门口设置防溢流坡，库内配备围档物、吸附材料、灭火器材等应急物资。若发生少量危废泄漏，采用吸附棉或其它惰性吸附材料进行吸附，及时转移进废弃物容器内；若发生大量危废泄漏，采用档板、沙土或砂包进行围档，用应急泵泵入废弃物容器内，并采用吸附材料清理地面。收集的泄漏物及沾染了泄漏物的吸附材料均作为危险废物，委托有资质单位处置。</w:t>
            </w:r>
          </w:p>
          <w:p w14:paraId="76DF1259">
            <w:pPr>
              <w:pStyle w:val="710"/>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2）二级防控措施</w:t>
            </w:r>
          </w:p>
          <w:p w14:paraId="0E247001">
            <w:pPr>
              <w:pStyle w:val="710"/>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第二级防控措施是在厂区设置</w:t>
            </w:r>
            <w:r>
              <w:rPr>
                <w:rFonts w:hint="eastAsia" w:cs="Times New Roman"/>
                <w:color w:val="auto"/>
                <w:lang w:val="en-US" w:eastAsia="zh-CN"/>
              </w:rPr>
              <w:t>截止阀</w:t>
            </w:r>
            <w:r>
              <w:rPr>
                <w:rFonts w:hint="default" w:ascii="Times New Roman" w:hAnsi="Times New Roman" w:eastAsia="宋体" w:cs="Times New Roman"/>
                <w:color w:val="auto"/>
              </w:rPr>
              <w:t>，切断污染物与外部的通道，将污染物控制在厂内，防止较大事故泄漏物料和消防废水造成环境污染。</w:t>
            </w:r>
          </w:p>
          <w:p w14:paraId="05EF83BD">
            <w:pPr>
              <w:pStyle w:val="710"/>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具体措施如下：</w:t>
            </w:r>
          </w:p>
          <w:p w14:paraId="7304ED8A">
            <w:pPr>
              <w:keepNext w:val="0"/>
              <w:keepLines w:val="0"/>
              <w:pageBreakBefore w:val="0"/>
              <w:widowControl w:val="0"/>
              <w:kinsoku/>
              <w:wordWrap/>
              <w:overflowPunct/>
              <w:topLinePunct w:val="0"/>
              <w:autoSpaceDE/>
              <w:autoSpaceDN/>
              <w:bidi w:val="0"/>
              <w:adjustRightInd w:val="0"/>
              <w:snapToGrid w:val="0"/>
              <w:spacing w:line="360" w:lineRule="auto"/>
              <w:ind w:leftChars="0" w:right="0" w:rightChars="0" w:firstLine="420"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事故状态下，关闭雨水排放口的</w:t>
            </w:r>
            <w:r>
              <w:rPr>
                <w:rFonts w:hint="eastAsia" w:cs="Times New Roman"/>
                <w:color w:val="auto"/>
                <w:lang w:val="en-US" w:eastAsia="zh-CN"/>
              </w:rPr>
              <w:t>截止阀</w:t>
            </w:r>
            <w:r>
              <w:rPr>
                <w:rFonts w:hint="default" w:ascii="Times New Roman" w:hAnsi="Times New Roman" w:eastAsia="宋体" w:cs="Times New Roman"/>
                <w:color w:val="auto"/>
              </w:rPr>
              <w:t>，收集的事故消防水</w:t>
            </w:r>
            <w:r>
              <w:rPr>
                <w:rFonts w:hint="eastAsia" w:eastAsia="宋体" w:cs="Times New Roman"/>
                <w:color w:val="auto"/>
                <w:lang w:val="en-US" w:eastAsia="zh-CN"/>
              </w:rPr>
              <w:t>泵入应急桶</w:t>
            </w:r>
            <w:r>
              <w:rPr>
                <w:rFonts w:hint="default" w:ascii="Times New Roman" w:hAnsi="Times New Roman" w:eastAsia="宋体" w:cs="Times New Roman"/>
                <w:color w:val="auto"/>
              </w:rPr>
              <w:t>。然后根据污水特征选择合适的处置方式合规处置。保证</w:t>
            </w:r>
            <w:r>
              <w:rPr>
                <w:rFonts w:hint="eastAsia" w:cs="Times New Roman"/>
                <w:color w:val="auto"/>
                <w:lang w:val="en-US" w:eastAsia="zh-CN"/>
              </w:rPr>
              <w:t>截止阀</w:t>
            </w:r>
            <w:r>
              <w:rPr>
                <w:rFonts w:hint="default" w:ascii="Times New Roman" w:hAnsi="Times New Roman" w:eastAsia="宋体" w:cs="Times New Roman"/>
                <w:color w:val="auto"/>
              </w:rPr>
              <w:t>可正常启闭，避免事故废水排入外环境。</w:t>
            </w:r>
          </w:p>
          <w:p w14:paraId="02A050D9">
            <w:pPr>
              <w:pStyle w:val="710"/>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3）三级防控措施</w:t>
            </w:r>
          </w:p>
          <w:p w14:paraId="41EA3174">
            <w:pPr>
              <w:pStyle w:val="710"/>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第三级防控措施是设置</w:t>
            </w:r>
            <w:r>
              <w:rPr>
                <w:rFonts w:hint="eastAsia" w:cs="Times New Roman"/>
                <w:color w:val="auto"/>
                <w:lang w:val="en-US" w:eastAsia="zh-CN"/>
              </w:rPr>
              <w:t>事故应急池</w:t>
            </w:r>
            <w:r>
              <w:rPr>
                <w:rFonts w:hint="default" w:ascii="Times New Roman" w:hAnsi="Times New Roman" w:eastAsia="宋体" w:cs="Times New Roman"/>
                <w:color w:val="auto"/>
              </w:rPr>
              <w:t>，将污染物控制在一个区域内，防止雨水管网无法足够储存导致地面漫流，污染厂区内土壤和地下水。</w:t>
            </w:r>
          </w:p>
          <w:p w14:paraId="2A21A36B">
            <w:pPr>
              <w:pStyle w:val="710"/>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具体措施如下：</w:t>
            </w:r>
          </w:p>
          <w:p w14:paraId="5CCA4476">
            <w:pPr>
              <w:pStyle w:val="710"/>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启动Ⅰ级应急响应，第一时间关闭全部雨水排口阀门、污水排放口阀门，将管网收集的事故废水泵入</w:t>
            </w:r>
            <w:r>
              <w:rPr>
                <w:rFonts w:hint="eastAsia" w:cs="Times New Roman"/>
                <w:color w:val="auto"/>
                <w:lang w:val="en-US" w:eastAsia="zh-CN"/>
              </w:rPr>
              <w:t>事故应急池</w:t>
            </w:r>
            <w:r>
              <w:rPr>
                <w:rFonts w:hint="default" w:ascii="Times New Roman" w:hAnsi="Times New Roman" w:eastAsia="宋体" w:cs="Times New Roman"/>
                <w:color w:val="auto"/>
              </w:rPr>
              <w:t>，防止造成环境污染。</w:t>
            </w:r>
          </w:p>
          <w:p w14:paraId="7C8BDD70">
            <w:pPr>
              <w:pStyle w:val="710"/>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若未及时收集，消防废水或泄漏物料通过雨水管网流到厂外，应上报企业应急管理办公室，同时上报金坛区政府、金坛区生态环境局；企业应急指挥部携应急物资赶赴现场进行应急处置，寻求消防、周边企业援助；企业应迅速用堵漏工具对厂区所有雨水排口进行封堵，构筑围堤、造坑导流、挖坑收容，避免事故废水进入市政雨水管网；就地投加药剂处置，降低危险性；启动应急泵，收集事故废水，利用企业及周边企业事故应急池、槽车或专用收集池等进行暂存。</w:t>
            </w:r>
          </w:p>
          <w:p w14:paraId="4048CC8D">
            <w:pPr>
              <w:pStyle w:val="710"/>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宋体" w:cs="Times New Roman"/>
                <w:b w:val="0"/>
                <w:bCs w:val="0"/>
                <w:color w:val="auto"/>
                <w:lang w:val="en-US" w:eastAsia="zh-CN"/>
              </w:rPr>
            </w:pPr>
            <w:r>
              <w:rPr>
                <w:rFonts w:hint="default" w:ascii="Times New Roman" w:hAnsi="Times New Roman" w:eastAsia="宋体" w:cs="Times New Roman"/>
                <w:color w:val="auto"/>
              </w:rPr>
              <w:t>若事故废水不慎进入河流，在污染区上、下游迅速用拦污锁或筑坝拦截污染物，投加活性炭等吸附材料，就地投加药剂处置，或将污染水抽至安全地方处置。</w:t>
            </w:r>
          </w:p>
          <w:p w14:paraId="51C8E67E">
            <w:pPr>
              <w:pStyle w:val="23"/>
              <w:ind w:firstLine="422" w:firstLineChars="200"/>
              <w:rPr>
                <w:rFonts w:hint="default" w:eastAsia="宋体"/>
                <w:b/>
                <w:bCs/>
                <w:color w:val="auto"/>
                <w:sz w:val="21"/>
                <w:szCs w:val="21"/>
                <w:lang w:val="en-US" w:eastAsia="zh-CN"/>
              </w:rPr>
            </w:pPr>
            <w:r>
              <w:rPr>
                <w:rFonts w:hint="eastAsia"/>
                <w:b/>
                <w:bCs/>
                <w:color w:val="auto"/>
                <w:sz w:val="21"/>
                <w:szCs w:val="21"/>
                <w:lang w:val="en-US" w:eastAsia="zh-CN"/>
              </w:rPr>
              <w:t>2</w:t>
            </w:r>
            <w:r>
              <w:rPr>
                <w:rFonts w:hint="eastAsia"/>
                <w:b/>
                <w:bCs/>
                <w:color w:val="auto"/>
                <w:sz w:val="21"/>
                <w:szCs w:val="21"/>
                <w:lang w:eastAsia="zh-CN"/>
              </w:rPr>
              <w:t>）</w:t>
            </w:r>
            <w:r>
              <w:rPr>
                <w:rFonts w:hint="eastAsia"/>
                <w:b/>
                <w:bCs/>
                <w:color w:val="auto"/>
                <w:sz w:val="21"/>
                <w:szCs w:val="21"/>
                <w:lang w:val="en-US" w:eastAsia="zh-CN"/>
              </w:rPr>
              <w:t>粉尘爆炸风险防范措施</w:t>
            </w:r>
          </w:p>
          <w:p w14:paraId="2B72152C">
            <w:pPr>
              <w:pStyle w:val="23"/>
              <w:ind w:firstLine="420" w:firstLineChars="200"/>
              <w:rPr>
                <w:rFonts w:hint="eastAsia"/>
                <w:b w:val="0"/>
                <w:bCs w:val="0"/>
                <w:color w:val="auto"/>
                <w:sz w:val="21"/>
                <w:szCs w:val="21"/>
                <w:lang w:val="en-US" w:eastAsia="zh-CN"/>
              </w:rPr>
            </w:pPr>
            <w:r>
              <w:rPr>
                <w:rFonts w:hint="eastAsia"/>
                <w:b w:val="0"/>
                <w:bCs w:val="0"/>
                <w:color w:val="auto"/>
                <w:sz w:val="21"/>
                <w:szCs w:val="21"/>
                <w:lang w:val="en-US" w:eastAsia="zh-CN"/>
              </w:rPr>
              <w:t>本项目产生的粉尘主要为喷砂产生的钢粉、喷锌产生的锌粉，对照《工贸行业重点可燃性粉尘目录（2015年版）》，锌粉属于可燃性粉尘，本项目主要从事发电机组制造，仅喷锌时使用锌丝，锌丝用量较少，锌粉产生量较小，经收集后暂存于危废仓库，定期委托有资质单位处理。</w:t>
            </w:r>
          </w:p>
          <w:p w14:paraId="31895B66">
            <w:pPr>
              <w:pStyle w:val="23"/>
              <w:keepNext w:val="0"/>
              <w:keepLines w:val="0"/>
              <w:pageBreakBefore w:val="0"/>
              <w:widowControl/>
              <w:kinsoku/>
              <w:wordWrap/>
              <w:overflowPunct/>
              <w:topLinePunct w:val="0"/>
              <w:bidi w:val="0"/>
              <w:adjustRightInd w:val="0"/>
              <w:snapToGrid w:val="0"/>
              <w:spacing w:after="0" w:line="360" w:lineRule="auto"/>
              <w:ind w:left="0" w:leftChars="0" w:firstLine="420" w:firstLineChars="200"/>
              <w:textAlignment w:val="auto"/>
              <w:rPr>
                <w:rFonts w:hint="eastAsia"/>
                <w:b w:val="0"/>
                <w:bCs w:val="0"/>
                <w:color w:val="auto"/>
                <w:sz w:val="21"/>
                <w:szCs w:val="21"/>
                <w:lang w:val="en-US" w:eastAsia="zh-CN"/>
              </w:rPr>
            </w:pPr>
            <w:r>
              <w:rPr>
                <w:rFonts w:hint="eastAsia"/>
                <w:b w:val="0"/>
                <w:bCs w:val="0"/>
                <w:color w:val="auto"/>
                <w:sz w:val="21"/>
                <w:szCs w:val="21"/>
                <w:lang w:val="en-US" w:eastAsia="zh-CN"/>
              </w:rPr>
              <w:t>①控制车间粉尘浓度。</w:t>
            </w:r>
          </w:p>
          <w:p w14:paraId="270AD8EF">
            <w:pPr>
              <w:pStyle w:val="23"/>
              <w:keepNext w:val="0"/>
              <w:keepLines w:val="0"/>
              <w:pageBreakBefore w:val="0"/>
              <w:widowControl/>
              <w:kinsoku/>
              <w:wordWrap/>
              <w:overflowPunct/>
              <w:topLinePunct w:val="0"/>
              <w:bidi w:val="0"/>
              <w:adjustRightInd w:val="0"/>
              <w:snapToGrid w:val="0"/>
              <w:spacing w:after="0" w:line="360" w:lineRule="auto"/>
              <w:ind w:left="0" w:leftChars="0" w:firstLine="420" w:firstLineChars="200"/>
              <w:textAlignment w:val="auto"/>
              <w:rPr>
                <w:rFonts w:hint="eastAsia"/>
                <w:b w:val="0"/>
                <w:bCs w:val="0"/>
                <w:color w:val="auto"/>
                <w:sz w:val="21"/>
                <w:szCs w:val="21"/>
                <w:lang w:val="en-US" w:eastAsia="zh-CN"/>
              </w:rPr>
            </w:pPr>
            <w:r>
              <w:rPr>
                <w:rFonts w:hint="eastAsia"/>
                <w:b w:val="0"/>
                <w:bCs w:val="0"/>
                <w:color w:val="auto"/>
                <w:sz w:val="21"/>
                <w:szCs w:val="21"/>
                <w:lang w:val="en-US" w:eastAsia="zh-CN"/>
              </w:rPr>
              <w:t>对于产生粉尘的设备或场所，尽量设置在单独车间内，尽可能采用密闭性良好的设备以减少粉尘飞散逸出，同时安装有效的通风设备，保持车间良好的通风；</w:t>
            </w:r>
          </w:p>
          <w:p w14:paraId="1DB8C347">
            <w:pPr>
              <w:pStyle w:val="23"/>
              <w:keepNext w:val="0"/>
              <w:keepLines w:val="0"/>
              <w:pageBreakBefore w:val="0"/>
              <w:widowControl/>
              <w:kinsoku/>
              <w:wordWrap/>
              <w:overflowPunct/>
              <w:topLinePunct w:val="0"/>
              <w:bidi w:val="0"/>
              <w:adjustRightInd w:val="0"/>
              <w:snapToGrid w:val="0"/>
              <w:spacing w:after="0" w:line="360" w:lineRule="auto"/>
              <w:ind w:left="0" w:leftChars="0" w:firstLine="420" w:firstLineChars="200"/>
              <w:textAlignment w:val="auto"/>
              <w:rPr>
                <w:rFonts w:hint="eastAsia"/>
                <w:b w:val="0"/>
                <w:bCs w:val="0"/>
                <w:color w:val="auto"/>
                <w:sz w:val="21"/>
                <w:szCs w:val="21"/>
                <w:lang w:val="en-US" w:eastAsia="zh-CN"/>
              </w:rPr>
            </w:pPr>
            <w:r>
              <w:rPr>
                <w:rFonts w:hint="eastAsia"/>
                <w:b w:val="0"/>
                <w:bCs w:val="0"/>
                <w:color w:val="auto"/>
                <w:sz w:val="21"/>
                <w:szCs w:val="21"/>
                <w:lang w:val="en-US" w:eastAsia="zh-CN"/>
              </w:rPr>
              <w:t>及时清理沉积于车间内各角落、设备、电缆和管道上的粉尘。清理前必须湿润粉尘，遇有不能用水湿润的粉尘，应该用机械除尘法。</w:t>
            </w:r>
          </w:p>
          <w:p w14:paraId="31CF87A8">
            <w:pPr>
              <w:pStyle w:val="23"/>
              <w:keepNext w:val="0"/>
              <w:keepLines w:val="0"/>
              <w:pageBreakBefore w:val="0"/>
              <w:widowControl/>
              <w:kinsoku/>
              <w:wordWrap/>
              <w:overflowPunct/>
              <w:topLinePunct w:val="0"/>
              <w:bidi w:val="0"/>
              <w:adjustRightInd w:val="0"/>
              <w:snapToGrid w:val="0"/>
              <w:spacing w:after="0" w:line="360" w:lineRule="auto"/>
              <w:ind w:left="0" w:leftChars="0" w:firstLine="420" w:firstLineChars="200"/>
              <w:textAlignment w:val="auto"/>
              <w:rPr>
                <w:rFonts w:hint="eastAsia"/>
                <w:b w:val="0"/>
                <w:bCs w:val="0"/>
                <w:color w:val="auto"/>
                <w:sz w:val="21"/>
                <w:szCs w:val="21"/>
                <w:lang w:val="en-US" w:eastAsia="zh-CN"/>
              </w:rPr>
            </w:pPr>
            <w:r>
              <w:rPr>
                <w:rFonts w:hint="eastAsia"/>
                <w:b w:val="0"/>
                <w:bCs w:val="0"/>
                <w:color w:val="auto"/>
                <w:sz w:val="21"/>
                <w:szCs w:val="21"/>
                <w:lang w:val="en-US" w:eastAsia="zh-CN"/>
              </w:rPr>
              <w:t>②加强管理，消除粉尘爆炸的点火源。</w:t>
            </w:r>
          </w:p>
          <w:p w14:paraId="4A85FC9F">
            <w:pPr>
              <w:pStyle w:val="23"/>
              <w:keepNext w:val="0"/>
              <w:keepLines w:val="0"/>
              <w:pageBreakBefore w:val="0"/>
              <w:widowControl/>
              <w:kinsoku/>
              <w:wordWrap/>
              <w:overflowPunct/>
              <w:topLinePunct w:val="0"/>
              <w:bidi w:val="0"/>
              <w:adjustRightInd w:val="0"/>
              <w:snapToGrid w:val="0"/>
              <w:spacing w:after="0" w:line="360" w:lineRule="auto"/>
              <w:ind w:left="0" w:leftChars="0" w:firstLine="420" w:firstLineChars="200"/>
              <w:textAlignment w:val="auto"/>
              <w:rPr>
                <w:rFonts w:hint="eastAsia"/>
                <w:b w:val="0"/>
                <w:bCs w:val="0"/>
                <w:color w:val="auto"/>
                <w:sz w:val="21"/>
                <w:szCs w:val="21"/>
                <w:lang w:val="en-US" w:eastAsia="zh-CN"/>
              </w:rPr>
            </w:pPr>
            <w:r>
              <w:rPr>
                <w:rFonts w:hint="eastAsia"/>
                <w:b w:val="0"/>
                <w:bCs w:val="0"/>
                <w:color w:val="auto"/>
                <w:sz w:val="21"/>
                <w:szCs w:val="21"/>
                <w:lang w:val="en-US" w:eastAsia="zh-CN"/>
              </w:rPr>
              <w:t>粉尘产生车间电气设备应按规定选择相应的防爆型设备，整个电气线路应经常维护和检查。生产区域内的电气设施，包括电气开关、照明开关、临时机电仪电工设备等，均有可靠的静电接地，静电接地连接要求牢固，应有足够的机械强度承受机械运转引起的振动，防止脱落或虚接；</w:t>
            </w:r>
          </w:p>
          <w:p w14:paraId="29491DFD">
            <w:pPr>
              <w:pStyle w:val="23"/>
              <w:keepNext w:val="0"/>
              <w:keepLines w:val="0"/>
              <w:pageBreakBefore w:val="0"/>
              <w:widowControl/>
              <w:kinsoku/>
              <w:wordWrap/>
              <w:overflowPunct/>
              <w:topLinePunct w:val="0"/>
              <w:bidi w:val="0"/>
              <w:adjustRightInd w:val="0"/>
              <w:snapToGrid w:val="0"/>
              <w:spacing w:after="0" w:line="360" w:lineRule="auto"/>
              <w:ind w:left="0" w:leftChars="0" w:firstLine="420" w:firstLineChars="200"/>
              <w:textAlignment w:val="auto"/>
              <w:rPr>
                <w:rFonts w:hint="eastAsia"/>
                <w:b w:val="0"/>
                <w:bCs w:val="0"/>
                <w:color w:val="auto"/>
                <w:sz w:val="21"/>
                <w:szCs w:val="21"/>
                <w:lang w:val="en-US" w:eastAsia="zh-CN"/>
              </w:rPr>
            </w:pPr>
            <w:r>
              <w:rPr>
                <w:rFonts w:hint="eastAsia"/>
                <w:b w:val="0"/>
                <w:bCs w:val="0"/>
                <w:color w:val="auto"/>
                <w:sz w:val="21"/>
                <w:szCs w:val="21"/>
                <w:lang w:val="en-US" w:eastAsia="zh-CN"/>
              </w:rPr>
              <w:t>粉尘产生车间内严禁使用非防爆工具。如遇生产检修，要避免一切静电火花的产生，进入生产车间等爆炸环境内维修、维护设备，不得采用产生火花工具（如普通钢板子、管钳子、铁锤等）进行现场作业。对设备维修检查，需进行维修焊接，应经安全部门确认、准许，并有记录在案，有监管人员在场方可进行施工。严禁穿带铁钉的鞋进入；</w:t>
            </w:r>
          </w:p>
          <w:p w14:paraId="1C2435DC">
            <w:pPr>
              <w:pStyle w:val="23"/>
              <w:keepNext w:val="0"/>
              <w:keepLines w:val="0"/>
              <w:pageBreakBefore w:val="0"/>
              <w:widowControl/>
              <w:kinsoku/>
              <w:wordWrap/>
              <w:overflowPunct/>
              <w:topLinePunct w:val="0"/>
              <w:bidi w:val="0"/>
              <w:adjustRightInd w:val="0"/>
              <w:snapToGrid w:val="0"/>
              <w:spacing w:after="0" w:line="360" w:lineRule="auto"/>
              <w:ind w:left="0" w:leftChars="0" w:firstLine="420" w:firstLineChars="200"/>
              <w:textAlignment w:val="auto"/>
              <w:rPr>
                <w:rFonts w:hint="eastAsia"/>
                <w:b w:val="0"/>
                <w:bCs w:val="0"/>
                <w:color w:val="auto"/>
                <w:sz w:val="21"/>
                <w:szCs w:val="21"/>
                <w:lang w:val="en-US" w:eastAsia="zh-CN"/>
              </w:rPr>
            </w:pPr>
            <w:r>
              <w:rPr>
                <w:rFonts w:hint="eastAsia"/>
                <w:b w:val="0"/>
                <w:bCs w:val="0"/>
                <w:color w:val="auto"/>
                <w:sz w:val="21"/>
                <w:szCs w:val="21"/>
                <w:lang w:val="en-US" w:eastAsia="zh-CN"/>
              </w:rPr>
              <w:t>工作场所禁止明火，吸烟等。</w:t>
            </w:r>
          </w:p>
          <w:p w14:paraId="39243BB1">
            <w:pPr>
              <w:pStyle w:val="23"/>
              <w:keepNext w:val="0"/>
              <w:keepLines w:val="0"/>
              <w:pageBreakBefore w:val="0"/>
              <w:widowControl/>
              <w:kinsoku/>
              <w:wordWrap/>
              <w:overflowPunct/>
              <w:topLinePunct w:val="0"/>
              <w:bidi w:val="0"/>
              <w:adjustRightInd w:val="0"/>
              <w:snapToGrid w:val="0"/>
              <w:spacing w:after="0" w:line="360" w:lineRule="auto"/>
              <w:ind w:left="0" w:leftChars="0" w:firstLine="420" w:firstLineChars="200"/>
              <w:textAlignment w:val="auto"/>
              <w:rPr>
                <w:rFonts w:hint="eastAsia"/>
                <w:b w:val="0"/>
                <w:bCs w:val="0"/>
                <w:color w:val="auto"/>
                <w:sz w:val="21"/>
                <w:szCs w:val="21"/>
                <w:lang w:val="en-US" w:eastAsia="zh-CN"/>
              </w:rPr>
            </w:pPr>
            <w:r>
              <w:rPr>
                <w:rFonts w:hint="eastAsia"/>
                <w:b w:val="0"/>
                <w:bCs w:val="0"/>
                <w:color w:val="auto"/>
                <w:sz w:val="21"/>
                <w:szCs w:val="21"/>
                <w:lang w:val="en-US" w:eastAsia="zh-CN"/>
              </w:rPr>
              <w:t>③车间布置合理。</w:t>
            </w:r>
          </w:p>
          <w:p w14:paraId="2FEDD95F">
            <w:pPr>
              <w:pStyle w:val="23"/>
              <w:keepNext w:val="0"/>
              <w:keepLines w:val="0"/>
              <w:pageBreakBefore w:val="0"/>
              <w:widowControl/>
              <w:kinsoku/>
              <w:wordWrap/>
              <w:overflowPunct/>
              <w:topLinePunct w:val="0"/>
              <w:bidi w:val="0"/>
              <w:adjustRightInd w:val="0"/>
              <w:snapToGrid w:val="0"/>
              <w:spacing w:after="0" w:line="360" w:lineRule="auto"/>
              <w:ind w:left="0" w:leftChars="0" w:firstLine="420" w:firstLineChars="200"/>
              <w:textAlignment w:val="auto"/>
              <w:rPr>
                <w:rFonts w:hint="eastAsia"/>
                <w:b w:val="0"/>
                <w:bCs w:val="0"/>
                <w:color w:val="auto"/>
                <w:sz w:val="21"/>
                <w:szCs w:val="21"/>
                <w:lang w:val="en-US" w:eastAsia="zh-CN"/>
              </w:rPr>
            </w:pPr>
            <w:r>
              <w:rPr>
                <w:rFonts w:hint="eastAsia"/>
                <w:b w:val="0"/>
                <w:bCs w:val="0"/>
                <w:color w:val="auto"/>
                <w:sz w:val="21"/>
                <w:szCs w:val="21"/>
                <w:lang w:val="en-US" w:eastAsia="zh-CN"/>
              </w:rPr>
              <w:t>对于产生粉尘场所尽量设置在单独车间内，车间的地面、墙面、顶棚要求平滑无凹凸之处；建筑物耐火等级、防火分布、疏散通道、安全出口均满足规范要求。配置相应的灭火装置和设施。在生产车间配置灭火器材，安置火灾报警系统，该系统由火灾报警控制器、火灾探测器、手动报警按钮等组成，以利于自动预警和及时组织灭火扑救。</w:t>
            </w:r>
          </w:p>
          <w:p w14:paraId="360A3269">
            <w:pPr>
              <w:pStyle w:val="23"/>
              <w:keepNext w:val="0"/>
              <w:keepLines w:val="0"/>
              <w:pageBreakBefore w:val="0"/>
              <w:widowControl/>
              <w:kinsoku/>
              <w:wordWrap/>
              <w:overflowPunct/>
              <w:topLinePunct w:val="0"/>
              <w:bidi w:val="0"/>
              <w:adjustRightInd w:val="0"/>
              <w:snapToGrid w:val="0"/>
              <w:spacing w:after="0" w:line="360" w:lineRule="auto"/>
              <w:ind w:left="0" w:leftChars="0" w:firstLine="420" w:firstLineChars="200"/>
              <w:textAlignment w:val="auto"/>
              <w:rPr>
                <w:rFonts w:hint="eastAsia"/>
                <w:b w:val="0"/>
                <w:bCs w:val="0"/>
                <w:color w:val="auto"/>
                <w:sz w:val="21"/>
                <w:szCs w:val="21"/>
                <w:lang w:val="en-US" w:eastAsia="zh-CN"/>
              </w:rPr>
            </w:pPr>
            <w:r>
              <w:rPr>
                <w:rFonts w:hint="eastAsia"/>
                <w:b w:val="0"/>
                <w:bCs w:val="0"/>
                <w:color w:val="auto"/>
                <w:sz w:val="21"/>
                <w:szCs w:val="21"/>
                <w:lang w:val="en-US" w:eastAsia="zh-CN"/>
              </w:rPr>
              <w:t>④员工培训</w:t>
            </w:r>
          </w:p>
          <w:p w14:paraId="78CB4BA8">
            <w:pPr>
              <w:pStyle w:val="23"/>
              <w:keepNext w:val="0"/>
              <w:keepLines w:val="0"/>
              <w:pageBreakBefore w:val="0"/>
              <w:widowControl/>
              <w:kinsoku/>
              <w:wordWrap/>
              <w:overflowPunct/>
              <w:topLinePunct w:val="0"/>
              <w:bidi w:val="0"/>
              <w:adjustRightInd w:val="0"/>
              <w:snapToGrid w:val="0"/>
              <w:spacing w:after="0" w:line="360" w:lineRule="auto"/>
              <w:ind w:left="0" w:leftChars="0" w:firstLine="420" w:firstLineChars="200"/>
              <w:textAlignment w:val="auto"/>
              <w:rPr>
                <w:rFonts w:hint="eastAsia"/>
                <w:b w:val="0"/>
                <w:bCs w:val="0"/>
                <w:color w:val="auto"/>
                <w:sz w:val="21"/>
                <w:szCs w:val="21"/>
                <w:lang w:val="en-US" w:eastAsia="zh-CN"/>
              </w:rPr>
            </w:pPr>
            <w:r>
              <w:rPr>
                <w:rFonts w:hint="eastAsia"/>
                <w:b w:val="0"/>
                <w:bCs w:val="0"/>
                <w:color w:val="auto"/>
                <w:sz w:val="21"/>
                <w:szCs w:val="21"/>
                <w:lang w:val="en-US" w:eastAsia="zh-CN"/>
              </w:rPr>
              <w:t>健全粉尘作业场所安全生产管理制度，员工经培训上岗，严格按照工艺要求操作，熟练掌握操作技能，具备应急处置知识，杜绝由于操作失误引发的火灾和爆炸事故；提高对消防安全工作重要性的认识，建立健全防火责任制度，加强安全教育。</w:t>
            </w:r>
          </w:p>
          <w:p w14:paraId="09086515">
            <w:pPr>
              <w:pStyle w:val="23"/>
              <w:keepNext w:val="0"/>
              <w:keepLines w:val="0"/>
              <w:pageBreakBefore w:val="0"/>
              <w:widowControl/>
              <w:kinsoku/>
              <w:wordWrap/>
              <w:overflowPunct/>
              <w:topLinePunct w:val="0"/>
              <w:bidi w:val="0"/>
              <w:adjustRightInd w:val="0"/>
              <w:snapToGrid w:val="0"/>
              <w:spacing w:after="0" w:line="360" w:lineRule="auto"/>
              <w:ind w:left="0" w:leftChars="0" w:firstLine="420" w:firstLineChars="200"/>
              <w:textAlignment w:val="auto"/>
              <w:rPr>
                <w:rFonts w:hint="eastAsia"/>
                <w:b w:val="0"/>
                <w:bCs w:val="0"/>
                <w:color w:val="auto"/>
                <w:sz w:val="21"/>
                <w:szCs w:val="21"/>
                <w:lang w:val="en-US" w:eastAsia="zh-CN"/>
              </w:rPr>
            </w:pPr>
            <w:r>
              <w:rPr>
                <w:rFonts w:hint="eastAsia"/>
                <w:b w:val="0"/>
                <w:bCs w:val="0"/>
                <w:color w:val="auto"/>
                <w:sz w:val="21"/>
                <w:szCs w:val="21"/>
                <w:lang w:val="en-US" w:eastAsia="zh-CN"/>
              </w:rPr>
              <w:t>⑤定期检查设备</w:t>
            </w:r>
          </w:p>
          <w:p w14:paraId="3FD1B746">
            <w:pPr>
              <w:pStyle w:val="23"/>
              <w:keepNext w:val="0"/>
              <w:keepLines w:val="0"/>
              <w:pageBreakBefore w:val="0"/>
              <w:widowControl/>
              <w:kinsoku/>
              <w:wordWrap/>
              <w:overflowPunct/>
              <w:topLinePunct w:val="0"/>
              <w:bidi w:val="0"/>
              <w:adjustRightInd w:val="0"/>
              <w:snapToGrid w:val="0"/>
              <w:spacing w:after="0" w:line="360" w:lineRule="auto"/>
              <w:ind w:left="0" w:leftChars="0" w:firstLine="420" w:firstLineChars="200"/>
              <w:textAlignment w:val="auto"/>
              <w:rPr>
                <w:rFonts w:hint="default"/>
                <w:color w:val="auto"/>
                <w:sz w:val="21"/>
                <w:szCs w:val="21"/>
                <w:lang w:val="en-US" w:eastAsia="zh-CN"/>
              </w:rPr>
            </w:pPr>
            <w:r>
              <w:rPr>
                <w:rFonts w:hint="eastAsia"/>
                <w:b w:val="0"/>
                <w:bCs w:val="0"/>
                <w:color w:val="auto"/>
                <w:sz w:val="21"/>
                <w:szCs w:val="21"/>
                <w:lang w:val="en-US" w:eastAsia="zh-CN"/>
              </w:rPr>
              <w:t>定期进行粉尘防爆检查，并对设备进行检查和维修，防止机械零部件松脱。检测内容、时间、人员应有记录保存，安全检测应根据设备的安全性、危险性设定检测频次。</w:t>
            </w:r>
          </w:p>
          <w:p w14:paraId="0200D39C">
            <w:pPr>
              <w:pStyle w:val="23"/>
              <w:ind w:firstLine="422" w:firstLineChars="200"/>
              <w:rPr>
                <w:color w:val="auto"/>
                <w:sz w:val="21"/>
                <w:szCs w:val="21"/>
              </w:rPr>
            </w:pPr>
            <w:r>
              <w:rPr>
                <w:rFonts w:hint="eastAsia"/>
                <w:b/>
                <w:bCs/>
                <w:color w:val="auto"/>
                <w:sz w:val="21"/>
                <w:szCs w:val="21"/>
                <w:lang w:val="en-US" w:eastAsia="zh-CN"/>
              </w:rPr>
              <w:t>3</w:t>
            </w:r>
            <w:r>
              <w:rPr>
                <w:rFonts w:hint="eastAsia"/>
                <w:b/>
                <w:bCs/>
                <w:color w:val="auto"/>
                <w:sz w:val="21"/>
                <w:szCs w:val="21"/>
              </w:rPr>
              <w:t>）泄漏事故应急措施</w:t>
            </w:r>
          </w:p>
          <w:p w14:paraId="6753ED37">
            <w:pPr>
              <w:adjustRightInd w:val="0"/>
              <w:snapToGrid w:val="0"/>
              <w:spacing w:line="360" w:lineRule="auto"/>
              <w:ind w:firstLine="420" w:firstLineChars="200"/>
              <w:rPr>
                <w:color w:val="auto"/>
                <w:kern w:val="0"/>
              </w:rPr>
            </w:pPr>
            <w:r>
              <w:rPr>
                <w:rFonts w:hint="eastAsia"/>
                <w:color w:val="auto"/>
                <w:kern w:val="0"/>
              </w:rPr>
              <w:t>本项目</w:t>
            </w:r>
            <w:r>
              <w:rPr>
                <w:rFonts w:hint="eastAsia"/>
                <w:color w:val="auto"/>
                <w:sz w:val="21"/>
                <w:szCs w:val="21"/>
                <w:lang w:val="en-US" w:eastAsia="zh-CN"/>
              </w:rPr>
              <w:t>涂料、稀释剂、固化剂等</w:t>
            </w:r>
            <w:r>
              <w:rPr>
                <w:rFonts w:hint="eastAsia"/>
                <w:color w:val="auto"/>
                <w:sz w:val="21"/>
                <w:szCs w:val="21"/>
              </w:rPr>
              <w:t>暂存于车间仓库</w:t>
            </w:r>
            <w:r>
              <w:rPr>
                <w:rFonts w:hint="eastAsia"/>
                <w:color w:val="auto"/>
                <w:kern w:val="0"/>
              </w:rPr>
              <w:t>，采用桶装，桶底部设有托盘，且仓库地面作防渗处理，即便发生泄漏，也可全部收集于托盘中，</w:t>
            </w:r>
            <w:r>
              <w:rPr>
                <w:color w:val="auto"/>
                <w:kern w:val="0"/>
              </w:rPr>
              <w:t>不会扩散至厂区或厂外环境。</w:t>
            </w:r>
          </w:p>
          <w:p w14:paraId="07BEECC2">
            <w:pPr>
              <w:pStyle w:val="23"/>
              <w:ind w:firstLine="422" w:firstLineChars="200"/>
              <w:rPr>
                <w:b/>
                <w:bCs/>
                <w:color w:val="auto"/>
                <w:sz w:val="21"/>
                <w:szCs w:val="21"/>
              </w:rPr>
            </w:pPr>
            <w:r>
              <w:rPr>
                <w:rFonts w:hint="eastAsia"/>
                <w:b/>
                <w:bCs/>
                <w:color w:val="auto"/>
                <w:sz w:val="21"/>
                <w:szCs w:val="21"/>
                <w:lang w:val="en-US" w:eastAsia="zh-CN"/>
              </w:rPr>
              <w:t>4</w:t>
            </w:r>
            <w:r>
              <w:rPr>
                <w:rFonts w:hint="eastAsia"/>
                <w:b/>
                <w:bCs/>
                <w:color w:val="auto"/>
                <w:sz w:val="21"/>
                <w:szCs w:val="21"/>
              </w:rPr>
              <w:t>）废气处理装置事故应急措施</w:t>
            </w:r>
          </w:p>
          <w:p w14:paraId="349C4244">
            <w:pPr>
              <w:pStyle w:val="23"/>
              <w:ind w:firstLine="420" w:firstLineChars="200"/>
              <w:rPr>
                <w:b/>
                <w:bCs/>
                <w:color w:val="auto"/>
                <w:sz w:val="21"/>
                <w:szCs w:val="21"/>
              </w:rPr>
            </w:pPr>
            <w:r>
              <w:rPr>
                <w:rFonts w:hint="eastAsia"/>
                <w:color w:val="auto"/>
                <w:sz w:val="21"/>
                <w:szCs w:val="21"/>
              </w:rPr>
              <w:t>现场操作人员发现废气处理装置发生故障后，应立即停止生产，相关人员对废气处理装置进行故障排除，待故障解决、装置运行正常后再进行生产。</w:t>
            </w:r>
          </w:p>
          <w:p w14:paraId="4D0CEF93">
            <w:pPr>
              <w:pStyle w:val="23"/>
              <w:ind w:firstLine="422" w:firstLineChars="200"/>
              <w:rPr>
                <w:b/>
                <w:bCs/>
                <w:color w:val="auto"/>
                <w:sz w:val="21"/>
                <w:szCs w:val="21"/>
              </w:rPr>
            </w:pPr>
            <w:r>
              <w:rPr>
                <w:b/>
                <w:bCs/>
                <w:color w:val="auto"/>
                <w:sz w:val="21"/>
                <w:szCs w:val="21"/>
              </w:rPr>
              <w:t>③突发事故对策和应急预案</w:t>
            </w:r>
          </w:p>
          <w:p w14:paraId="1B546180">
            <w:pPr>
              <w:pStyle w:val="106"/>
              <w:snapToGrid w:val="0"/>
              <w:spacing w:line="360" w:lineRule="auto"/>
              <w:ind w:firstLine="420" w:firstLineChars="200"/>
              <w:jc w:val="both"/>
              <w:outlineLvl w:val="9"/>
              <w:rPr>
                <w:rFonts w:ascii="Times New Roman" w:eastAsia="宋体"/>
                <w:color w:val="auto"/>
                <w:kern w:val="0"/>
                <w:sz w:val="21"/>
                <w:szCs w:val="21"/>
              </w:rPr>
            </w:pPr>
            <w:r>
              <w:rPr>
                <w:rFonts w:ascii="Times New Roman" w:eastAsia="宋体" w:cs="Times New Roman"/>
                <w:b w:val="0"/>
                <w:bCs/>
                <w:color w:val="auto"/>
                <w:kern w:val="0"/>
                <w:sz w:val="21"/>
                <w:szCs w:val="21"/>
              </w:rPr>
              <w:t>参照《国家突发环境事件应急预案》《突发环境事件信息报告办法》《江苏省突发环境事件应急预案》，根据</w:t>
            </w:r>
            <w:r>
              <w:rPr>
                <w:rFonts w:hint="eastAsia" w:ascii="Times New Roman" w:eastAsia="宋体" w:cs="Times New Roman"/>
                <w:b w:val="0"/>
                <w:bCs/>
                <w:color w:val="auto"/>
                <w:kern w:val="0"/>
                <w:sz w:val="21"/>
                <w:szCs w:val="21"/>
              </w:rPr>
              <w:t>企业</w:t>
            </w:r>
            <w:r>
              <w:rPr>
                <w:rFonts w:ascii="Times New Roman" w:eastAsia="宋体" w:cs="Times New Roman"/>
                <w:b w:val="0"/>
                <w:bCs/>
                <w:color w:val="auto"/>
                <w:kern w:val="0"/>
                <w:sz w:val="21"/>
                <w:szCs w:val="21"/>
              </w:rPr>
              <w:t>可能发生的突发环境事件的性质、严重程度、可控性、影响范围等因素，</w:t>
            </w:r>
            <w:r>
              <w:rPr>
                <w:rFonts w:ascii="Times New Roman" w:eastAsia="宋体"/>
                <w:b w:val="0"/>
                <w:bCs/>
                <w:color w:val="auto"/>
                <w:kern w:val="0"/>
                <w:sz w:val="21"/>
                <w:szCs w:val="21"/>
              </w:rPr>
              <w:t>公司应根据下表的详细要求制定突发事故对策和应急预案，一旦出现突发事故，必须按事先拟定的方案进行紧急处理。应急对策和预案的内容及要求如下表：</w:t>
            </w:r>
          </w:p>
          <w:p w14:paraId="05D90A01">
            <w:pPr>
              <w:jc w:val="center"/>
              <w:rPr>
                <w:b/>
                <w:color w:val="auto"/>
                <w:kern w:val="0"/>
              </w:rPr>
            </w:pPr>
            <w:r>
              <w:rPr>
                <w:b/>
                <w:color w:val="auto"/>
                <w:kern w:val="0"/>
              </w:rPr>
              <w:t>表4-</w:t>
            </w:r>
            <w:r>
              <w:rPr>
                <w:rFonts w:hint="eastAsia"/>
                <w:b/>
                <w:color w:val="auto"/>
                <w:kern w:val="0"/>
                <w:lang w:val="en-US" w:eastAsia="zh-CN"/>
              </w:rPr>
              <w:t>31</w:t>
            </w:r>
            <w:r>
              <w:rPr>
                <w:b/>
                <w:color w:val="auto"/>
                <w:kern w:val="0"/>
              </w:rPr>
              <w:t xml:space="preserve"> </w:t>
            </w:r>
            <w:r>
              <w:rPr>
                <w:rFonts w:hint="eastAsia"/>
                <w:b/>
                <w:color w:val="auto"/>
                <w:kern w:val="0"/>
              </w:rPr>
              <w:t xml:space="preserve">  </w:t>
            </w:r>
            <w:r>
              <w:rPr>
                <w:b/>
                <w:color w:val="auto"/>
                <w:kern w:val="0"/>
              </w:rPr>
              <w:t>应急预案内容</w:t>
            </w:r>
          </w:p>
          <w:tbl>
            <w:tblPr>
              <w:tblStyle w:val="59"/>
              <w:tblW w:w="4999" w:type="pct"/>
              <w:jc w:val="center"/>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Layout w:type="fixed"/>
              <w:tblCellMar>
                <w:top w:w="0" w:type="dxa"/>
                <w:left w:w="0" w:type="dxa"/>
                <w:bottom w:w="0" w:type="dxa"/>
                <w:right w:w="0" w:type="dxa"/>
              </w:tblCellMar>
            </w:tblPr>
            <w:tblGrid>
              <w:gridCol w:w="831"/>
              <w:gridCol w:w="3114"/>
              <w:gridCol w:w="4914"/>
            </w:tblGrid>
            <w:tr w14:paraId="598DBD4B">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jc w:val="center"/>
              </w:trPr>
              <w:tc>
                <w:tcPr>
                  <w:tcW w:w="469" w:type="pct"/>
                  <w:tcBorders>
                    <w:tl2br w:val="nil"/>
                    <w:tr2bl w:val="nil"/>
                  </w:tcBorders>
                  <w:vAlign w:val="center"/>
                </w:tcPr>
                <w:p w14:paraId="34525717">
                  <w:pPr>
                    <w:adjustRightInd w:val="0"/>
                    <w:snapToGrid w:val="0"/>
                    <w:ind w:left="63" w:leftChars="30" w:right="63" w:rightChars="30"/>
                    <w:jc w:val="center"/>
                    <w:rPr>
                      <w:b/>
                      <w:bCs/>
                      <w:color w:val="auto"/>
                      <w:kern w:val="0"/>
                    </w:rPr>
                  </w:pPr>
                  <w:r>
                    <w:rPr>
                      <w:b/>
                      <w:bCs/>
                      <w:color w:val="auto"/>
                      <w:kern w:val="0"/>
                    </w:rPr>
                    <w:t>序号</w:t>
                  </w:r>
                </w:p>
              </w:tc>
              <w:tc>
                <w:tcPr>
                  <w:tcW w:w="1757" w:type="pct"/>
                  <w:tcBorders>
                    <w:tl2br w:val="nil"/>
                    <w:tr2bl w:val="nil"/>
                  </w:tcBorders>
                  <w:vAlign w:val="center"/>
                </w:tcPr>
                <w:p w14:paraId="2C614CE0">
                  <w:pPr>
                    <w:adjustRightInd w:val="0"/>
                    <w:snapToGrid w:val="0"/>
                    <w:ind w:left="63" w:leftChars="30" w:right="63" w:rightChars="30"/>
                    <w:jc w:val="center"/>
                    <w:rPr>
                      <w:b/>
                      <w:bCs/>
                      <w:color w:val="auto"/>
                      <w:kern w:val="0"/>
                    </w:rPr>
                  </w:pPr>
                  <w:r>
                    <w:rPr>
                      <w:b/>
                      <w:bCs/>
                      <w:color w:val="auto"/>
                      <w:kern w:val="0"/>
                    </w:rPr>
                    <w:t>项目</w:t>
                  </w:r>
                </w:p>
              </w:tc>
              <w:tc>
                <w:tcPr>
                  <w:tcW w:w="2772" w:type="pct"/>
                  <w:tcBorders>
                    <w:tl2br w:val="nil"/>
                    <w:tr2bl w:val="nil"/>
                  </w:tcBorders>
                  <w:vAlign w:val="center"/>
                </w:tcPr>
                <w:p w14:paraId="2E85C0D6">
                  <w:pPr>
                    <w:adjustRightInd w:val="0"/>
                    <w:snapToGrid w:val="0"/>
                    <w:ind w:left="63" w:leftChars="30" w:right="63" w:rightChars="30"/>
                    <w:jc w:val="center"/>
                    <w:rPr>
                      <w:b/>
                      <w:bCs/>
                      <w:color w:val="auto"/>
                      <w:kern w:val="0"/>
                    </w:rPr>
                  </w:pPr>
                  <w:r>
                    <w:rPr>
                      <w:b/>
                      <w:bCs/>
                      <w:color w:val="auto"/>
                      <w:kern w:val="0"/>
                    </w:rPr>
                    <w:t>内容及要求</w:t>
                  </w:r>
                </w:p>
              </w:tc>
            </w:tr>
            <w:tr w14:paraId="3DC84139">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jc w:val="center"/>
              </w:trPr>
              <w:tc>
                <w:tcPr>
                  <w:tcW w:w="469" w:type="pct"/>
                  <w:tcBorders>
                    <w:tl2br w:val="nil"/>
                    <w:tr2bl w:val="nil"/>
                  </w:tcBorders>
                  <w:vAlign w:val="center"/>
                </w:tcPr>
                <w:p w14:paraId="514AD393">
                  <w:pPr>
                    <w:adjustRightInd w:val="0"/>
                    <w:snapToGrid w:val="0"/>
                    <w:ind w:left="63" w:leftChars="30" w:right="63" w:rightChars="30"/>
                    <w:jc w:val="center"/>
                    <w:rPr>
                      <w:color w:val="auto"/>
                      <w:kern w:val="0"/>
                    </w:rPr>
                  </w:pPr>
                  <w:r>
                    <w:rPr>
                      <w:color w:val="auto"/>
                      <w:kern w:val="0"/>
                    </w:rPr>
                    <w:t>1</w:t>
                  </w:r>
                </w:p>
              </w:tc>
              <w:tc>
                <w:tcPr>
                  <w:tcW w:w="1757" w:type="pct"/>
                  <w:tcBorders>
                    <w:tl2br w:val="nil"/>
                    <w:tr2bl w:val="nil"/>
                  </w:tcBorders>
                  <w:vAlign w:val="center"/>
                </w:tcPr>
                <w:p w14:paraId="38A38E32">
                  <w:pPr>
                    <w:adjustRightInd w:val="0"/>
                    <w:snapToGrid w:val="0"/>
                    <w:ind w:left="63" w:leftChars="30" w:right="63" w:rightChars="30"/>
                    <w:jc w:val="center"/>
                    <w:rPr>
                      <w:color w:val="auto"/>
                      <w:kern w:val="0"/>
                    </w:rPr>
                  </w:pPr>
                  <w:r>
                    <w:rPr>
                      <w:color w:val="auto"/>
                      <w:kern w:val="0"/>
                    </w:rPr>
                    <w:t>应急计划区</w:t>
                  </w:r>
                </w:p>
              </w:tc>
              <w:tc>
                <w:tcPr>
                  <w:tcW w:w="2772" w:type="pct"/>
                  <w:tcBorders>
                    <w:tl2br w:val="nil"/>
                    <w:tr2bl w:val="nil"/>
                  </w:tcBorders>
                  <w:vAlign w:val="center"/>
                </w:tcPr>
                <w:p w14:paraId="249A3802">
                  <w:pPr>
                    <w:adjustRightInd w:val="0"/>
                    <w:snapToGrid w:val="0"/>
                    <w:ind w:left="63" w:leftChars="30" w:right="63" w:rightChars="30"/>
                    <w:jc w:val="center"/>
                    <w:rPr>
                      <w:color w:val="auto"/>
                      <w:kern w:val="0"/>
                    </w:rPr>
                  </w:pPr>
                  <w:r>
                    <w:rPr>
                      <w:color w:val="auto"/>
                      <w:kern w:val="0"/>
                    </w:rPr>
                    <w:t>危险目标：</w:t>
                  </w:r>
                  <w:r>
                    <w:rPr>
                      <w:rFonts w:hint="eastAsia"/>
                      <w:color w:val="auto"/>
                      <w:kern w:val="0"/>
                    </w:rPr>
                    <w:t>危废仓库</w:t>
                  </w:r>
                  <w:r>
                    <w:rPr>
                      <w:color w:val="auto"/>
                      <w:kern w:val="0"/>
                    </w:rPr>
                    <w:t>、环境保护目标等</w:t>
                  </w:r>
                </w:p>
              </w:tc>
            </w:tr>
            <w:tr w14:paraId="6D8AF4A1">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jc w:val="center"/>
              </w:trPr>
              <w:tc>
                <w:tcPr>
                  <w:tcW w:w="469" w:type="pct"/>
                  <w:tcBorders>
                    <w:tl2br w:val="nil"/>
                    <w:tr2bl w:val="nil"/>
                  </w:tcBorders>
                  <w:vAlign w:val="center"/>
                </w:tcPr>
                <w:p w14:paraId="3ED9874A">
                  <w:pPr>
                    <w:adjustRightInd w:val="0"/>
                    <w:snapToGrid w:val="0"/>
                    <w:ind w:left="63" w:leftChars="30" w:right="63" w:rightChars="30"/>
                    <w:jc w:val="center"/>
                    <w:rPr>
                      <w:color w:val="auto"/>
                      <w:kern w:val="0"/>
                    </w:rPr>
                  </w:pPr>
                  <w:r>
                    <w:rPr>
                      <w:color w:val="auto"/>
                      <w:kern w:val="0"/>
                    </w:rPr>
                    <w:t>2</w:t>
                  </w:r>
                </w:p>
              </w:tc>
              <w:tc>
                <w:tcPr>
                  <w:tcW w:w="1757" w:type="pct"/>
                  <w:tcBorders>
                    <w:tl2br w:val="nil"/>
                    <w:tr2bl w:val="nil"/>
                  </w:tcBorders>
                  <w:vAlign w:val="center"/>
                </w:tcPr>
                <w:p w14:paraId="35283DE1">
                  <w:pPr>
                    <w:adjustRightInd w:val="0"/>
                    <w:snapToGrid w:val="0"/>
                    <w:ind w:left="63" w:leftChars="30" w:right="63" w:rightChars="30"/>
                    <w:jc w:val="center"/>
                    <w:rPr>
                      <w:color w:val="auto"/>
                      <w:kern w:val="0"/>
                    </w:rPr>
                  </w:pPr>
                  <w:r>
                    <w:rPr>
                      <w:color w:val="auto"/>
                      <w:kern w:val="0"/>
                    </w:rPr>
                    <w:t>应急组织机构、人员</w:t>
                  </w:r>
                </w:p>
              </w:tc>
              <w:tc>
                <w:tcPr>
                  <w:tcW w:w="2772" w:type="pct"/>
                  <w:tcBorders>
                    <w:tl2br w:val="nil"/>
                    <w:tr2bl w:val="nil"/>
                  </w:tcBorders>
                  <w:vAlign w:val="center"/>
                </w:tcPr>
                <w:p w14:paraId="2F8D65A8">
                  <w:pPr>
                    <w:adjustRightInd w:val="0"/>
                    <w:snapToGrid w:val="0"/>
                    <w:ind w:left="63" w:leftChars="30" w:right="63" w:rightChars="30"/>
                    <w:jc w:val="center"/>
                    <w:rPr>
                      <w:color w:val="auto"/>
                      <w:kern w:val="0"/>
                    </w:rPr>
                  </w:pPr>
                  <w:r>
                    <w:rPr>
                      <w:color w:val="auto"/>
                      <w:kern w:val="0"/>
                    </w:rPr>
                    <w:t>工厂、地区应急组织机构、人员</w:t>
                  </w:r>
                </w:p>
              </w:tc>
            </w:tr>
            <w:tr w14:paraId="796DA134">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jc w:val="center"/>
              </w:trPr>
              <w:tc>
                <w:tcPr>
                  <w:tcW w:w="469" w:type="pct"/>
                  <w:tcBorders>
                    <w:tl2br w:val="nil"/>
                    <w:tr2bl w:val="nil"/>
                  </w:tcBorders>
                  <w:vAlign w:val="center"/>
                </w:tcPr>
                <w:p w14:paraId="4BE974BC">
                  <w:pPr>
                    <w:adjustRightInd w:val="0"/>
                    <w:snapToGrid w:val="0"/>
                    <w:ind w:left="63" w:leftChars="30" w:right="63" w:rightChars="30"/>
                    <w:jc w:val="center"/>
                    <w:rPr>
                      <w:color w:val="auto"/>
                      <w:kern w:val="0"/>
                    </w:rPr>
                  </w:pPr>
                  <w:r>
                    <w:rPr>
                      <w:color w:val="auto"/>
                      <w:kern w:val="0"/>
                    </w:rPr>
                    <w:t>3</w:t>
                  </w:r>
                </w:p>
              </w:tc>
              <w:tc>
                <w:tcPr>
                  <w:tcW w:w="1757" w:type="pct"/>
                  <w:tcBorders>
                    <w:tl2br w:val="nil"/>
                    <w:tr2bl w:val="nil"/>
                  </w:tcBorders>
                  <w:vAlign w:val="center"/>
                </w:tcPr>
                <w:p w14:paraId="16EC1839">
                  <w:pPr>
                    <w:adjustRightInd w:val="0"/>
                    <w:snapToGrid w:val="0"/>
                    <w:ind w:left="63" w:leftChars="30" w:right="63" w:rightChars="30"/>
                    <w:jc w:val="center"/>
                    <w:rPr>
                      <w:color w:val="auto"/>
                      <w:kern w:val="0"/>
                    </w:rPr>
                  </w:pPr>
                  <w:r>
                    <w:rPr>
                      <w:color w:val="auto"/>
                      <w:kern w:val="0"/>
                    </w:rPr>
                    <w:t>预案分级响应条件</w:t>
                  </w:r>
                </w:p>
              </w:tc>
              <w:tc>
                <w:tcPr>
                  <w:tcW w:w="2772" w:type="pct"/>
                  <w:tcBorders>
                    <w:tl2br w:val="nil"/>
                    <w:tr2bl w:val="nil"/>
                  </w:tcBorders>
                  <w:vAlign w:val="center"/>
                </w:tcPr>
                <w:p w14:paraId="5C6AA5BE">
                  <w:pPr>
                    <w:adjustRightInd w:val="0"/>
                    <w:snapToGrid w:val="0"/>
                    <w:ind w:left="63" w:leftChars="30" w:right="63" w:rightChars="30"/>
                    <w:jc w:val="center"/>
                    <w:rPr>
                      <w:color w:val="auto"/>
                      <w:kern w:val="0"/>
                    </w:rPr>
                  </w:pPr>
                  <w:r>
                    <w:rPr>
                      <w:color w:val="auto"/>
                      <w:kern w:val="0"/>
                    </w:rPr>
                    <w:t>规定预案的级别及分级响应程序</w:t>
                  </w:r>
                </w:p>
              </w:tc>
            </w:tr>
            <w:tr w14:paraId="0E184B48">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jc w:val="center"/>
              </w:trPr>
              <w:tc>
                <w:tcPr>
                  <w:tcW w:w="469" w:type="pct"/>
                  <w:tcBorders>
                    <w:tl2br w:val="nil"/>
                    <w:tr2bl w:val="nil"/>
                  </w:tcBorders>
                  <w:vAlign w:val="center"/>
                </w:tcPr>
                <w:p w14:paraId="088E3CA9">
                  <w:pPr>
                    <w:adjustRightInd w:val="0"/>
                    <w:snapToGrid w:val="0"/>
                    <w:ind w:left="63" w:leftChars="30" w:right="63" w:rightChars="30"/>
                    <w:jc w:val="center"/>
                    <w:rPr>
                      <w:color w:val="auto"/>
                      <w:kern w:val="0"/>
                    </w:rPr>
                  </w:pPr>
                  <w:r>
                    <w:rPr>
                      <w:color w:val="auto"/>
                      <w:kern w:val="0"/>
                    </w:rPr>
                    <w:t>4</w:t>
                  </w:r>
                </w:p>
              </w:tc>
              <w:tc>
                <w:tcPr>
                  <w:tcW w:w="1757" w:type="pct"/>
                  <w:tcBorders>
                    <w:tl2br w:val="nil"/>
                    <w:tr2bl w:val="nil"/>
                  </w:tcBorders>
                  <w:vAlign w:val="center"/>
                </w:tcPr>
                <w:p w14:paraId="13AC2B49">
                  <w:pPr>
                    <w:adjustRightInd w:val="0"/>
                    <w:snapToGrid w:val="0"/>
                    <w:ind w:left="63" w:leftChars="30" w:right="63" w:rightChars="30"/>
                    <w:jc w:val="center"/>
                    <w:rPr>
                      <w:color w:val="auto"/>
                      <w:kern w:val="0"/>
                    </w:rPr>
                  </w:pPr>
                  <w:r>
                    <w:rPr>
                      <w:color w:val="auto"/>
                      <w:kern w:val="0"/>
                    </w:rPr>
                    <w:t>应急救援保障</w:t>
                  </w:r>
                </w:p>
              </w:tc>
              <w:tc>
                <w:tcPr>
                  <w:tcW w:w="2772" w:type="pct"/>
                  <w:tcBorders>
                    <w:tl2br w:val="nil"/>
                    <w:tr2bl w:val="nil"/>
                  </w:tcBorders>
                  <w:vAlign w:val="center"/>
                </w:tcPr>
                <w:p w14:paraId="02E12AD2">
                  <w:pPr>
                    <w:adjustRightInd w:val="0"/>
                    <w:snapToGrid w:val="0"/>
                    <w:ind w:left="63" w:leftChars="30" w:right="63" w:rightChars="30"/>
                    <w:jc w:val="center"/>
                    <w:rPr>
                      <w:color w:val="auto"/>
                      <w:kern w:val="0"/>
                    </w:rPr>
                  </w:pPr>
                  <w:r>
                    <w:rPr>
                      <w:color w:val="auto"/>
                      <w:kern w:val="0"/>
                    </w:rPr>
                    <w:t>应急设施，设备与器材等</w:t>
                  </w:r>
                </w:p>
              </w:tc>
            </w:tr>
            <w:tr w14:paraId="4F46136D">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jc w:val="center"/>
              </w:trPr>
              <w:tc>
                <w:tcPr>
                  <w:tcW w:w="469" w:type="pct"/>
                  <w:tcBorders>
                    <w:tl2br w:val="nil"/>
                    <w:tr2bl w:val="nil"/>
                  </w:tcBorders>
                  <w:vAlign w:val="center"/>
                </w:tcPr>
                <w:p w14:paraId="6169CDA6">
                  <w:pPr>
                    <w:adjustRightInd w:val="0"/>
                    <w:snapToGrid w:val="0"/>
                    <w:ind w:left="63" w:leftChars="30" w:right="63" w:rightChars="30"/>
                    <w:jc w:val="center"/>
                    <w:rPr>
                      <w:color w:val="auto"/>
                      <w:kern w:val="0"/>
                    </w:rPr>
                  </w:pPr>
                  <w:r>
                    <w:rPr>
                      <w:color w:val="auto"/>
                      <w:kern w:val="0"/>
                    </w:rPr>
                    <w:t>5</w:t>
                  </w:r>
                </w:p>
              </w:tc>
              <w:tc>
                <w:tcPr>
                  <w:tcW w:w="1757" w:type="pct"/>
                  <w:tcBorders>
                    <w:tl2br w:val="nil"/>
                    <w:tr2bl w:val="nil"/>
                  </w:tcBorders>
                  <w:vAlign w:val="center"/>
                </w:tcPr>
                <w:p w14:paraId="7F67C8A4">
                  <w:pPr>
                    <w:adjustRightInd w:val="0"/>
                    <w:snapToGrid w:val="0"/>
                    <w:ind w:left="63" w:leftChars="30" w:right="63" w:rightChars="30"/>
                    <w:jc w:val="center"/>
                    <w:rPr>
                      <w:color w:val="auto"/>
                      <w:kern w:val="0"/>
                    </w:rPr>
                  </w:pPr>
                  <w:r>
                    <w:rPr>
                      <w:color w:val="auto"/>
                      <w:kern w:val="0"/>
                    </w:rPr>
                    <w:t>报警、通讯联络方式</w:t>
                  </w:r>
                </w:p>
              </w:tc>
              <w:tc>
                <w:tcPr>
                  <w:tcW w:w="2772" w:type="pct"/>
                  <w:tcBorders>
                    <w:tl2br w:val="nil"/>
                    <w:tr2bl w:val="nil"/>
                  </w:tcBorders>
                  <w:vAlign w:val="center"/>
                </w:tcPr>
                <w:p w14:paraId="67DCF382">
                  <w:pPr>
                    <w:adjustRightInd w:val="0"/>
                    <w:snapToGrid w:val="0"/>
                    <w:ind w:left="63" w:leftChars="30" w:right="63" w:rightChars="30"/>
                    <w:jc w:val="center"/>
                    <w:rPr>
                      <w:color w:val="auto"/>
                      <w:kern w:val="0"/>
                    </w:rPr>
                  </w:pPr>
                  <w:r>
                    <w:rPr>
                      <w:color w:val="auto"/>
                      <w:kern w:val="0"/>
                    </w:rPr>
                    <w:t>规定应急状态下的报警通讯方式、通知方式和交通保障、管制</w:t>
                  </w:r>
                </w:p>
              </w:tc>
            </w:tr>
            <w:tr w14:paraId="22E4B13C">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jc w:val="center"/>
              </w:trPr>
              <w:tc>
                <w:tcPr>
                  <w:tcW w:w="469" w:type="pct"/>
                  <w:tcBorders>
                    <w:tl2br w:val="nil"/>
                    <w:tr2bl w:val="nil"/>
                  </w:tcBorders>
                  <w:vAlign w:val="center"/>
                </w:tcPr>
                <w:p w14:paraId="562DB069">
                  <w:pPr>
                    <w:adjustRightInd w:val="0"/>
                    <w:snapToGrid w:val="0"/>
                    <w:ind w:left="63" w:leftChars="30" w:right="63" w:rightChars="30"/>
                    <w:jc w:val="center"/>
                    <w:rPr>
                      <w:color w:val="auto"/>
                      <w:kern w:val="0"/>
                    </w:rPr>
                  </w:pPr>
                  <w:r>
                    <w:rPr>
                      <w:color w:val="auto"/>
                      <w:kern w:val="0"/>
                    </w:rPr>
                    <w:t>6</w:t>
                  </w:r>
                </w:p>
              </w:tc>
              <w:tc>
                <w:tcPr>
                  <w:tcW w:w="1757" w:type="pct"/>
                  <w:tcBorders>
                    <w:tl2br w:val="nil"/>
                    <w:tr2bl w:val="nil"/>
                  </w:tcBorders>
                  <w:vAlign w:val="center"/>
                </w:tcPr>
                <w:p w14:paraId="3F973B0B">
                  <w:pPr>
                    <w:adjustRightInd w:val="0"/>
                    <w:snapToGrid w:val="0"/>
                    <w:ind w:left="63" w:leftChars="30" w:right="63" w:rightChars="30"/>
                    <w:jc w:val="center"/>
                    <w:rPr>
                      <w:color w:val="auto"/>
                      <w:kern w:val="0"/>
                    </w:rPr>
                  </w:pPr>
                  <w:r>
                    <w:rPr>
                      <w:color w:val="auto"/>
                      <w:kern w:val="0"/>
                    </w:rPr>
                    <w:t>应急检测、防护措施、器材</w:t>
                  </w:r>
                </w:p>
              </w:tc>
              <w:tc>
                <w:tcPr>
                  <w:tcW w:w="2772" w:type="pct"/>
                  <w:tcBorders>
                    <w:tl2br w:val="nil"/>
                    <w:tr2bl w:val="nil"/>
                  </w:tcBorders>
                  <w:vAlign w:val="center"/>
                </w:tcPr>
                <w:p w14:paraId="35F5D055">
                  <w:pPr>
                    <w:pStyle w:val="619"/>
                    <w:adjustRightInd w:val="0"/>
                    <w:snapToGrid w:val="0"/>
                    <w:ind w:left="63" w:leftChars="30" w:right="63" w:rightChars="30"/>
                    <w:jc w:val="center"/>
                    <w:rPr>
                      <w:color w:val="auto"/>
                      <w:kern w:val="0"/>
                    </w:rPr>
                  </w:pPr>
                  <w:r>
                    <w:rPr>
                      <w:color w:val="auto"/>
                      <w:kern w:val="0"/>
                    </w:rPr>
                    <w:t>事故现场、邻近区域、控制防火区域，控制和清除污染措施及相应设备</w:t>
                  </w:r>
                </w:p>
              </w:tc>
            </w:tr>
            <w:tr w14:paraId="1F2E9ABB">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jc w:val="center"/>
              </w:trPr>
              <w:tc>
                <w:tcPr>
                  <w:tcW w:w="469" w:type="pct"/>
                  <w:tcBorders>
                    <w:tl2br w:val="nil"/>
                    <w:tr2bl w:val="nil"/>
                  </w:tcBorders>
                  <w:vAlign w:val="center"/>
                </w:tcPr>
                <w:p w14:paraId="73F9E8D4">
                  <w:pPr>
                    <w:adjustRightInd w:val="0"/>
                    <w:snapToGrid w:val="0"/>
                    <w:ind w:left="63" w:leftChars="30" w:right="63" w:rightChars="30"/>
                    <w:jc w:val="center"/>
                    <w:rPr>
                      <w:color w:val="auto"/>
                      <w:kern w:val="0"/>
                    </w:rPr>
                  </w:pPr>
                  <w:r>
                    <w:rPr>
                      <w:color w:val="auto"/>
                      <w:kern w:val="0"/>
                    </w:rPr>
                    <w:t>7</w:t>
                  </w:r>
                </w:p>
              </w:tc>
              <w:tc>
                <w:tcPr>
                  <w:tcW w:w="1757" w:type="pct"/>
                  <w:tcBorders>
                    <w:tl2br w:val="nil"/>
                    <w:tr2bl w:val="nil"/>
                  </w:tcBorders>
                  <w:vAlign w:val="center"/>
                </w:tcPr>
                <w:p w14:paraId="405AA7B0">
                  <w:pPr>
                    <w:adjustRightInd w:val="0"/>
                    <w:snapToGrid w:val="0"/>
                    <w:ind w:left="63" w:leftChars="30" w:right="63" w:rightChars="30"/>
                    <w:jc w:val="center"/>
                    <w:rPr>
                      <w:color w:val="auto"/>
                      <w:kern w:val="0"/>
                    </w:rPr>
                  </w:pPr>
                  <w:r>
                    <w:rPr>
                      <w:color w:val="auto"/>
                      <w:kern w:val="0"/>
                    </w:rPr>
                    <w:t>人员紧急撤离、疏散，应急剂量控制、撤离组织计划</w:t>
                  </w:r>
                </w:p>
              </w:tc>
              <w:tc>
                <w:tcPr>
                  <w:tcW w:w="2772" w:type="pct"/>
                  <w:tcBorders>
                    <w:tl2br w:val="nil"/>
                    <w:tr2bl w:val="nil"/>
                  </w:tcBorders>
                  <w:vAlign w:val="center"/>
                </w:tcPr>
                <w:p w14:paraId="313B7785">
                  <w:pPr>
                    <w:adjustRightInd w:val="0"/>
                    <w:snapToGrid w:val="0"/>
                    <w:ind w:left="63" w:leftChars="30" w:right="63" w:rightChars="30"/>
                    <w:jc w:val="center"/>
                    <w:rPr>
                      <w:color w:val="auto"/>
                      <w:kern w:val="0"/>
                    </w:rPr>
                  </w:pPr>
                  <w:r>
                    <w:rPr>
                      <w:color w:val="auto"/>
                      <w:kern w:val="0"/>
                    </w:rPr>
                    <w:t>事故现场、工厂邻近区、受事故影响的区域人员及公众对毒物应急剂量控制规定，撤离组织计划及救护，医疗救护与公众健康</w:t>
                  </w:r>
                </w:p>
              </w:tc>
            </w:tr>
            <w:tr w14:paraId="421E86E2">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jc w:val="center"/>
              </w:trPr>
              <w:tc>
                <w:tcPr>
                  <w:tcW w:w="469" w:type="pct"/>
                  <w:tcBorders>
                    <w:tl2br w:val="nil"/>
                    <w:tr2bl w:val="nil"/>
                  </w:tcBorders>
                  <w:vAlign w:val="center"/>
                </w:tcPr>
                <w:p w14:paraId="51C54F68">
                  <w:pPr>
                    <w:adjustRightInd w:val="0"/>
                    <w:snapToGrid w:val="0"/>
                    <w:ind w:left="63" w:leftChars="30" w:right="63" w:rightChars="30"/>
                    <w:jc w:val="center"/>
                    <w:rPr>
                      <w:color w:val="auto"/>
                      <w:kern w:val="0"/>
                    </w:rPr>
                  </w:pPr>
                  <w:r>
                    <w:rPr>
                      <w:color w:val="auto"/>
                      <w:kern w:val="0"/>
                    </w:rPr>
                    <w:t>8</w:t>
                  </w:r>
                </w:p>
              </w:tc>
              <w:tc>
                <w:tcPr>
                  <w:tcW w:w="1757" w:type="pct"/>
                  <w:tcBorders>
                    <w:tl2br w:val="nil"/>
                    <w:tr2bl w:val="nil"/>
                  </w:tcBorders>
                  <w:vAlign w:val="center"/>
                </w:tcPr>
                <w:p w14:paraId="21B6DE21">
                  <w:pPr>
                    <w:adjustRightInd w:val="0"/>
                    <w:snapToGrid w:val="0"/>
                    <w:ind w:left="63" w:leftChars="30" w:right="63" w:rightChars="30"/>
                    <w:jc w:val="center"/>
                    <w:rPr>
                      <w:color w:val="auto"/>
                      <w:kern w:val="0"/>
                    </w:rPr>
                  </w:pPr>
                  <w:r>
                    <w:rPr>
                      <w:color w:val="auto"/>
                      <w:kern w:val="0"/>
                    </w:rPr>
                    <w:t>事故应急救援关闭程序与恢复措施</w:t>
                  </w:r>
                </w:p>
              </w:tc>
              <w:tc>
                <w:tcPr>
                  <w:tcW w:w="2772" w:type="pct"/>
                  <w:tcBorders>
                    <w:tl2br w:val="nil"/>
                    <w:tr2bl w:val="nil"/>
                  </w:tcBorders>
                  <w:vAlign w:val="center"/>
                </w:tcPr>
                <w:p w14:paraId="04C6F2A0">
                  <w:pPr>
                    <w:adjustRightInd w:val="0"/>
                    <w:snapToGrid w:val="0"/>
                    <w:ind w:left="63" w:leftChars="30" w:right="63" w:rightChars="30"/>
                    <w:jc w:val="center"/>
                    <w:rPr>
                      <w:color w:val="auto"/>
                      <w:kern w:val="0"/>
                    </w:rPr>
                  </w:pPr>
                  <w:r>
                    <w:rPr>
                      <w:color w:val="auto"/>
                      <w:kern w:val="0"/>
                    </w:rPr>
                    <w:t>规定应急状态终止程序</w:t>
                  </w:r>
                </w:p>
                <w:p w14:paraId="7606142C">
                  <w:pPr>
                    <w:adjustRightInd w:val="0"/>
                    <w:snapToGrid w:val="0"/>
                    <w:ind w:left="63" w:leftChars="30" w:right="63" w:rightChars="30"/>
                    <w:jc w:val="center"/>
                    <w:rPr>
                      <w:color w:val="auto"/>
                      <w:kern w:val="0"/>
                    </w:rPr>
                  </w:pPr>
                  <w:r>
                    <w:rPr>
                      <w:color w:val="auto"/>
                      <w:kern w:val="0"/>
                    </w:rPr>
                    <w:t>事故现场善后处理，恢复措施</w:t>
                  </w:r>
                </w:p>
                <w:p w14:paraId="27048BCF">
                  <w:pPr>
                    <w:adjustRightInd w:val="0"/>
                    <w:snapToGrid w:val="0"/>
                    <w:ind w:left="63" w:leftChars="30" w:right="63" w:rightChars="30"/>
                    <w:jc w:val="center"/>
                    <w:rPr>
                      <w:color w:val="auto"/>
                      <w:kern w:val="0"/>
                    </w:rPr>
                  </w:pPr>
                  <w:r>
                    <w:rPr>
                      <w:color w:val="auto"/>
                      <w:kern w:val="0"/>
                    </w:rPr>
                    <w:t>邻近区域解除事故警戒及善后恢复措施</w:t>
                  </w:r>
                </w:p>
              </w:tc>
            </w:tr>
            <w:tr w14:paraId="537847C3">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jc w:val="center"/>
              </w:trPr>
              <w:tc>
                <w:tcPr>
                  <w:tcW w:w="469" w:type="pct"/>
                  <w:tcBorders>
                    <w:tl2br w:val="nil"/>
                    <w:tr2bl w:val="nil"/>
                  </w:tcBorders>
                  <w:vAlign w:val="center"/>
                </w:tcPr>
                <w:p w14:paraId="33B91776">
                  <w:pPr>
                    <w:adjustRightInd w:val="0"/>
                    <w:snapToGrid w:val="0"/>
                    <w:ind w:left="63" w:leftChars="30" w:right="63" w:rightChars="30"/>
                    <w:jc w:val="center"/>
                    <w:rPr>
                      <w:color w:val="auto"/>
                      <w:kern w:val="0"/>
                    </w:rPr>
                  </w:pPr>
                  <w:r>
                    <w:rPr>
                      <w:color w:val="auto"/>
                      <w:kern w:val="0"/>
                    </w:rPr>
                    <w:t>9</w:t>
                  </w:r>
                </w:p>
              </w:tc>
              <w:tc>
                <w:tcPr>
                  <w:tcW w:w="1757" w:type="pct"/>
                  <w:tcBorders>
                    <w:tl2br w:val="nil"/>
                    <w:tr2bl w:val="nil"/>
                  </w:tcBorders>
                  <w:vAlign w:val="center"/>
                </w:tcPr>
                <w:p w14:paraId="1D5CF907">
                  <w:pPr>
                    <w:adjustRightInd w:val="0"/>
                    <w:snapToGrid w:val="0"/>
                    <w:ind w:left="63" w:leftChars="30" w:right="63" w:rightChars="30"/>
                    <w:jc w:val="center"/>
                    <w:rPr>
                      <w:color w:val="auto"/>
                      <w:kern w:val="0"/>
                    </w:rPr>
                  </w:pPr>
                  <w:r>
                    <w:rPr>
                      <w:color w:val="auto"/>
                      <w:kern w:val="0"/>
                    </w:rPr>
                    <w:t>应急培训计划</w:t>
                  </w:r>
                </w:p>
              </w:tc>
              <w:tc>
                <w:tcPr>
                  <w:tcW w:w="2772" w:type="pct"/>
                  <w:tcBorders>
                    <w:tl2br w:val="nil"/>
                    <w:tr2bl w:val="nil"/>
                  </w:tcBorders>
                  <w:vAlign w:val="center"/>
                </w:tcPr>
                <w:p w14:paraId="1A3F0726">
                  <w:pPr>
                    <w:adjustRightInd w:val="0"/>
                    <w:snapToGrid w:val="0"/>
                    <w:ind w:left="63" w:leftChars="30" w:right="63" w:rightChars="30"/>
                    <w:jc w:val="center"/>
                    <w:rPr>
                      <w:color w:val="auto"/>
                      <w:kern w:val="0"/>
                    </w:rPr>
                  </w:pPr>
                  <w:r>
                    <w:rPr>
                      <w:color w:val="auto"/>
                      <w:kern w:val="0"/>
                    </w:rPr>
                    <w:t>应急计划制定后，平时安排人员培训与演练</w:t>
                  </w:r>
                </w:p>
              </w:tc>
            </w:tr>
          </w:tbl>
          <w:p w14:paraId="0A524A37">
            <w:pPr>
              <w:adjustRightInd w:val="0"/>
              <w:snapToGrid w:val="0"/>
              <w:spacing w:line="360" w:lineRule="auto"/>
              <w:ind w:firstLine="420" w:firstLineChars="200"/>
              <w:rPr>
                <w:color w:val="auto"/>
                <w:kern w:val="0"/>
              </w:rPr>
            </w:pPr>
            <w:r>
              <w:rPr>
                <w:color w:val="auto"/>
                <w:kern w:val="0"/>
              </w:rPr>
              <w:t>建议建设单位应采用严格的国际通用的安全防范体系，完善现有的管理规程、作业规章和应急计划，预警和应急裝置，在出现预警情况时能及时处理，消除事故隐患，发生事故时有相应的安全应急措施，企业内部制定严格的管理条例和岗位责任制，加强职工的安全生产教育，提高风险意识。通过上述风险控制对策，本项目可最大限度地降低环境风险，一旦意外事件发生，也能最大限度地减少环境污染危害和人民生命财产的损失。</w:t>
            </w:r>
          </w:p>
          <w:p w14:paraId="5A221284">
            <w:pPr>
              <w:pStyle w:val="697"/>
              <w:adjustRightInd w:val="0"/>
              <w:snapToGrid w:val="0"/>
              <w:spacing w:line="360" w:lineRule="auto"/>
              <w:ind w:firstLine="422"/>
              <w:rPr>
                <w:rFonts w:eastAsia="宋体"/>
                <w:b/>
                <w:bCs/>
                <w:color w:val="auto"/>
                <w:kern w:val="0"/>
                <w:sz w:val="21"/>
                <w:szCs w:val="21"/>
              </w:rPr>
            </w:pPr>
            <w:r>
              <w:rPr>
                <w:rFonts w:hint="eastAsia" w:eastAsia="宋体"/>
                <w:b/>
                <w:bCs/>
                <w:color w:val="auto"/>
                <w:kern w:val="0"/>
                <w:sz w:val="21"/>
                <w:szCs w:val="21"/>
              </w:rPr>
              <w:t>（3）</w:t>
            </w:r>
            <w:r>
              <w:rPr>
                <w:rFonts w:eastAsia="宋体"/>
                <w:b/>
                <w:bCs/>
                <w:color w:val="auto"/>
                <w:kern w:val="0"/>
                <w:sz w:val="21"/>
                <w:szCs w:val="21"/>
              </w:rPr>
              <w:t>环境风险结论</w:t>
            </w:r>
          </w:p>
          <w:p w14:paraId="3A4BC019">
            <w:pPr>
              <w:adjustRightInd w:val="0"/>
              <w:snapToGrid w:val="0"/>
              <w:spacing w:line="360" w:lineRule="auto"/>
              <w:ind w:firstLine="420" w:firstLineChars="200"/>
              <w:rPr>
                <w:color w:val="auto"/>
                <w:kern w:val="0"/>
              </w:rPr>
            </w:pPr>
            <w:r>
              <w:rPr>
                <w:color w:val="auto"/>
                <w:kern w:val="0"/>
              </w:rPr>
              <w:t>综上所述，本厂区应设立风险防范措施，最大限度防止风险事故的发生并进行有效处置，结合企业在下一步设计、运营过程中不断制定和完善的风险防范和应急措施，将发生环境风险的可能性降至最低。在各环境风险防范措施落实到位的情况下，将可大大降低本项目的环境风险，最大程度减少对环境可能造成的危害。</w:t>
            </w:r>
          </w:p>
          <w:p w14:paraId="496950CC">
            <w:pPr>
              <w:pStyle w:val="697"/>
              <w:adjustRightInd w:val="0"/>
              <w:snapToGrid w:val="0"/>
              <w:spacing w:line="360" w:lineRule="auto"/>
              <w:ind w:firstLine="0" w:firstLineChars="0"/>
              <w:rPr>
                <w:rFonts w:eastAsia="宋体"/>
                <w:b/>
                <w:bCs/>
                <w:color w:val="auto"/>
                <w:kern w:val="0"/>
                <w:sz w:val="21"/>
                <w:szCs w:val="21"/>
              </w:rPr>
            </w:pPr>
            <w:r>
              <w:rPr>
                <w:rFonts w:eastAsia="宋体"/>
                <w:b/>
                <w:bCs/>
                <w:color w:val="auto"/>
                <w:kern w:val="0"/>
                <w:sz w:val="21"/>
                <w:szCs w:val="21"/>
              </w:rPr>
              <w:t>7、</w:t>
            </w:r>
            <w:r>
              <w:rPr>
                <w:rFonts w:hint="eastAsia" w:eastAsia="宋体"/>
                <w:b/>
                <w:bCs/>
                <w:color w:val="auto"/>
                <w:kern w:val="0"/>
                <w:sz w:val="21"/>
                <w:szCs w:val="21"/>
                <w:lang w:val="en-US" w:eastAsia="zh-CN"/>
              </w:rPr>
              <w:t>碳</w:t>
            </w:r>
            <w:r>
              <w:rPr>
                <w:rFonts w:eastAsia="宋体"/>
                <w:b/>
                <w:bCs/>
                <w:color w:val="auto"/>
                <w:kern w:val="0"/>
                <w:sz w:val="21"/>
                <w:szCs w:val="21"/>
              </w:rPr>
              <w:t>排放评价</w:t>
            </w:r>
          </w:p>
          <w:p w14:paraId="6A5785CF">
            <w:pPr>
              <w:pStyle w:val="697"/>
              <w:adjustRightInd w:val="0"/>
              <w:snapToGrid w:val="0"/>
              <w:spacing w:line="360" w:lineRule="auto"/>
              <w:ind w:firstLine="422"/>
              <w:rPr>
                <w:rFonts w:eastAsia="宋体"/>
                <w:b/>
                <w:bCs/>
                <w:color w:val="auto"/>
                <w:kern w:val="0"/>
                <w:sz w:val="21"/>
                <w:szCs w:val="21"/>
              </w:rPr>
            </w:pPr>
            <w:r>
              <w:rPr>
                <w:rFonts w:eastAsia="宋体"/>
                <w:b/>
                <w:bCs/>
                <w:color w:val="auto"/>
                <w:kern w:val="0"/>
                <w:sz w:val="21"/>
                <w:szCs w:val="21"/>
              </w:rPr>
              <w:t>（1）建设项目碳排放分析</w:t>
            </w:r>
          </w:p>
          <w:p w14:paraId="09A6DD2F">
            <w:pPr>
              <w:pStyle w:val="697"/>
              <w:adjustRightInd w:val="0"/>
              <w:snapToGrid w:val="0"/>
              <w:spacing w:line="360" w:lineRule="auto"/>
              <w:ind w:firstLine="420"/>
              <w:rPr>
                <w:rFonts w:eastAsia="宋体"/>
                <w:color w:val="auto"/>
                <w:kern w:val="0"/>
                <w:sz w:val="21"/>
                <w:szCs w:val="21"/>
              </w:rPr>
            </w:pPr>
            <w:r>
              <w:rPr>
                <w:rFonts w:eastAsia="宋体"/>
                <w:color w:val="auto"/>
                <w:kern w:val="0"/>
                <w:sz w:val="21"/>
                <w:szCs w:val="21"/>
              </w:rPr>
              <w:t>本项目碳排放源识别见下表：</w:t>
            </w:r>
          </w:p>
          <w:p w14:paraId="2983D6F8">
            <w:pPr>
              <w:pStyle w:val="697"/>
              <w:adjustRightInd w:val="0"/>
              <w:snapToGrid w:val="0"/>
              <w:spacing w:line="240" w:lineRule="auto"/>
              <w:ind w:firstLine="0" w:firstLineChars="0"/>
              <w:jc w:val="center"/>
              <w:rPr>
                <w:rFonts w:eastAsia="宋体"/>
                <w:b/>
                <w:bCs/>
                <w:color w:val="auto"/>
                <w:kern w:val="0"/>
                <w:sz w:val="21"/>
                <w:szCs w:val="21"/>
              </w:rPr>
            </w:pPr>
            <w:r>
              <w:rPr>
                <w:rFonts w:eastAsia="宋体"/>
                <w:b/>
                <w:bCs/>
                <w:color w:val="auto"/>
                <w:kern w:val="0"/>
                <w:sz w:val="21"/>
                <w:szCs w:val="21"/>
              </w:rPr>
              <w:t>表4-</w:t>
            </w:r>
            <w:r>
              <w:rPr>
                <w:rFonts w:hint="eastAsia" w:eastAsia="宋体"/>
                <w:b/>
                <w:bCs/>
                <w:color w:val="auto"/>
                <w:kern w:val="0"/>
                <w:sz w:val="21"/>
                <w:szCs w:val="21"/>
                <w:lang w:val="en-US" w:eastAsia="zh-CN"/>
              </w:rPr>
              <w:t>32</w:t>
            </w:r>
            <w:r>
              <w:rPr>
                <w:rFonts w:hint="eastAsia" w:eastAsia="宋体"/>
                <w:b/>
                <w:bCs/>
                <w:color w:val="auto"/>
                <w:kern w:val="0"/>
                <w:sz w:val="21"/>
                <w:szCs w:val="21"/>
              </w:rPr>
              <w:t xml:space="preserve">   </w:t>
            </w:r>
            <w:r>
              <w:rPr>
                <w:rFonts w:eastAsia="宋体"/>
                <w:b/>
                <w:bCs/>
                <w:color w:val="auto"/>
                <w:kern w:val="0"/>
                <w:sz w:val="21"/>
                <w:szCs w:val="21"/>
              </w:rPr>
              <w:t>碳排放源识别表</w:t>
            </w:r>
          </w:p>
          <w:tbl>
            <w:tblPr>
              <w:tblStyle w:val="59"/>
              <w:tblW w:w="4998" w:type="pct"/>
              <w:tblInd w:w="0" w:type="dxa"/>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0" w:type="dxa"/>
                <w:bottom w:w="0" w:type="dxa"/>
                <w:right w:w="0" w:type="dxa"/>
              </w:tblCellMar>
            </w:tblPr>
            <w:tblGrid>
              <w:gridCol w:w="990"/>
              <w:gridCol w:w="1914"/>
              <w:gridCol w:w="1465"/>
              <w:gridCol w:w="773"/>
              <w:gridCol w:w="687"/>
              <w:gridCol w:w="712"/>
              <w:gridCol w:w="912"/>
              <w:gridCol w:w="773"/>
              <w:gridCol w:w="631"/>
            </w:tblGrid>
            <w:tr w14:paraId="2BDDFE5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c>
                <w:tcPr>
                  <w:tcW w:w="1639" w:type="pct"/>
                  <w:gridSpan w:val="2"/>
                  <w:vMerge w:val="restart"/>
                  <w:tcBorders>
                    <w:tl2br w:val="nil"/>
                    <w:tr2bl w:val="nil"/>
                  </w:tcBorders>
                  <w:vAlign w:val="center"/>
                </w:tcPr>
                <w:p w14:paraId="16B6AEF0">
                  <w:pPr>
                    <w:pStyle w:val="27"/>
                    <w:spacing w:line="240" w:lineRule="auto"/>
                    <w:ind w:left="0" w:leftChars="0" w:right="0" w:rightChars="0" w:firstLine="0" w:firstLineChars="0"/>
                    <w:jc w:val="center"/>
                    <w:rPr>
                      <w:b/>
                      <w:bCs/>
                      <w:color w:val="auto"/>
                      <w:kern w:val="0"/>
                      <w:sz w:val="21"/>
                    </w:rPr>
                  </w:pPr>
                  <w:r>
                    <w:rPr>
                      <w:b/>
                      <w:bCs/>
                      <w:color w:val="auto"/>
                      <w:kern w:val="0"/>
                      <w:sz w:val="21"/>
                    </w:rPr>
                    <w:t>排放类型</w:t>
                  </w:r>
                </w:p>
              </w:tc>
              <w:tc>
                <w:tcPr>
                  <w:tcW w:w="827" w:type="pct"/>
                  <w:vMerge w:val="restart"/>
                  <w:tcBorders>
                    <w:tl2br w:val="nil"/>
                    <w:tr2bl w:val="nil"/>
                  </w:tcBorders>
                  <w:vAlign w:val="center"/>
                </w:tcPr>
                <w:p w14:paraId="42585587">
                  <w:pPr>
                    <w:pStyle w:val="27"/>
                    <w:spacing w:line="240" w:lineRule="auto"/>
                    <w:ind w:left="0" w:leftChars="0" w:right="0" w:rightChars="0" w:firstLine="0" w:firstLineChars="0"/>
                    <w:jc w:val="center"/>
                    <w:rPr>
                      <w:b/>
                      <w:bCs/>
                      <w:color w:val="auto"/>
                      <w:kern w:val="0"/>
                      <w:sz w:val="21"/>
                    </w:rPr>
                  </w:pPr>
                  <w:r>
                    <w:rPr>
                      <w:b/>
                      <w:bCs/>
                      <w:color w:val="auto"/>
                      <w:kern w:val="0"/>
                      <w:sz w:val="21"/>
                    </w:rPr>
                    <w:t>设施/材料</w:t>
                  </w:r>
                </w:p>
              </w:tc>
              <w:tc>
                <w:tcPr>
                  <w:tcW w:w="2533" w:type="pct"/>
                  <w:gridSpan w:val="6"/>
                  <w:tcBorders>
                    <w:tl2br w:val="nil"/>
                    <w:tr2bl w:val="nil"/>
                  </w:tcBorders>
                  <w:vAlign w:val="center"/>
                </w:tcPr>
                <w:p w14:paraId="03EA3C11">
                  <w:pPr>
                    <w:pStyle w:val="27"/>
                    <w:spacing w:line="240" w:lineRule="auto"/>
                    <w:ind w:left="0" w:leftChars="0" w:right="0" w:rightChars="0" w:firstLine="0" w:firstLineChars="0"/>
                    <w:jc w:val="center"/>
                    <w:rPr>
                      <w:b/>
                      <w:bCs/>
                      <w:color w:val="auto"/>
                      <w:kern w:val="0"/>
                      <w:sz w:val="21"/>
                    </w:rPr>
                  </w:pPr>
                  <w:r>
                    <w:rPr>
                      <w:b/>
                      <w:bCs/>
                      <w:color w:val="auto"/>
                      <w:kern w:val="0"/>
                      <w:sz w:val="21"/>
                    </w:rPr>
                    <w:t>温室气体种类</w:t>
                  </w:r>
                </w:p>
              </w:tc>
            </w:tr>
            <w:tr w14:paraId="6F66536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c>
                <w:tcPr>
                  <w:tcW w:w="1639" w:type="pct"/>
                  <w:gridSpan w:val="2"/>
                  <w:vMerge w:val="continue"/>
                  <w:tcBorders>
                    <w:tl2br w:val="nil"/>
                    <w:tr2bl w:val="nil"/>
                  </w:tcBorders>
                  <w:vAlign w:val="center"/>
                </w:tcPr>
                <w:p w14:paraId="518C4F55">
                  <w:pPr>
                    <w:pStyle w:val="27"/>
                    <w:spacing w:line="240" w:lineRule="auto"/>
                    <w:ind w:left="0" w:leftChars="0" w:right="0" w:rightChars="0" w:firstLine="0" w:firstLineChars="0"/>
                    <w:jc w:val="center"/>
                    <w:rPr>
                      <w:b/>
                      <w:bCs/>
                      <w:color w:val="auto"/>
                      <w:kern w:val="0"/>
                      <w:sz w:val="21"/>
                    </w:rPr>
                  </w:pPr>
                </w:p>
              </w:tc>
              <w:tc>
                <w:tcPr>
                  <w:tcW w:w="827" w:type="pct"/>
                  <w:vMerge w:val="continue"/>
                  <w:tcBorders>
                    <w:tl2br w:val="nil"/>
                    <w:tr2bl w:val="nil"/>
                  </w:tcBorders>
                  <w:vAlign w:val="center"/>
                </w:tcPr>
                <w:p w14:paraId="20C44A3A">
                  <w:pPr>
                    <w:pStyle w:val="27"/>
                    <w:spacing w:line="240" w:lineRule="auto"/>
                    <w:ind w:left="0" w:leftChars="0" w:right="0" w:rightChars="0" w:firstLine="0" w:firstLineChars="0"/>
                    <w:jc w:val="center"/>
                    <w:rPr>
                      <w:b/>
                      <w:bCs/>
                      <w:color w:val="auto"/>
                      <w:kern w:val="0"/>
                      <w:sz w:val="21"/>
                    </w:rPr>
                  </w:pPr>
                </w:p>
              </w:tc>
              <w:tc>
                <w:tcPr>
                  <w:tcW w:w="436" w:type="pct"/>
                  <w:tcBorders>
                    <w:tl2br w:val="nil"/>
                    <w:tr2bl w:val="nil"/>
                  </w:tcBorders>
                  <w:vAlign w:val="center"/>
                </w:tcPr>
                <w:p w14:paraId="2B78CA43">
                  <w:pPr>
                    <w:pStyle w:val="27"/>
                    <w:spacing w:line="240" w:lineRule="auto"/>
                    <w:ind w:left="0" w:leftChars="0" w:right="0" w:rightChars="0" w:firstLine="0" w:firstLineChars="0"/>
                    <w:jc w:val="center"/>
                    <w:rPr>
                      <w:b/>
                      <w:bCs/>
                      <w:color w:val="auto"/>
                      <w:kern w:val="0"/>
                      <w:sz w:val="21"/>
                    </w:rPr>
                  </w:pPr>
                  <w:r>
                    <w:rPr>
                      <w:b/>
                      <w:bCs/>
                      <w:color w:val="auto"/>
                      <w:kern w:val="0"/>
                      <w:sz w:val="21"/>
                    </w:rPr>
                    <w:t>CO</w:t>
                  </w:r>
                  <w:r>
                    <w:rPr>
                      <w:b/>
                      <w:bCs/>
                      <w:color w:val="auto"/>
                      <w:kern w:val="0"/>
                      <w:sz w:val="21"/>
                      <w:vertAlign w:val="subscript"/>
                    </w:rPr>
                    <w:t>2</w:t>
                  </w:r>
                </w:p>
              </w:tc>
              <w:tc>
                <w:tcPr>
                  <w:tcW w:w="388" w:type="pct"/>
                  <w:tcBorders>
                    <w:tl2br w:val="nil"/>
                    <w:tr2bl w:val="nil"/>
                  </w:tcBorders>
                  <w:vAlign w:val="center"/>
                </w:tcPr>
                <w:p w14:paraId="79AA7E15">
                  <w:pPr>
                    <w:pStyle w:val="27"/>
                    <w:spacing w:line="240" w:lineRule="auto"/>
                    <w:ind w:left="0" w:leftChars="0" w:right="0" w:rightChars="0" w:firstLine="0" w:firstLineChars="0"/>
                    <w:jc w:val="center"/>
                    <w:rPr>
                      <w:b/>
                      <w:bCs/>
                      <w:color w:val="auto"/>
                      <w:kern w:val="0"/>
                      <w:sz w:val="21"/>
                    </w:rPr>
                  </w:pPr>
                  <w:r>
                    <w:rPr>
                      <w:b/>
                      <w:bCs/>
                      <w:color w:val="auto"/>
                      <w:kern w:val="0"/>
                      <w:sz w:val="21"/>
                    </w:rPr>
                    <w:t>CH</w:t>
                  </w:r>
                  <w:r>
                    <w:rPr>
                      <w:b/>
                      <w:bCs/>
                      <w:color w:val="auto"/>
                      <w:kern w:val="0"/>
                      <w:sz w:val="21"/>
                      <w:vertAlign w:val="subscript"/>
                    </w:rPr>
                    <w:t>4</w:t>
                  </w:r>
                </w:p>
              </w:tc>
              <w:tc>
                <w:tcPr>
                  <w:tcW w:w="402" w:type="pct"/>
                  <w:tcBorders>
                    <w:tl2br w:val="nil"/>
                    <w:tr2bl w:val="nil"/>
                  </w:tcBorders>
                  <w:vAlign w:val="center"/>
                </w:tcPr>
                <w:p w14:paraId="0DC74435">
                  <w:pPr>
                    <w:pStyle w:val="27"/>
                    <w:spacing w:line="240" w:lineRule="auto"/>
                    <w:ind w:left="0" w:leftChars="0" w:right="0" w:rightChars="0" w:firstLine="0" w:firstLineChars="0"/>
                    <w:jc w:val="center"/>
                    <w:rPr>
                      <w:b/>
                      <w:bCs/>
                      <w:color w:val="auto"/>
                      <w:kern w:val="0"/>
                      <w:sz w:val="21"/>
                    </w:rPr>
                  </w:pPr>
                  <w:r>
                    <w:rPr>
                      <w:b/>
                      <w:bCs/>
                      <w:color w:val="auto"/>
                      <w:kern w:val="0"/>
                      <w:sz w:val="21"/>
                    </w:rPr>
                    <w:t>N</w:t>
                  </w:r>
                  <w:r>
                    <w:rPr>
                      <w:b/>
                      <w:bCs/>
                      <w:color w:val="auto"/>
                      <w:kern w:val="0"/>
                      <w:sz w:val="21"/>
                      <w:vertAlign w:val="subscript"/>
                    </w:rPr>
                    <w:t>2</w:t>
                  </w:r>
                  <w:r>
                    <w:rPr>
                      <w:b/>
                      <w:bCs/>
                      <w:color w:val="auto"/>
                      <w:kern w:val="0"/>
                      <w:sz w:val="21"/>
                    </w:rPr>
                    <w:t>O</w:t>
                  </w:r>
                </w:p>
              </w:tc>
              <w:tc>
                <w:tcPr>
                  <w:tcW w:w="515" w:type="pct"/>
                  <w:tcBorders>
                    <w:tl2br w:val="nil"/>
                    <w:tr2bl w:val="nil"/>
                  </w:tcBorders>
                  <w:vAlign w:val="center"/>
                </w:tcPr>
                <w:p w14:paraId="01A9B4BA">
                  <w:pPr>
                    <w:pStyle w:val="27"/>
                    <w:spacing w:line="240" w:lineRule="auto"/>
                    <w:ind w:left="0" w:leftChars="0" w:right="0" w:rightChars="0" w:firstLine="0" w:firstLineChars="0"/>
                    <w:jc w:val="center"/>
                    <w:rPr>
                      <w:b/>
                      <w:bCs/>
                      <w:color w:val="auto"/>
                      <w:kern w:val="0"/>
                      <w:sz w:val="21"/>
                    </w:rPr>
                  </w:pPr>
                  <w:r>
                    <w:rPr>
                      <w:b/>
                      <w:bCs/>
                      <w:color w:val="auto"/>
                      <w:kern w:val="0"/>
                      <w:sz w:val="21"/>
                    </w:rPr>
                    <w:t>HFCs</w:t>
                  </w:r>
                </w:p>
              </w:tc>
              <w:tc>
                <w:tcPr>
                  <w:tcW w:w="436" w:type="pct"/>
                  <w:tcBorders>
                    <w:tl2br w:val="nil"/>
                    <w:tr2bl w:val="nil"/>
                  </w:tcBorders>
                  <w:vAlign w:val="center"/>
                </w:tcPr>
                <w:p w14:paraId="6312EED3">
                  <w:pPr>
                    <w:pStyle w:val="27"/>
                    <w:spacing w:line="240" w:lineRule="auto"/>
                    <w:ind w:left="0" w:leftChars="0" w:right="0" w:rightChars="0" w:firstLine="0" w:firstLineChars="0"/>
                    <w:jc w:val="center"/>
                    <w:rPr>
                      <w:b/>
                      <w:bCs/>
                      <w:color w:val="auto"/>
                      <w:kern w:val="0"/>
                      <w:sz w:val="21"/>
                    </w:rPr>
                  </w:pPr>
                  <w:r>
                    <w:rPr>
                      <w:b/>
                      <w:bCs/>
                      <w:color w:val="auto"/>
                      <w:kern w:val="0"/>
                      <w:sz w:val="21"/>
                    </w:rPr>
                    <w:t>PFCs</w:t>
                  </w:r>
                </w:p>
              </w:tc>
              <w:tc>
                <w:tcPr>
                  <w:tcW w:w="353" w:type="pct"/>
                  <w:tcBorders>
                    <w:tl2br w:val="nil"/>
                    <w:tr2bl w:val="nil"/>
                  </w:tcBorders>
                  <w:vAlign w:val="center"/>
                </w:tcPr>
                <w:p w14:paraId="44882EEA">
                  <w:pPr>
                    <w:pStyle w:val="27"/>
                    <w:spacing w:line="240" w:lineRule="auto"/>
                    <w:ind w:left="0" w:leftChars="0" w:right="0" w:rightChars="0" w:firstLine="0" w:firstLineChars="0"/>
                    <w:jc w:val="center"/>
                    <w:rPr>
                      <w:b/>
                      <w:bCs/>
                      <w:color w:val="auto"/>
                      <w:kern w:val="0"/>
                      <w:sz w:val="21"/>
                    </w:rPr>
                  </w:pPr>
                  <w:r>
                    <w:rPr>
                      <w:b/>
                      <w:bCs/>
                      <w:color w:val="auto"/>
                      <w:kern w:val="0"/>
                      <w:sz w:val="21"/>
                    </w:rPr>
                    <w:t>SF</w:t>
                  </w:r>
                  <w:r>
                    <w:rPr>
                      <w:b/>
                      <w:bCs/>
                      <w:color w:val="auto"/>
                      <w:kern w:val="0"/>
                      <w:sz w:val="21"/>
                      <w:vertAlign w:val="subscript"/>
                    </w:rPr>
                    <w:t>6</w:t>
                  </w:r>
                </w:p>
              </w:tc>
            </w:tr>
            <w:tr w14:paraId="0BFC8D2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c>
                <w:tcPr>
                  <w:tcW w:w="559" w:type="pct"/>
                  <w:tcBorders>
                    <w:tl2br w:val="nil"/>
                    <w:tr2bl w:val="nil"/>
                  </w:tcBorders>
                  <w:vAlign w:val="center"/>
                </w:tcPr>
                <w:p w14:paraId="73ECADDA">
                  <w:pPr>
                    <w:pStyle w:val="27"/>
                    <w:spacing w:line="240" w:lineRule="auto"/>
                    <w:ind w:left="0" w:leftChars="0" w:right="0" w:rightChars="0" w:firstLine="0" w:firstLineChars="0"/>
                    <w:jc w:val="center"/>
                    <w:rPr>
                      <w:color w:val="auto"/>
                      <w:kern w:val="0"/>
                      <w:sz w:val="21"/>
                    </w:rPr>
                  </w:pPr>
                  <w:r>
                    <w:rPr>
                      <w:color w:val="auto"/>
                      <w:kern w:val="0"/>
                      <w:sz w:val="21"/>
                    </w:rPr>
                    <w:t>间接排放</w:t>
                  </w:r>
                </w:p>
              </w:tc>
              <w:tc>
                <w:tcPr>
                  <w:tcW w:w="1080" w:type="pct"/>
                  <w:tcBorders>
                    <w:tl2br w:val="nil"/>
                    <w:tr2bl w:val="nil"/>
                  </w:tcBorders>
                  <w:vAlign w:val="center"/>
                </w:tcPr>
                <w:p w14:paraId="004A1434">
                  <w:pPr>
                    <w:pStyle w:val="27"/>
                    <w:spacing w:line="240" w:lineRule="auto"/>
                    <w:ind w:left="0" w:leftChars="0" w:right="0" w:rightChars="0" w:firstLine="0" w:firstLineChars="0"/>
                    <w:jc w:val="center"/>
                    <w:rPr>
                      <w:color w:val="auto"/>
                      <w:kern w:val="0"/>
                      <w:sz w:val="21"/>
                    </w:rPr>
                  </w:pPr>
                  <w:r>
                    <w:rPr>
                      <w:color w:val="auto"/>
                      <w:kern w:val="0"/>
                      <w:sz w:val="21"/>
                    </w:rPr>
                    <w:t>净调入电生产设备</w:t>
                  </w:r>
                </w:p>
              </w:tc>
              <w:tc>
                <w:tcPr>
                  <w:tcW w:w="827" w:type="pct"/>
                  <w:tcBorders>
                    <w:tl2br w:val="nil"/>
                    <w:tr2bl w:val="nil"/>
                  </w:tcBorders>
                  <w:vAlign w:val="center"/>
                </w:tcPr>
                <w:p w14:paraId="55CC528F">
                  <w:pPr>
                    <w:pStyle w:val="27"/>
                    <w:spacing w:line="240" w:lineRule="auto"/>
                    <w:ind w:left="0" w:leftChars="0" w:right="0" w:rightChars="0" w:firstLine="0" w:firstLineChars="0"/>
                    <w:jc w:val="center"/>
                    <w:rPr>
                      <w:color w:val="auto"/>
                      <w:kern w:val="0"/>
                      <w:sz w:val="21"/>
                    </w:rPr>
                  </w:pPr>
                  <w:r>
                    <w:rPr>
                      <w:color w:val="auto"/>
                      <w:kern w:val="0"/>
                      <w:sz w:val="21"/>
                    </w:rPr>
                    <w:t>各种用电设备</w:t>
                  </w:r>
                </w:p>
              </w:tc>
              <w:tc>
                <w:tcPr>
                  <w:tcW w:w="436" w:type="pct"/>
                  <w:tcBorders>
                    <w:tl2br w:val="nil"/>
                    <w:tr2bl w:val="nil"/>
                  </w:tcBorders>
                  <w:vAlign w:val="center"/>
                </w:tcPr>
                <w:p w14:paraId="1958C1E6">
                  <w:pPr>
                    <w:adjustRightInd w:val="0"/>
                    <w:snapToGrid w:val="0"/>
                    <w:jc w:val="center"/>
                    <w:rPr>
                      <w:color w:val="auto"/>
                      <w:kern w:val="0"/>
                    </w:rPr>
                  </w:pPr>
                  <w:r>
                    <w:rPr>
                      <w:color w:val="auto"/>
                      <w:kern w:val="0"/>
                    </w:rPr>
                    <w:t>√</w:t>
                  </w:r>
                </w:p>
              </w:tc>
              <w:tc>
                <w:tcPr>
                  <w:tcW w:w="388" w:type="pct"/>
                  <w:tcBorders>
                    <w:tl2br w:val="nil"/>
                    <w:tr2bl w:val="nil"/>
                  </w:tcBorders>
                  <w:vAlign w:val="center"/>
                </w:tcPr>
                <w:p w14:paraId="0DDBF676">
                  <w:pPr>
                    <w:pStyle w:val="27"/>
                    <w:spacing w:line="240" w:lineRule="auto"/>
                    <w:ind w:left="0" w:leftChars="0" w:right="0" w:rightChars="0" w:firstLine="0" w:firstLineChars="0"/>
                    <w:jc w:val="center"/>
                    <w:rPr>
                      <w:color w:val="auto"/>
                      <w:kern w:val="0"/>
                      <w:sz w:val="21"/>
                    </w:rPr>
                  </w:pPr>
                </w:p>
              </w:tc>
              <w:tc>
                <w:tcPr>
                  <w:tcW w:w="402" w:type="pct"/>
                  <w:tcBorders>
                    <w:tl2br w:val="nil"/>
                    <w:tr2bl w:val="nil"/>
                  </w:tcBorders>
                  <w:vAlign w:val="center"/>
                </w:tcPr>
                <w:p w14:paraId="305F994F">
                  <w:pPr>
                    <w:pStyle w:val="27"/>
                    <w:spacing w:line="240" w:lineRule="auto"/>
                    <w:ind w:left="0" w:leftChars="0" w:right="0" w:rightChars="0" w:firstLine="0" w:firstLineChars="0"/>
                    <w:jc w:val="center"/>
                    <w:rPr>
                      <w:color w:val="auto"/>
                      <w:kern w:val="0"/>
                      <w:sz w:val="21"/>
                    </w:rPr>
                  </w:pPr>
                </w:p>
              </w:tc>
              <w:tc>
                <w:tcPr>
                  <w:tcW w:w="515" w:type="pct"/>
                  <w:tcBorders>
                    <w:tl2br w:val="nil"/>
                    <w:tr2bl w:val="nil"/>
                  </w:tcBorders>
                  <w:vAlign w:val="center"/>
                </w:tcPr>
                <w:p w14:paraId="4D74CE6E">
                  <w:pPr>
                    <w:pStyle w:val="27"/>
                    <w:spacing w:line="240" w:lineRule="auto"/>
                    <w:ind w:left="0" w:leftChars="0" w:right="0" w:rightChars="0" w:firstLine="0" w:firstLineChars="0"/>
                    <w:jc w:val="center"/>
                    <w:rPr>
                      <w:color w:val="auto"/>
                      <w:kern w:val="0"/>
                      <w:sz w:val="21"/>
                    </w:rPr>
                  </w:pPr>
                </w:p>
              </w:tc>
              <w:tc>
                <w:tcPr>
                  <w:tcW w:w="436" w:type="pct"/>
                  <w:tcBorders>
                    <w:tl2br w:val="nil"/>
                    <w:tr2bl w:val="nil"/>
                  </w:tcBorders>
                  <w:vAlign w:val="center"/>
                </w:tcPr>
                <w:p w14:paraId="33BBCBB8">
                  <w:pPr>
                    <w:pStyle w:val="27"/>
                    <w:spacing w:line="240" w:lineRule="auto"/>
                    <w:ind w:left="0" w:leftChars="0" w:right="0" w:rightChars="0" w:firstLine="0" w:firstLineChars="0"/>
                    <w:jc w:val="center"/>
                    <w:rPr>
                      <w:color w:val="auto"/>
                      <w:kern w:val="0"/>
                      <w:sz w:val="21"/>
                    </w:rPr>
                  </w:pPr>
                </w:p>
              </w:tc>
              <w:tc>
                <w:tcPr>
                  <w:tcW w:w="353" w:type="pct"/>
                  <w:tcBorders>
                    <w:tl2br w:val="nil"/>
                    <w:tr2bl w:val="nil"/>
                  </w:tcBorders>
                  <w:vAlign w:val="center"/>
                </w:tcPr>
                <w:p w14:paraId="5A35819E">
                  <w:pPr>
                    <w:pStyle w:val="27"/>
                    <w:spacing w:line="240" w:lineRule="auto"/>
                    <w:ind w:left="0" w:leftChars="0" w:right="0" w:rightChars="0" w:firstLine="0" w:firstLineChars="0"/>
                    <w:jc w:val="center"/>
                    <w:rPr>
                      <w:color w:val="auto"/>
                      <w:kern w:val="0"/>
                      <w:sz w:val="21"/>
                    </w:rPr>
                  </w:pPr>
                </w:p>
              </w:tc>
            </w:tr>
          </w:tbl>
          <w:p w14:paraId="26EB2C00">
            <w:pPr>
              <w:pStyle w:val="27"/>
              <w:spacing w:line="360" w:lineRule="auto"/>
              <w:ind w:left="0" w:leftChars="0" w:right="0" w:rightChars="0" w:firstLine="422"/>
              <w:rPr>
                <w:b/>
                <w:bCs/>
                <w:color w:val="auto"/>
                <w:kern w:val="0"/>
                <w:sz w:val="21"/>
              </w:rPr>
            </w:pPr>
            <w:r>
              <w:rPr>
                <w:b/>
                <w:bCs/>
                <w:color w:val="auto"/>
                <w:kern w:val="0"/>
                <w:sz w:val="21"/>
              </w:rPr>
              <w:t>（2）碳排放现状调查与评价</w:t>
            </w:r>
          </w:p>
          <w:p w14:paraId="6FD2920A">
            <w:pPr>
              <w:pStyle w:val="27"/>
              <w:spacing w:line="360" w:lineRule="auto"/>
              <w:ind w:left="0" w:leftChars="0" w:right="0" w:rightChars="0" w:firstLine="420"/>
              <w:rPr>
                <w:color w:val="auto"/>
                <w:kern w:val="0"/>
                <w:sz w:val="21"/>
              </w:rPr>
            </w:pPr>
            <w:r>
              <w:rPr>
                <w:color w:val="auto"/>
                <w:kern w:val="0"/>
                <w:sz w:val="21"/>
              </w:rPr>
              <w:t>①行业碳排放情况调查</w:t>
            </w:r>
          </w:p>
          <w:p w14:paraId="3F8019E3">
            <w:pPr>
              <w:adjustRightInd w:val="0"/>
              <w:snapToGrid w:val="0"/>
              <w:spacing w:line="360" w:lineRule="auto"/>
              <w:ind w:firstLine="420" w:firstLineChars="200"/>
              <w:rPr>
                <w:color w:val="auto"/>
                <w:kern w:val="0"/>
              </w:rPr>
            </w:pPr>
            <w:r>
              <w:rPr>
                <w:color w:val="auto"/>
                <w:kern w:val="0"/>
              </w:rPr>
              <w:t>本项目属于</w:t>
            </w:r>
            <w:r>
              <w:rPr>
                <w:rFonts w:hint="eastAsia"/>
                <w:color w:val="auto"/>
                <w:kern w:val="0"/>
                <w:lang w:eastAsia="zh-CN"/>
              </w:rPr>
              <w:t>C3811发电机及发电机组制造</w:t>
            </w:r>
            <w:r>
              <w:rPr>
                <w:color w:val="auto"/>
                <w:kern w:val="0"/>
              </w:rPr>
              <w:t>，目前本行业内尚未有行业碳排放数据。</w:t>
            </w:r>
          </w:p>
          <w:p w14:paraId="3E79505C">
            <w:pPr>
              <w:pStyle w:val="27"/>
              <w:spacing w:line="360" w:lineRule="auto"/>
              <w:ind w:left="0" w:leftChars="0" w:right="0" w:rightChars="0" w:firstLine="420"/>
              <w:jc w:val="left"/>
              <w:rPr>
                <w:color w:val="auto"/>
                <w:kern w:val="0"/>
                <w:sz w:val="21"/>
              </w:rPr>
            </w:pPr>
            <w:r>
              <w:rPr>
                <w:color w:val="auto"/>
                <w:kern w:val="0"/>
                <w:sz w:val="21"/>
              </w:rPr>
              <w:t>②现有项目碳排放现状调查</w:t>
            </w:r>
          </w:p>
          <w:p w14:paraId="171EB650">
            <w:pPr>
              <w:pStyle w:val="27"/>
              <w:spacing w:line="360" w:lineRule="auto"/>
              <w:ind w:left="0" w:leftChars="0" w:right="0" w:rightChars="0" w:firstLine="420"/>
              <w:jc w:val="left"/>
              <w:rPr>
                <w:color w:val="auto"/>
                <w:kern w:val="0"/>
                <w:sz w:val="21"/>
              </w:rPr>
            </w:pPr>
            <w:r>
              <w:rPr>
                <w:color w:val="auto"/>
                <w:kern w:val="0"/>
                <w:sz w:val="21"/>
              </w:rPr>
              <w:t>本项目为</w:t>
            </w:r>
            <w:r>
              <w:rPr>
                <w:rFonts w:hint="eastAsia"/>
                <w:color w:val="auto"/>
                <w:kern w:val="0"/>
                <w:sz w:val="21"/>
              </w:rPr>
              <w:t>新建</w:t>
            </w:r>
            <w:r>
              <w:rPr>
                <w:color w:val="auto"/>
                <w:kern w:val="0"/>
                <w:sz w:val="21"/>
              </w:rPr>
              <w:t>项目，</w:t>
            </w:r>
            <w:r>
              <w:rPr>
                <w:rFonts w:hint="eastAsia"/>
                <w:color w:val="auto"/>
                <w:kern w:val="0"/>
                <w:sz w:val="21"/>
              </w:rPr>
              <w:t>因此</w:t>
            </w:r>
            <w:r>
              <w:rPr>
                <w:color w:val="auto"/>
                <w:kern w:val="0"/>
                <w:sz w:val="21"/>
              </w:rPr>
              <w:t>无现有项目碳排放现状。</w:t>
            </w:r>
          </w:p>
          <w:p w14:paraId="6235CDB1">
            <w:pPr>
              <w:pStyle w:val="697"/>
              <w:adjustRightInd w:val="0"/>
              <w:snapToGrid w:val="0"/>
              <w:spacing w:line="360" w:lineRule="auto"/>
              <w:ind w:firstLine="422"/>
              <w:rPr>
                <w:rFonts w:eastAsia="宋体"/>
                <w:b/>
                <w:bCs/>
                <w:color w:val="auto"/>
                <w:kern w:val="0"/>
                <w:sz w:val="21"/>
                <w:szCs w:val="21"/>
              </w:rPr>
            </w:pPr>
            <w:r>
              <w:rPr>
                <w:rFonts w:eastAsia="宋体"/>
                <w:b/>
                <w:bCs/>
                <w:color w:val="auto"/>
                <w:kern w:val="0"/>
                <w:sz w:val="21"/>
                <w:szCs w:val="21"/>
              </w:rPr>
              <w:t>（3）碳排放预测与评价</w:t>
            </w:r>
          </w:p>
          <w:p w14:paraId="4C2890D8">
            <w:pPr>
              <w:pStyle w:val="697"/>
              <w:adjustRightInd w:val="0"/>
              <w:snapToGrid w:val="0"/>
              <w:spacing w:line="360" w:lineRule="auto"/>
              <w:ind w:firstLine="420"/>
              <w:rPr>
                <w:rFonts w:eastAsia="宋体"/>
                <w:color w:val="auto"/>
                <w:kern w:val="0"/>
                <w:sz w:val="21"/>
                <w:szCs w:val="21"/>
              </w:rPr>
            </w:pPr>
            <w:r>
              <w:rPr>
                <w:rFonts w:eastAsia="宋体"/>
                <w:color w:val="auto"/>
                <w:kern w:val="0"/>
                <w:sz w:val="21"/>
                <w:szCs w:val="21"/>
              </w:rPr>
              <w:t>①营运期碳排放预测</w:t>
            </w:r>
          </w:p>
          <w:p w14:paraId="54AD5066">
            <w:pPr>
              <w:pStyle w:val="23"/>
              <w:ind w:firstLine="420" w:firstLineChars="200"/>
              <w:rPr>
                <w:color w:val="auto"/>
                <w:sz w:val="21"/>
                <w:szCs w:val="21"/>
              </w:rPr>
            </w:pPr>
            <w:r>
              <w:rPr>
                <w:color w:val="auto"/>
                <w:sz w:val="21"/>
                <w:szCs w:val="21"/>
              </w:rPr>
              <w:t>建设项目碳排放总量计算见公式（1）；</w:t>
            </w:r>
          </w:p>
          <w:p w14:paraId="5565A0D6">
            <w:pPr>
              <w:adjustRightInd w:val="0"/>
              <w:snapToGrid w:val="0"/>
              <w:spacing w:line="360" w:lineRule="auto"/>
              <w:ind w:firstLine="420" w:firstLineChars="200"/>
              <w:jc w:val="center"/>
              <w:rPr>
                <w:color w:val="auto"/>
                <w:kern w:val="0"/>
              </w:rPr>
            </w:pPr>
            <w:r>
              <w:rPr>
                <w:color w:val="auto"/>
                <w:kern w:val="0"/>
              </w:rPr>
              <w:t>AE</w:t>
            </w:r>
            <w:r>
              <w:rPr>
                <w:color w:val="auto"/>
                <w:kern w:val="0"/>
                <w:vertAlign w:val="subscript"/>
              </w:rPr>
              <w:t>总</w:t>
            </w:r>
            <w:r>
              <w:rPr>
                <w:color w:val="auto"/>
                <w:kern w:val="0"/>
              </w:rPr>
              <w:t>=AE</w:t>
            </w:r>
            <w:r>
              <w:rPr>
                <w:color w:val="auto"/>
                <w:kern w:val="0"/>
                <w:vertAlign w:val="subscript"/>
              </w:rPr>
              <w:t>燃料燃烧</w:t>
            </w:r>
            <w:r>
              <w:rPr>
                <w:color w:val="auto"/>
                <w:kern w:val="0"/>
              </w:rPr>
              <w:t>+AE</w:t>
            </w:r>
            <w:r>
              <w:rPr>
                <w:color w:val="auto"/>
                <w:kern w:val="0"/>
                <w:vertAlign w:val="subscript"/>
              </w:rPr>
              <w:t>工业生产过程</w:t>
            </w:r>
            <w:r>
              <w:rPr>
                <w:color w:val="auto"/>
                <w:kern w:val="0"/>
              </w:rPr>
              <w:t>+AE</w:t>
            </w:r>
            <w:r>
              <w:rPr>
                <w:color w:val="auto"/>
                <w:kern w:val="0"/>
                <w:vertAlign w:val="subscript"/>
              </w:rPr>
              <w:t>净调入电力和热力</w:t>
            </w:r>
            <w:r>
              <w:rPr>
                <w:color w:val="auto"/>
                <w:kern w:val="0"/>
              </w:rPr>
              <w:t>（1）</w:t>
            </w:r>
          </w:p>
          <w:p w14:paraId="7A8F6013">
            <w:pPr>
              <w:pStyle w:val="23"/>
              <w:ind w:firstLine="420" w:firstLineChars="200"/>
              <w:rPr>
                <w:color w:val="auto"/>
                <w:sz w:val="21"/>
                <w:szCs w:val="21"/>
              </w:rPr>
            </w:pPr>
            <w:r>
              <w:rPr>
                <w:color w:val="auto"/>
                <w:sz w:val="21"/>
                <w:szCs w:val="21"/>
              </w:rPr>
              <w:t>式中：</w:t>
            </w:r>
          </w:p>
          <w:p w14:paraId="7757D0E9">
            <w:pPr>
              <w:pStyle w:val="23"/>
              <w:ind w:firstLine="420" w:firstLineChars="200"/>
              <w:rPr>
                <w:color w:val="auto"/>
                <w:sz w:val="21"/>
                <w:szCs w:val="21"/>
              </w:rPr>
            </w:pPr>
            <w:r>
              <w:rPr>
                <w:color w:val="auto"/>
                <w:sz w:val="21"/>
                <w:szCs w:val="21"/>
              </w:rPr>
              <w:t>AE</w:t>
            </w:r>
            <w:r>
              <w:rPr>
                <w:color w:val="auto"/>
                <w:sz w:val="21"/>
                <w:szCs w:val="21"/>
                <w:vertAlign w:val="subscript"/>
              </w:rPr>
              <w:t>总</w:t>
            </w:r>
            <w:r>
              <w:rPr>
                <w:color w:val="auto"/>
                <w:sz w:val="21"/>
                <w:szCs w:val="21"/>
              </w:rPr>
              <w:t>——碳排放总量（tCO</w:t>
            </w:r>
            <w:r>
              <w:rPr>
                <w:color w:val="auto"/>
                <w:sz w:val="21"/>
                <w:szCs w:val="21"/>
                <w:vertAlign w:val="subscript"/>
              </w:rPr>
              <w:t>2e</w:t>
            </w:r>
            <w:r>
              <w:rPr>
                <w:color w:val="auto"/>
                <w:sz w:val="21"/>
                <w:szCs w:val="21"/>
              </w:rPr>
              <w:t>）</w:t>
            </w:r>
          </w:p>
          <w:p w14:paraId="21D00986">
            <w:pPr>
              <w:adjustRightInd w:val="0"/>
              <w:snapToGrid w:val="0"/>
              <w:spacing w:line="360" w:lineRule="auto"/>
              <w:ind w:firstLine="420" w:firstLineChars="200"/>
              <w:rPr>
                <w:color w:val="auto"/>
                <w:kern w:val="0"/>
              </w:rPr>
            </w:pPr>
            <w:r>
              <w:rPr>
                <w:color w:val="auto"/>
                <w:kern w:val="0"/>
              </w:rPr>
              <w:t>AE</w:t>
            </w:r>
            <w:r>
              <w:rPr>
                <w:color w:val="auto"/>
                <w:kern w:val="0"/>
                <w:vertAlign w:val="subscript"/>
              </w:rPr>
              <w:t>燃料燃烧</w:t>
            </w:r>
            <w:r>
              <w:rPr>
                <w:color w:val="auto"/>
                <w:kern w:val="0"/>
              </w:rPr>
              <w:t>——燃料燃烧碳排放量（tCO</w:t>
            </w:r>
            <w:r>
              <w:rPr>
                <w:color w:val="auto"/>
                <w:kern w:val="0"/>
                <w:vertAlign w:val="subscript"/>
              </w:rPr>
              <w:t>2e</w:t>
            </w:r>
            <w:r>
              <w:rPr>
                <w:color w:val="auto"/>
                <w:kern w:val="0"/>
              </w:rPr>
              <w:t>）</w:t>
            </w:r>
          </w:p>
          <w:p w14:paraId="6439820C">
            <w:pPr>
              <w:adjustRightInd w:val="0"/>
              <w:snapToGrid w:val="0"/>
              <w:spacing w:line="360" w:lineRule="auto"/>
              <w:ind w:firstLine="420" w:firstLineChars="200"/>
              <w:rPr>
                <w:color w:val="auto"/>
                <w:kern w:val="0"/>
              </w:rPr>
            </w:pPr>
            <w:r>
              <w:rPr>
                <w:color w:val="auto"/>
                <w:kern w:val="0"/>
              </w:rPr>
              <w:t>AE</w:t>
            </w:r>
            <w:r>
              <w:rPr>
                <w:color w:val="auto"/>
                <w:kern w:val="0"/>
                <w:vertAlign w:val="subscript"/>
              </w:rPr>
              <w:t>工业生产过程</w:t>
            </w:r>
            <w:r>
              <w:rPr>
                <w:color w:val="auto"/>
                <w:kern w:val="0"/>
              </w:rPr>
              <w:t>——工业生产过程碳排放量（tCO</w:t>
            </w:r>
            <w:r>
              <w:rPr>
                <w:color w:val="auto"/>
                <w:kern w:val="0"/>
                <w:vertAlign w:val="subscript"/>
              </w:rPr>
              <w:t>2e</w:t>
            </w:r>
            <w:r>
              <w:rPr>
                <w:color w:val="auto"/>
                <w:kern w:val="0"/>
              </w:rPr>
              <w:t>）</w:t>
            </w:r>
          </w:p>
          <w:p w14:paraId="471AEA95">
            <w:pPr>
              <w:adjustRightInd w:val="0"/>
              <w:snapToGrid w:val="0"/>
              <w:spacing w:line="360" w:lineRule="auto"/>
              <w:ind w:firstLine="420" w:firstLineChars="200"/>
              <w:rPr>
                <w:color w:val="auto"/>
                <w:kern w:val="0"/>
              </w:rPr>
            </w:pPr>
            <w:r>
              <w:rPr>
                <w:color w:val="auto"/>
                <w:kern w:val="0"/>
              </w:rPr>
              <w:t>AE</w:t>
            </w:r>
            <w:r>
              <w:rPr>
                <w:color w:val="auto"/>
                <w:kern w:val="0"/>
                <w:vertAlign w:val="subscript"/>
              </w:rPr>
              <w:t>净调入电力和热力</w:t>
            </w:r>
            <w:r>
              <w:rPr>
                <w:color w:val="auto"/>
                <w:kern w:val="0"/>
              </w:rPr>
              <w:t>——净调入电力和热力消耗碳排放总量（tCO</w:t>
            </w:r>
            <w:r>
              <w:rPr>
                <w:color w:val="auto"/>
                <w:kern w:val="0"/>
                <w:vertAlign w:val="subscript"/>
              </w:rPr>
              <w:t>2e</w:t>
            </w:r>
            <w:r>
              <w:rPr>
                <w:color w:val="auto"/>
                <w:kern w:val="0"/>
              </w:rPr>
              <w:t>）</w:t>
            </w:r>
          </w:p>
          <w:p w14:paraId="78C0CFA9">
            <w:pPr>
              <w:pStyle w:val="23"/>
              <w:ind w:firstLine="420" w:firstLineChars="200"/>
              <w:rPr>
                <w:color w:val="auto"/>
                <w:sz w:val="21"/>
                <w:szCs w:val="21"/>
              </w:rPr>
            </w:pPr>
            <w:r>
              <w:rPr>
                <w:rFonts w:hint="eastAsia"/>
                <w:color w:val="auto"/>
                <w:sz w:val="21"/>
                <w:szCs w:val="21"/>
              </w:rPr>
              <w:t>1）</w:t>
            </w:r>
            <w:r>
              <w:rPr>
                <w:color w:val="auto"/>
                <w:sz w:val="21"/>
                <w:szCs w:val="21"/>
              </w:rPr>
              <w:t>根据燃料用于电力生产还是用于其他工业生产情况不同，燃料燃烧排放量（AE</w:t>
            </w:r>
            <w:r>
              <w:rPr>
                <w:color w:val="auto"/>
                <w:sz w:val="21"/>
                <w:szCs w:val="21"/>
                <w:vertAlign w:val="subscript"/>
              </w:rPr>
              <w:t>燃料燃烧</w:t>
            </w:r>
            <w:r>
              <w:rPr>
                <w:color w:val="auto"/>
                <w:sz w:val="21"/>
                <w:szCs w:val="21"/>
              </w:rPr>
              <w:t>）计算方法不同，具体见公式（2）</w:t>
            </w:r>
          </w:p>
          <w:p w14:paraId="198DC4A0">
            <w:pPr>
              <w:adjustRightInd w:val="0"/>
              <w:snapToGrid w:val="0"/>
              <w:spacing w:line="360" w:lineRule="auto"/>
              <w:ind w:firstLine="420" w:firstLineChars="200"/>
              <w:jc w:val="center"/>
              <w:rPr>
                <w:color w:val="auto"/>
                <w:kern w:val="0"/>
              </w:rPr>
            </w:pPr>
            <w:r>
              <w:rPr>
                <w:color w:val="auto"/>
                <w:kern w:val="0"/>
              </w:rPr>
              <w:t>AE</w:t>
            </w:r>
            <w:r>
              <w:rPr>
                <w:color w:val="auto"/>
                <w:kern w:val="0"/>
                <w:vertAlign w:val="subscript"/>
              </w:rPr>
              <w:t>燃料燃烧</w:t>
            </w:r>
            <w:r>
              <w:rPr>
                <w:color w:val="auto"/>
                <w:kern w:val="0"/>
              </w:rPr>
              <w:t>=AE</w:t>
            </w:r>
            <w:r>
              <w:rPr>
                <w:color w:val="auto"/>
                <w:kern w:val="0"/>
                <w:vertAlign w:val="subscript"/>
              </w:rPr>
              <w:t>电燃</w:t>
            </w:r>
            <w:r>
              <w:rPr>
                <w:color w:val="auto"/>
                <w:kern w:val="0"/>
              </w:rPr>
              <w:t>+AE</w:t>
            </w:r>
            <w:r>
              <w:rPr>
                <w:color w:val="auto"/>
                <w:kern w:val="0"/>
                <w:vertAlign w:val="subscript"/>
              </w:rPr>
              <w:t>工燃</w:t>
            </w:r>
            <w:r>
              <w:rPr>
                <w:color w:val="auto"/>
                <w:kern w:val="0"/>
              </w:rPr>
              <w:t>（2）</w:t>
            </w:r>
          </w:p>
          <w:p w14:paraId="668FCEDE">
            <w:pPr>
              <w:pStyle w:val="23"/>
              <w:ind w:firstLine="420" w:firstLineChars="200"/>
              <w:rPr>
                <w:color w:val="auto"/>
                <w:sz w:val="21"/>
                <w:szCs w:val="21"/>
              </w:rPr>
            </w:pPr>
            <w:r>
              <w:rPr>
                <w:color w:val="auto"/>
                <w:sz w:val="21"/>
                <w:szCs w:val="21"/>
              </w:rPr>
              <w:t>式中：</w:t>
            </w:r>
          </w:p>
          <w:p w14:paraId="71542ACF">
            <w:pPr>
              <w:pStyle w:val="23"/>
              <w:ind w:firstLine="420" w:firstLineChars="200"/>
              <w:rPr>
                <w:color w:val="auto"/>
                <w:sz w:val="21"/>
                <w:szCs w:val="21"/>
              </w:rPr>
            </w:pPr>
            <w:r>
              <w:rPr>
                <w:color w:val="auto"/>
                <w:sz w:val="21"/>
                <w:szCs w:val="21"/>
              </w:rPr>
              <w:t>AE</w:t>
            </w:r>
            <w:r>
              <w:rPr>
                <w:color w:val="auto"/>
                <w:sz w:val="21"/>
                <w:szCs w:val="21"/>
                <w:vertAlign w:val="subscript"/>
              </w:rPr>
              <w:t>电燃</w:t>
            </w:r>
            <w:r>
              <w:rPr>
                <w:color w:val="auto"/>
                <w:sz w:val="21"/>
                <w:szCs w:val="21"/>
              </w:rPr>
              <w:t>——电力生产燃料燃烧排放量（tCO</w:t>
            </w:r>
            <w:r>
              <w:rPr>
                <w:color w:val="auto"/>
                <w:sz w:val="21"/>
                <w:szCs w:val="21"/>
                <w:vertAlign w:val="subscript"/>
              </w:rPr>
              <w:t>2e</w:t>
            </w:r>
            <w:r>
              <w:rPr>
                <w:color w:val="auto"/>
                <w:sz w:val="21"/>
                <w:szCs w:val="21"/>
              </w:rPr>
              <w:t>）</w:t>
            </w:r>
          </w:p>
          <w:p w14:paraId="7436F04D">
            <w:pPr>
              <w:pStyle w:val="23"/>
              <w:ind w:firstLine="420" w:firstLineChars="200"/>
              <w:rPr>
                <w:color w:val="auto"/>
                <w:sz w:val="21"/>
                <w:szCs w:val="21"/>
              </w:rPr>
            </w:pPr>
            <w:r>
              <w:rPr>
                <w:color w:val="auto"/>
                <w:sz w:val="21"/>
                <w:szCs w:val="21"/>
              </w:rPr>
              <w:t>AE</w:t>
            </w:r>
            <w:r>
              <w:rPr>
                <w:color w:val="auto"/>
                <w:sz w:val="21"/>
                <w:szCs w:val="21"/>
                <w:vertAlign w:val="subscript"/>
              </w:rPr>
              <w:t>工燃</w:t>
            </w:r>
            <w:r>
              <w:rPr>
                <w:color w:val="auto"/>
                <w:sz w:val="21"/>
                <w:szCs w:val="21"/>
              </w:rPr>
              <w:t>——工业生产燃料燃烧排放量（tCO</w:t>
            </w:r>
            <w:r>
              <w:rPr>
                <w:color w:val="auto"/>
                <w:sz w:val="21"/>
                <w:szCs w:val="21"/>
                <w:vertAlign w:val="subscript"/>
              </w:rPr>
              <w:t>2e</w:t>
            </w:r>
            <w:r>
              <w:rPr>
                <w:color w:val="auto"/>
                <w:sz w:val="21"/>
                <w:szCs w:val="21"/>
              </w:rPr>
              <w:t>）</w:t>
            </w:r>
          </w:p>
          <w:p w14:paraId="757EB127">
            <w:pPr>
              <w:pStyle w:val="23"/>
              <w:ind w:firstLine="420" w:firstLineChars="200"/>
              <w:rPr>
                <w:color w:val="auto"/>
                <w:sz w:val="21"/>
                <w:szCs w:val="21"/>
              </w:rPr>
            </w:pPr>
            <w:r>
              <w:rPr>
                <w:color w:val="auto"/>
                <w:sz w:val="21"/>
                <w:szCs w:val="21"/>
              </w:rPr>
              <w:t>建设项目用于电力生产的燃料燃烧产生的排放量（AE</w:t>
            </w:r>
            <w:r>
              <w:rPr>
                <w:color w:val="auto"/>
                <w:sz w:val="21"/>
                <w:szCs w:val="21"/>
                <w:vertAlign w:val="subscript"/>
              </w:rPr>
              <w:t>电燃</w:t>
            </w:r>
            <w:r>
              <w:rPr>
                <w:color w:val="auto"/>
                <w:sz w:val="21"/>
                <w:szCs w:val="21"/>
              </w:rPr>
              <w:t>）计算方法见公式（3）</w:t>
            </w:r>
          </w:p>
          <w:p w14:paraId="4466B3F6">
            <w:pPr>
              <w:adjustRightInd w:val="0"/>
              <w:snapToGrid w:val="0"/>
              <w:spacing w:line="360" w:lineRule="auto"/>
              <w:ind w:firstLine="420" w:firstLineChars="200"/>
              <w:jc w:val="center"/>
              <w:rPr>
                <w:color w:val="auto"/>
                <w:kern w:val="0"/>
              </w:rPr>
            </w:pPr>
            <w:r>
              <w:rPr>
                <w:color w:val="auto"/>
                <w:kern w:val="0"/>
              </w:rPr>
              <w:t>AE</w:t>
            </w:r>
            <w:r>
              <w:rPr>
                <w:color w:val="auto"/>
                <w:kern w:val="0"/>
                <w:vertAlign w:val="subscript"/>
              </w:rPr>
              <w:t>电燃</w:t>
            </w:r>
            <w:r>
              <w:rPr>
                <w:color w:val="auto"/>
                <w:kern w:val="0"/>
              </w:rPr>
              <w:t>=∑（ADi</w:t>
            </w:r>
            <w:r>
              <w:rPr>
                <w:color w:val="auto"/>
                <w:kern w:val="0"/>
                <w:vertAlign w:val="subscript"/>
              </w:rPr>
              <w:t>燃料</w:t>
            </w:r>
            <w:r>
              <w:rPr>
                <w:color w:val="auto"/>
                <w:kern w:val="0"/>
              </w:rPr>
              <w:t>*EFi</w:t>
            </w:r>
            <w:r>
              <w:rPr>
                <w:color w:val="auto"/>
                <w:kern w:val="0"/>
                <w:vertAlign w:val="subscript"/>
              </w:rPr>
              <w:t>燃料</w:t>
            </w:r>
            <w:r>
              <w:rPr>
                <w:color w:val="auto"/>
                <w:kern w:val="0"/>
              </w:rPr>
              <w:t>+ADi</w:t>
            </w:r>
            <w:r>
              <w:rPr>
                <w:color w:val="auto"/>
                <w:kern w:val="0"/>
                <w:vertAlign w:val="subscript"/>
              </w:rPr>
              <w:t>燃料</w:t>
            </w:r>
            <w:r>
              <w:rPr>
                <w:color w:val="auto"/>
                <w:kern w:val="0"/>
              </w:rPr>
              <w:t>*EF＇</w:t>
            </w:r>
            <w:r>
              <w:rPr>
                <w:color w:val="auto"/>
                <w:kern w:val="0"/>
                <w:vertAlign w:val="subscript"/>
              </w:rPr>
              <w:t>i燃料</w:t>
            </w:r>
            <w:r>
              <w:rPr>
                <w:color w:val="auto"/>
                <w:kern w:val="0"/>
              </w:rPr>
              <w:t>*GWP</w:t>
            </w:r>
            <w:r>
              <w:rPr>
                <w:color w:val="auto"/>
                <w:kern w:val="0"/>
                <w:vertAlign w:val="subscript"/>
              </w:rPr>
              <w:t>N2O</w:t>
            </w:r>
            <w:r>
              <w:rPr>
                <w:color w:val="auto"/>
                <w:kern w:val="0"/>
              </w:rPr>
              <w:t>）</w:t>
            </w:r>
          </w:p>
          <w:p w14:paraId="7D0EDAC5">
            <w:pPr>
              <w:pStyle w:val="23"/>
              <w:ind w:firstLine="420" w:firstLineChars="200"/>
              <w:rPr>
                <w:color w:val="auto"/>
                <w:sz w:val="21"/>
                <w:szCs w:val="21"/>
              </w:rPr>
            </w:pPr>
            <w:r>
              <w:rPr>
                <w:color w:val="auto"/>
                <w:sz w:val="21"/>
                <w:szCs w:val="21"/>
              </w:rPr>
              <w:t>式中：</w:t>
            </w:r>
          </w:p>
          <w:p w14:paraId="27B7B5FF">
            <w:pPr>
              <w:pStyle w:val="23"/>
              <w:ind w:firstLine="420" w:firstLineChars="200"/>
              <w:rPr>
                <w:color w:val="auto"/>
                <w:sz w:val="21"/>
                <w:szCs w:val="21"/>
              </w:rPr>
            </w:pPr>
            <w:r>
              <w:rPr>
                <w:color w:val="auto"/>
                <w:sz w:val="21"/>
                <w:szCs w:val="21"/>
              </w:rPr>
              <w:t>i——燃料种类；</w:t>
            </w:r>
          </w:p>
          <w:p w14:paraId="0472E054">
            <w:pPr>
              <w:pStyle w:val="23"/>
              <w:ind w:firstLine="420" w:firstLineChars="200"/>
              <w:rPr>
                <w:color w:val="auto"/>
                <w:sz w:val="21"/>
                <w:szCs w:val="21"/>
              </w:rPr>
            </w:pPr>
            <w:r>
              <w:rPr>
                <w:color w:val="auto"/>
                <w:sz w:val="21"/>
                <w:szCs w:val="21"/>
              </w:rPr>
              <w:t>ADi</w:t>
            </w:r>
            <w:r>
              <w:rPr>
                <w:color w:val="auto"/>
                <w:sz w:val="21"/>
                <w:szCs w:val="21"/>
                <w:vertAlign w:val="subscript"/>
              </w:rPr>
              <w:t>燃料</w:t>
            </w:r>
            <w:r>
              <w:rPr>
                <w:color w:val="auto"/>
                <w:sz w:val="21"/>
                <w:szCs w:val="21"/>
              </w:rPr>
              <w:t>——i 燃料燃烧消耗量（t或kNm</w:t>
            </w:r>
            <w:r>
              <w:rPr>
                <w:color w:val="auto"/>
                <w:sz w:val="21"/>
                <w:szCs w:val="21"/>
                <w:vertAlign w:val="superscript"/>
              </w:rPr>
              <w:t>3</w:t>
            </w:r>
            <w:r>
              <w:rPr>
                <w:color w:val="auto"/>
                <w:sz w:val="21"/>
                <w:szCs w:val="21"/>
              </w:rPr>
              <w:t>）</w:t>
            </w:r>
          </w:p>
          <w:p w14:paraId="36B046D8">
            <w:pPr>
              <w:pStyle w:val="23"/>
              <w:ind w:firstLine="420" w:firstLineChars="200"/>
              <w:rPr>
                <w:color w:val="auto"/>
                <w:sz w:val="21"/>
                <w:szCs w:val="21"/>
              </w:rPr>
            </w:pPr>
            <w:r>
              <w:rPr>
                <w:color w:val="auto"/>
                <w:sz w:val="21"/>
                <w:szCs w:val="21"/>
              </w:rPr>
              <w:t>EFi</w:t>
            </w:r>
            <w:r>
              <w:rPr>
                <w:color w:val="auto"/>
                <w:sz w:val="21"/>
                <w:szCs w:val="21"/>
                <w:vertAlign w:val="subscript"/>
              </w:rPr>
              <w:t>燃料</w:t>
            </w:r>
            <w:r>
              <w:rPr>
                <w:color w:val="auto"/>
                <w:sz w:val="21"/>
                <w:szCs w:val="21"/>
              </w:rPr>
              <w:t>——i 燃料燃烧二氧化碳排放因子（tCO</w:t>
            </w:r>
            <w:r>
              <w:rPr>
                <w:color w:val="auto"/>
                <w:sz w:val="21"/>
                <w:szCs w:val="21"/>
                <w:vertAlign w:val="subscript"/>
              </w:rPr>
              <w:t>2e</w:t>
            </w:r>
            <w:r>
              <w:rPr>
                <w:color w:val="auto"/>
                <w:sz w:val="21"/>
                <w:szCs w:val="21"/>
              </w:rPr>
              <w:t>/kg或tCO</w:t>
            </w:r>
            <w:r>
              <w:rPr>
                <w:color w:val="auto"/>
                <w:sz w:val="21"/>
                <w:szCs w:val="21"/>
                <w:vertAlign w:val="subscript"/>
              </w:rPr>
              <w:t>2e</w:t>
            </w:r>
            <w:r>
              <w:rPr>
                <w:color w:val="auto"/>
                <w:sz w:val="21"/>
                <w:szCs w:val="21"/>
              </w:rPr>
              <w:t>/kNm</w:t>
            </w:r>
            <w:r>
              <w:rPr>
                <w:color w:val="auto"/>
                <w:sz w:val="21"/>
                <w:szCs w:val="21"/>
                <w:vertAlign w:val="superscript"/>
              </w:rPr>
              <w:t>3</w:t>
            </w:r>
            <w:r>
              <w:rPr>
                <w:color w:val="auto"/>
                <w:sz w:val="21"/>
                <w:szCs w:val="21"/>
              </w:rPr>
              <w:t>）</w:t>
            </w:r>
          </w:p>
          <w:p w14:paraId="60D59E36">
            <w:pPr>
              <w:pStyle w:val="23"/>
              <w:ind w:firstLine="420" w:firstLineChars="200"/>
              <w:rPr>
                <w:color w:val="auto"/>
                <w:sz w:val="21"/>
                <w:szCs w:val="21"/>
              </w:rPr>
            </w:pPr>
            <w:r>
              <w:rPr>
                <w:color w:val="auto"/>
                <w:sz w:val="21"/>
                <w:szCs w:val="21"/>
              </w:rPr>
              <w:t>EF＇</w:t>
            </w:r>
            <w:r>
              <w:rPr>
                <w:color w:val="auto"/>
                <w:sz w:val="21"/>
                <w:szCs w:val="21"/>
                <w:vertAlign w:val="subscript"/>
              </w:rPr>
              <w:t>i燃料</w:t>
            </w:r>
            <w:r>
              <w:rPr>
                <w:color w:val="auto"/>
                <w:sz w:val="21"/>
                <w:szCs w:val="21"/>
              </w:rPr>
              <w:t>——i 燃料燃烧氧化亚氮排放因子（tCO</w:t>
            </w:r>
            <w:r>
              <w:rPr>
                <w:color w:val="auto"/>
                <w:sz w:val="21"/>
                <w:szCs w:val="21"/>
                <w:vertAlign w:val="subscript"/>
              </w:rPr>
              <w:t>2e</w:t>
            </w:r>
            <w:r>
              <w:rPr>
                <w:color w:val="auto"/>
                <w:sz w:val="21"/>
                <w:szCs w:val="21"/>
              </w:rPr>
              <w:t>/kg或tCO</w:t>
            </w:r>
            <w:r>
              <w:rPr>
                <w:color w:val="auto"/>
                <w:sz w:val="21"/>
                <w:szCs w:val="21"/>
                <w:vertAlign w:val="subscript"/>
              </w:rPr>
              <w:t>2e</w:t>
            </w:r>
            <w:r>
              <w:rPr>
                <w:color w:val="auto"/>
                <w:sz w:val="21"/>
                <w:szCs w:val="21"/>
              </w:rPr>
              <w:t>/kNm</w:t>
            </w:r>
            <w:r>
              <w:rPr>
                <w:color w:val="auto"/>
                <w:sz w:val="21"/>
                <w:szCs w:val="21"/>
                <w:vertAlign w:val="superscript"/>
              </w:rPr>
              <w:t>3</w:t>
            </w:r>
            <w:r>
              <w:rPr>
                <w:color w:val="auto"/>
                <w:sz w:val="21"/>
                <w:szCs w:val="21"/>
              </w:rPr>
              <w:t>）</w:t>
            </w:r>
          </w:p>
          <w:p w14:paraId="3AE4416D">
            <w:pPr>
              <w:pStyle w:val="23"/>
              <w:ind w:firstLine="420" w:firstLineChars="200"/>
              <w:rPr>
                <w:color w:val="auto"/>
                <w:sz w:val="21"/>
                <w:szCs w:val="21"/>
              </w:rPr>
            </w:pPr>
            <w:r>
              <w:rPr>
                <w:color w:val="auto"/>
                <w:sz w:val="21"/>
                <w:szCs w:val="21"/>
              </w:rPr>
              <w:t>GWP</w:t>
            </w:r>
            <w:r>
              <w:rPr>
                <w:color w:val="auto"/>
                <w:sz w:val="21"/>
                <w:szCs w:val="21"/>
                <w:vertAlign w:val="subscript"/>
              </w:rPr>
              <w:t>N2O</w:t>
            </w:r>
            <w:r>
              <w:rPr>
                <w:color w:val="auto"/>
                <w:sz w:val="21"/>
                <w:szCs w:val="21"/>
              </w:rPr>
              <w:t>——i 燃料燃烧二氧化碳排放因子（tCO</w:t>
            </w:r>
            <w:r>
              <w:rPr>
                <w:color w:val="auto"/>
                <w:sz w:val="21"/>
                <w:szCs w:val="21"/>
                <w:vertAlign w:val="subscript"/>
              </w:rPr>
              <w:t>2e</w:t>
            </w:r>
            <w:r>
              <w:rPr>
                <w:color w:val="auto"/>
                <w:sz w:val="21"/>
                <w:szCs w:val="21"/>
              </w:rPr>
              <w:t>/kg或tCO</w:t>
            </w:r>
            <w:r>
              <w:rPr>
                <w:color w:val="auto"/>
                <w:sz w:val="21"/>
                <w:szCs w:val="21"/>
                <w:vertAlign w:val="subscript"/>
              </w:rPr>
              <w:t>2e</w:t>
            </w:r>
            <w:r>
              <w:rPr>
                <w:color w:val="auto"/>
                <w:sz w:val="21"/>
                <w:szCs w:val="21"/>
              </w:rPr>
              <w:t>/kNm</w:t>
            </w:r>
            <w:r>
              <w:rPr>
                <w:color w:val="auto"/>
                <w:sz w:val="21"/>
                <w:szCs w:val="21"/>
                <w:vertAlign w:val="superscript"/>
              </w:rPr>
              <w:t>3</w:t>
            </w:r>
            <w:r>
              <w:rPr>
                <w:color w:val="auto"/>
                <w:sz w:val="21"/>
                <w:szCs w:val="21"/>
              </w:rPr>
              <w:t>）</w:t>
            </w:r>
          </w:p>
          <w:p w14:paraId="32DF5C71">
            <w:pPr>
              <w:pStyle w:val="23"/>
              <w:ind w:firstLine="420" w:firstLineChars="200"/>
              <w:rPr>
                <w:color w:val="auto"/>
                <w:sz w:val="21"/>
                <w:szCs w:val="21"/>
              </w:rPr>
            </w:pPr>
            <w:r>
              <w:rPr>
                <w:color w:val="auto"/>
                <w:sz w:val="21"/>
                <w:szCs w:val="21"/>
              </w:rPr>
              <w:t>EF</w:t>
            </w:r>
            <w:r>
              <w:rPr>
                <w:color w:val="auto"/>
                <w:sz w:val="21"/>
                <w:szCs w:val="21"/>
                <w:vertAlign w:val="subscript"/>
              </w:rPr>
              <w:t>i燃料</w:t>
            </w:r>
            <w:r>
              <w:rPr>
                <w:color w:val="auto"/>
                <w:sz w:val="21"/>
                <w:szCs w:val="21"/>
              </w:rPr>
              <w:t>——氧化亚氮全球变暖潜势值。</w:t>
            </w:r>
          </w:p>
          <w:p w14:paraId="0FFF8B1E">
            <w:pPr>
              <w:pStyle w:val="23"/>
              <w:ind w:firstLine="420" w:firstLineChars="200"/>
              <w:rPr>
                <w:color w:val="auto"/>
                <w:sz w:val="21"/>
                <w:szCs w:val="21"/>
              </w:rPr>
            </w:pPr>
            <w:r>
              <w:rPr>
                <w:color w:val="auto"/>
                <w:sz w:val="21"/>
                <w:szCs w:val="21"/>
              </w:rPr>
              <w:t>建设项目用于电力生产之外的其他工业生产的燃料燃烧产生的排放量（AE</w:t>
            </w:r>
            <w:r>
              <w:rPr>
                <w:color w:val="auto"/>
                <w:sz w:val="21"/>
                <w:szCs w:val="21"/>
                <w:vertAlign w:val="subscript"/>
              </w:rPr>
              <w:t>工燃</w:t>
            </w:r>
            <w:r>
              <w:rPr>
                <w:color w:val="auto"/>
                <w:sz w:val="21"/>
                <w:szCs w:val="21"/>
              </w:rPr>
              <w:t>）计算方法见公式（4）</w:t>
            </w:r>
          </w:p>
          <w:p w14:paraId="0A97EB97">
            <w:pPr>
              <w:adjustRightInd w:val="0"/>
              <w:snapToGrid w:val="0"/>
              <w:spacing w:line="360" w:lineRule="auto"/>
              <w:ind w:firstLine="420" w:firstLineChars="200"/>
              <w:jc w:val="center"/>
              <w:rPr>
                <w:color w:val="auto"/>
                <w:kern w:val="0"/>
              </w:rPr>
            </w:pPr>
            <w:r>
              <w:rPr>
                <w:color w:val="auto"/>
                <w:kern w:val="0"/>
              </w:rPr>
              <w:t>AE</w:t>
            </w:r>
            <w:r>
              <w:rPr>
                <w:color w:val="auto"/>
                <w:kern w:val="0"/>
                <w:vertAlign w:val="subscript"/>
              </w:rPr>
              <w:t>工燃</w:t>
            </w:r>
            <w:r>
              <w:rPr>
                <w:color w:val="auto"/>
                <w:kern w:val="0"/>
              </w:rPr>
              <w:t>=∑（AD</w:t>
            </w:r>
            <w:r>
              <w:rPr>
                <w:color w:val="auto"/>
                <w:kern w:val="0"/>
                <w:vertAlign w:val="subscript"/>
              </w:rPr>
              <w:t>i燃料</w:t>
            </w:r>
            <w:r>
              <w:rPr>
                <w:color w:val="auto"/>
                <w:kern w:val="0"/>
              </w:rPr>
              <w:t>*EF</w:t>
            </w:r>
            <w:r>
              <w:rPr>
                <w:color w:val="auto"/>
                <w:kern w:val="0"/>
                <w:vertAlign w:val="subscript"/>
              </w:rPr>
              <w:t>i燃料</w:t>
            </w:r>
            <w:r>
              <w:rPr>
                <w:color w:val="auto"/>
                <w:kern w:val="0"/>
              </w:rPr>
              <w:t>）（4）</w:t>
            </w:r>
          </w:p>
          <w:p w14:paraId="3B068BB8">
            <w:pPr>
              <w:pStyle w:val="23"/>
              <w:ind w:firstLine="420" w:firstLineChars="200"/>
              <w:rPr>
                <w:color w:val="auto"/>
                <w:sz w:val="21"/>
                <w:szCs w:val="21"/>
              </w:rPr>
            </w:pPr>
            <w:r>
              <w:rPr>
                <w:color w:val="auto"/>
                <w:sz w:val="21"/>
                <w:szCs w:val="21"/>
              </w:rPr>
              <w:t>式中：</w:t>
            </w:r>
          </w:p>
          <w:p w14:paraId="0C75230C">
            <w:pPr>
              <w:pStyle w:val="23"/>
              <w:ind w:firstLine="420" w:firstLineChars="200"/>
              <w:rPr>
                <w:color w:val="auto"/>
                <w:sz w:val="21"/>
                <w:szCs w:val="21"/>
              </w:rPr>
            </w:pPr>
            <w:r>
              <w:rPr>
                <w:color w:val="auto"/>
                <w:sz w:val="21"/>
                <w:szCs w:val="21"/>
              </w:rPr>
              <w:t>i——燃料种类；</w:t>
            </w:r>
          </w:p>
          <w:p w14:paraId="0EE684AE">
            <w:pPr>
              <w:pStyle w:val="23"/>
              <w:ind w:firstLine="420" w:firstLineChars="200"/>
              <w:rPr>
                <w:color w:val="auto"/>
                <w:sz w:val="21"/>
                <w:szCs w:val="21"/>
              </w:rPr>
            </w:pPr>
            <w:r>
              <w:rPr>
                <w:color w:val="auto"/>
                <w:sz w:val="21"/>
                <w:szCs w:val="21"/>
              </w:rPr>
              <w:t>AD</w:t>
            </w:r>
            <w:r>
              <w:rPr>
                <w:color w:val="auto"/>
                <w:sz w:val="21"/>
                <w:szCs w:val="21"/>
                <w:vertAlign w:val="subscript"/>
              </w:rPr>
              <w:t>i燃料</w:t>
            </w:r>
            <w:r>
              <w:rPr>
                <w:color w:val="auto"/>
                <w:sz w:val="21"/>
                <w:szCs w:val="21"/>
              </w:rPr>
              <w:t>——i燃料燃烧消耗量（t或kNm</w:t>
            </w:r>
            <w:r>
              <w:rPr>
                <w:color w:val="auto"/>
                <w:sz w:val="21"/>
                <w:szCs w:val="21"/>
                <w:vertAlign w:val="superscript"/>
              </w:rPr>
              <w:t>3</w:t>
            </w:r>
            <w:r>
              <w:rPr>
                <w:color w:val="auto"/>
                <w:sz w:val="21"/>
                <w:szCs w:val="21"/>
              </w:rPr>
              <w:t>）</w:t>
            </w:r>
          </w:p>
          <w:p w14:paraId="300EC989">
            <w:pPr>
              <w:pStyle w:val="23"/>
              <w:ind w:firstLine="420" w:firstLineChars="200"/>
              <w:rPr>
                <w:color w:val="auto"/>
                <w:sz w:val="21"/>
                <w:szCs w:val="21"/>
              </w:rPr>
            </w:pPr>
            <w:r>
              <w:rPr>
                <w:color w:val="auto"/>
                <w:sz w:val="21"/>
                <w:szCs w:val="21"/>
              </w:rPr>
              <w:t>EF</w:t>
            </w:r>
            <w:r>
              <w:rPr>
                <w:color w:val="auto"/>
                <w:sz w:val="21"/>
                <w:szCs w:val="21"/>
                <w:vertAlign w:val="subscript"/>
              </w:rPr>
              <w:t>i燃料</w:t>
            </w:r>
            <w:r>
              <w:rPr>
                <w:color w:val="auto"/>
                <w:sz w:val="21"/>
                <w:szCs w:val="21"/>
              </w:rPr>
              <w:t>——i 燃料燃烧二氧化碳排放因子（tCO</w:t>
            </w:r>
            <w:r>
              <w:rPr>
                <w:color w:val="auto"/>
                <w:sz w:val="21"/>
                <w:szCs w:val="21"/>
                <w:vertAlign w:val="subscript"/>
              </w:rPr>
              <w:t>2e</w:t>
            </w:r>
            <w:r>
              <w:rPr>
                <w:color w:val="auto"/>
                <w:sz w:val="21"/>
                <w:szCs w:val="21"/>
              </w:rPr>
              <w:t>/kg或tCO</w:t>
            </w:r>
            <w:r>
              <w:rPr>
                <w:color w:val="auto"/>
                <w:sz w:val="21"/>
                <w:szCs w:val="21"/>
                <w:vertAlign w:val="subscript"/>
              </w:rPr>
              <w:t>2e</w:t>
            </w:r>
            <w:r>
              <w:rPr>
                <w:color w:val="auto"/>
                <w:sz w:val="21"/>
                <w:szCs w:val="21"/>
              </w:rPr>
              <w:t>/kNm</w:t>
            </w:r>
            <w:r>
              <w:rPr>
                <w:color w:val="auto"/>
                <w:sz w:val="21"/>
                <w:szCs w:val="21"/>
                <w:vertAlign w:val="superscript"/>
              </w:rPr>
              <w:t>3</w:t>
            </w:r>
            <w:r>
              <w:rPr>
                <w:color w:val="auto"/>
                <w:sz w:val="21"/>
                <w:szCs w:val="21"/>
              </w:rPr>
              <w:t>）</w:t>
            </w:r>
          </w:p>
          <w:p w14:paraId="02F60EAE">
            <w:pPr>
              <w:pStyle w:val="23"/>
              <w:ind w:firstLine="420" w:firstLineChars="200"/>
              <w:rPr>
                <w:color w:val="auto"/>
                <w:sz w:val="21"/>
                <w:szCs w:val="21"/>
              </w:rPr>
            </w:pPr>
            <w:r>
              <w:rPr>
                <w:rFonts w:hint="eastAsia"/>
                <w:color w:val="auto"/>
                <w:sz w:val="21"/>
                <w:szCs w:val="21"/>
              </w:rPr>
              <w:t>2）</w:t>
            </w:r>
            <w:r>
              <w:rPr>
                <w:color w:val="auto"/>
                <w:sz w:val="21"/>
                <w:szCs w:val="21"/>
              </w:rPr>
              <w:t>本项目不涉及工业生产过程排放量（AE</w:t>
            </w:r>
            <w:r>
              <w:rPr>
                <w:color w:val="auto"/>
                <w:sz w:val="21"/>
                <w:szCs w:val="21"/>
                <w:vertAlign w:val="subscript"/>
              </w:rPr>
              <w:t>工业生产过程</w:t>
            </w:r>
            <w:r>
              <w:rPr>
                <w:color w:val="auto"/>
                <w:sz w:val="21"/>
                <w:szCs w:val="21"/>
              </w:rPr>
              <w:t>）</w:t>
            </w:r>
          </w:p>
          <w:p w14:paraId="32562AD0">
            <w:pPr>
              <w:adjustRightInd w:val="0"/>
              <w:snapToGrid w:val="0"/>
              <w:spacing w:line="360" w:lineRule="auto"/>
              <w:ind w:firstLine="420" w:firstLineChars="200"/>
              <w:rPr>
                <w:color w:val="auto"/>
                <w:kern w:val="0"/>
              </w:rPr>
            </w:pPr>
            <w:r>
              <w:rPr>
                <w:rFonts w:hint="eastAsia"/>
                <w:color w:val="auto"/>
                <w:kern w:val="0"/>
              </w:rPr>
              <w:t>3）</w:t>
            </w:r>
            <w:r>
              <w:rPr>
                <w:color w:val="auto"/>
                <w:kern w:val="0"/>
              </w:rPr>
              <w:t>净调入电力和热力消耗碳排放总量（AE净调入电力和热力）计算方法见公式（5）</w:t>
            </w:r>
          </w:p>
          <w:p w14:paraId="0E8AF6C2">
            <w:pPr>
              <w:adjustRightInd w:val="0"/>
              <w:snapToGrid w:val="0"/>
              <w:spacing w:line="360" w:lineRule="auto"/>
              <w:ind w:firstLine="420" w:firstLineChars="200"/>
              <w:jc w:val="center"/>
              <w:rPr>
                <w:color w:val="auto"/>
                <w:kern w:val="0"/>
              </w:rPr>
            </w:pPr>
            <w:r>
              <w:rPr>
                <w:color w:val="auto"/>
                <w:kern w:val="0"/>
              </w:rPr>
              <w:t>AE</w:t>
            </w:r>
            <w:r>
              <w:rPr>
                <w:color w:val="auto"/>
                <w:kern w:val="0"/>
                <w:vertAlign w:val="subscript"/>
              </w:rPr>
              <w:t>净调入电力和热力</w:t>
            </w:r>
            <w:r>
              <w:rPr>
                <w:color w:val="auto"/>
                <w:kern w:val="0"/>
              </w:rPr>
              <w:t>=AE</w:t>
            </w:r>
            <w:r>
              <w:rPr>
                <w:color w:val="auto"/>
                <w:kern w:val="0"/>
                <w:vertAlign w:val="subscript"/>
              </w:rPr>
              <w:t>净调入电力</w:t>
            </w:r>
            <w:r>
              <w:rPr>
                <w:color w:val="auto"/>
                <w:kern w:val="0"/>
              </w:rPr>
              <w:t>+AE</w:t>
            </w:r>
            <w:r>
              <w:rPr>
                <w:color w:val="auto"/>
                <w:kern w:val="0"/>
                <w:vertAlign w:val="subscript"/>
              </w:rPr>
              <w:t>净调入热力</w:t>
            </w:r>
            <w:r>
              <w:rPr>
                <w:color w:val="auto"/>
                <w:kern w:val="0"/>
              </w:rPr>
              <w:t>（5）</w:t>
            </w:r>
          </w:p>
          <w:p w14:paraId="7C82D02A">
            <w:pPr>
              <w:pStyle w:val="23"/>
              <w:ind w:firstLine="420" w:firstLineChars="200"/>
              <w:rPr>
                <w:color w:val="auto"/>
                <w:sz w:val="21"/>
                <w:szCs w:val="21"/>
              </w:rPr>
            </w:pPr>
            <w:r>
              <w:rPr>
                <w:color w:val="auto"/>
                <w:sz w:val="21"/>
                <w:szCs w:val="21"/>
              </w:rPr>
              <w:t>式中：</w:t>
            </w:r>
          </w:p>
          <w:p w14:paraId="50AD422D">
            <w:pPr>
              <w:adjustRightInd w:val="0"/>
              <w:snapToGrid w:val="0"/>
              <w:spacing w:line="360" w:lineRule="auto"/>
              <w:ind w:firstLine="420" w:firstLineChars="200"/>
              <w:rPr>
                <w:color w:val="auto"/>
                <w:kern w:val="0"/>
              </w:rPr>
            </w:pPr>
            <w:r>
              <w:rPr>
                <w:color w:val="auto"/>
                <w:kern w:val="0"/>
              </w:rPr>
              <w:t>AE</w:t>
            </w:r>
            <w:r>
              <w:rPr>
                <w:color w:val="auto"/>
                <w:kern w:val="0"/>
                <w:vertAlign w:val="subscript"/>
              </w:rPr>
              <w:t>净调入电力</w:t>
            </w:r>
            <w:r>
              <w:rPr>
                <w:color w:val="auto"/>
                <w:kern w:val="0"/>
              </w:rPr>
              <w:t>——净调入电力消耗碳排放量（tCO</w:t>
            </w:r>
            <w:r>
              <w:rPr>
                <w:color w:val="auto"/>
                <w:kern w:val="0"/>
                <w:vertAlign w:val="subscript"/>
              </w:rPr>
              <w:t>2e</w:t>
            </w:r>
            <w:r>
              <w:rPr>
                <w:color w:val="auto"/>
                <w:kern w:val="0"/>
              </w:rPr>
              <w:t>）</w:t>
            </w:r>
          </w:p>
          <w:p w14:paraId="645474AD">
            <w:pPr>
              <w:adjustRightInd w:val="0"/>
              <w:snapToGrid w:val="0"/>
              <w:spacing w:line="360" w:lineRule="auto"/>
              <w:ind w:firstLine="420" w:firstLineChars="200"/>
              <w:rPr>
                <w:color w:val="auto"/>
                <w:kern w:val="0"/>
              </w:rPr>
            </w:pPr>
            <w:r>
              <w:rPr>
                <w:color w:val="auto"/>
                <w:kern w:val="0"/>
              </w:rPr>
              <w:t>AE</w:t>
            </w:r>
            <w:r>
              <w:rPr>
                <w:color w:val="auto"/>
                <w:kern w:val="0"/>
                <w:vertAlign w:val="subscript"/>
              </w:rPr>
              <w:t>净调入热力</w:t>
            </w:r>
            <w:r>
              <w:rPr>
                <w:color w:val="auto"/>
                <w:kern w:val="0"/>
              </w:rPr>
              <w:t>——净调入热力消耗碳排放量（tCO</w:t>
            </w:r>
            <w:r>
              <w:rPr>
                <w:color w:val="auto"/>
                <w:kern w:val="0"/>
                <w:vertAlign w:val="subscript"/>
              </w:rPr>
              <w:t>2e</w:t>
            </w:r>
            <w:r>
              <w:rPr>
                <w:color w:val="auto"/>
                <w:kern w:val="0"/>
              </w:rPr>
              <w:t>）</w:t>
            </w:r>
          </w:p>
          <w:p w14:paraId="7F6B64F2">
            <w:pPr>
              <w:pStyle w:val="23"/>
              <w:ind w:firstLine="420" w:firstLineChars="200"/>
              <w:rPr>
                <w:color w:val="auto"/>
                <w:sz w:val="21"/>
                <w:szCs w:val="21"/>
              </w:rPr>
            </w:pPr>
            <w:r>
              <w:rPr>
                <w:color w:val="auto"/>
                <w:sz w:val="21"/>
                <w:szCs w:val="21"/>
              </w:rPr>
              <w:t>其中，净调入电力消耗碳排放量（AE净调入电力）计算方法见公式（6）</w:t>
            </w:r>
          </w:p>
          <w:p w14:paraId="0DC19C4E">
            <w:pPr>
              <w:adjustRightInd w:val="0"/>
              <w:snapToGrid w:val="0"/>
              <w:spacing w:line="360" w:lineRule="auto"/>
              <w:ind w:firstLine="420" w:firstLineChars="200"/>
              <w:jc w:val="center"/>
              <w:rPr>
                <w:color w:val="auto"/>
                <w:kern w:val="0"/>
              </w:rPr>
            </w:pPr>
            <w:r>
              <w:rPr>
                <w:color w:val="auto"/>
                <w:kern w:val="0"/>
              </w:rPr>
              <w:t>AE</w:t>
            </w:r>
            <w:r>
              <w:rPr>
                <w:color w:val="auto"/>
                <w:kern w:val="0"/>
                <w:vertAlign w:val="subscript"/>
              </w:rPr>
              <w:t>净调入电力</w:t>
            </w:r>
            <w:r>
              <w:rPr>
                <w:color w:val="auto"/>
                <w:kern w:val="0"/>
              </w:rPr>
              <w:t>=AD</w:t>
            </w:r>
            <w:r>
              <w:rPr>
                <w:color w:val="auto"/>
                <w:kern w:val="0"/>
                <w:vertAlign w:val="subscript"/>
              </w:rPr>
              <w:t>净调入电量</w:t>
            </w:r>
            <w:r>
              <w:rPr>
                <w:color w:val="auto"/>
                <w:kern w:val="0"/>
              </w:rPr>
              <w:t>*EF</w:t>
            </w:r>
            <w:r>
              <w:rPr>
                <w:color w:val="auto"/>
                <w:kern w:val="0"/>
                <w:vertAlign w:val="subscript"/>
              </w:rPr>
              <w:t>电力</w:t>
            </w:r>
            <w:r>
              <w:rPr>
                <w:color w:val="auto"/>
                <w:kern w:val="0"/>
              </w:rPr>
              <w:t>（6）</w:t>
            </w:r>
          </w:p>
          <w:p w14:paraId="58CA4A4F">
            <w:pPr>
              <w:pStyle w:val="23"/>
              <w:ind w:firstLine="420" w:firstLineChars="200"/>
              <w:rPr>
                <w:color w:val="auto"/>
                <w:sz w:val="21"/>
                <w:szCs w:val="21"/>
              </w:rPr>
            </w:pPr>
            <w:r>
              <w:rPr>
                <w:color w:val="auto"/>
                <w:sz w:val="21"/>
                <w:szCs w:val="21"/>
              </w:rPr>
              <w:t>式中：</w:t>
            </w:r>
          </w:p>
          <w:p w14:paraId="5A2CACC2">
            <w:pPr>
              <w:adjustRightInd w:val="0"/>
              <w:snapToGrid w:val="0"/>
              <w:spacing w:line="360" w:lineRule="auto"/>
              <w:ind w:firstLine="420" w:firstLineChars="200"/>
              <w:rPr>
                <w:color w:val="auto"/>
                <w:kern w:val="0"/>
              </w:rPr>
            </w:pPr>
            <w:r>
              <w:rPr>
                <w:color w:val="auto"/>
                <w:kern w:val="0"/>
              </w:rPr>
              <w:t>AD</w:t>
            </w:r>
            <w:r>
              <w:rPr>
                <w:color w:val="auto"/>
                <w:kern w:val="0"/>
                <w:vertAlign w:val="subscript"/>
              </w:rPr>
              <w:t>净调入电量</w:t>
            </w:r>
            <w:r>
              <w:rPr>
                <w:color w:val="auto"/>
                <w:kern w:val="0"/>
              </w:rPr>
              <w:t>——净调入电力消耗量（MWh）；</w:t>
            </w:r>
          </w:p>
          <w:p w14:paraId="182AC96F">
            <w:pPr>
              <w:pStyle w:val="23"/>
              <w:ind w:firstLine="420" w:firstLineChars="200"/>
              <w:rPr>
                <w:color w:val="auto"/>
                <w:sz w:val="21"/>
                <w:szCs w:val="21"/>
              </w:rPr>
            </w:pPr>
            <w:r>
              <w:rPr>
                <w:color w:val="auto"/>
                <w:sz w:val="21"/>
                <w:szCs w:val="21"/>
              </w:rPr>
              <w:t>EF</w:t>
            </w:r>
            <w:r>
              <w:rPr>
                <w:color w:val="auto"/>
                <w:sz w:val="21"/>
                <w:szCs w:val="21"/>
                <w:vertAlign w:val="subscript"/>
              </w:rPr>
              <w:t>电力</w:t>
            </w:r>
            <w:r>
              <w:rPr>
                <w:color w:val="auto"/>
                <w:sz w:val="21"/>
                <w:szCs w:val="21"/>
              </w:rPr>
              <w:t>——电力排放因子（tCO</w:t>
            </w:r>
            <w:r>
              <w:rPr>
                <w:color w:val="auto"/>
                <w:sz w:val="21"/>
                <w:szCs w:val="21"/>
                <w:vertAlign w:val="subscript"/>
              </w:rPr>
              <w:t>2e</w:t>
            </w:r>
            <w:r>
              <w:rPr>
                <w:color w:val="auto"/>
                <w:sz w:val="21"/>
                <w:szCs w:val="21"/>
              </w:rPr>
              <w:t>/MWh），为0.</w:t>
            </w:r>
            <w:r>
              <w:rPr>
                <w:rFonts w:hint="eastAsia"/>
                <w:color w:val="auto"/>
                <w:sz w:val="21"/>
                <w:szCs w:val="21"/>
              </w:rPr>
              <w:t>5703</w:t>
            </w:r>
            <w:r>
              <w:rPr>
                <w:color w:val="auto"/>
                <w:sz w:val="21"/>
                <w:szCs w:val="21"/>
              </w:rPr>
              <w:t>tCO</w:t>
            </w:r>
            <w:r>
              <w:rPr>
                <w:color w:val="auto"/>
                <w:sz w:val="21"/>
                <w:szCs w:val="21"/>
                <w:vertAlign w:val="subscript"/>
              </w:rPr>
              <w:t>2e</w:t>
            </w:r>
            <w:r>
              <w:rPr>
                <w:color w:val="auto"/>
                <w:sz w:val="21"/>
                <w:szCs w:val="21"/>
              </w:rPr>
              <w:t>/MWh。其中，净调入热力消耗碳排放量（AE</w:t>
            </w:r>
            <w:r>
              <w:rPr>
                <w:color w:val="auto"/>
                <w:sz w:val="21"/>
                <w:szCs w:val="21"/>
                <w:vertAlign w:val="subscript"/>
              </w:rPr>
              <w:t>净调入热力</w:t>
            </w:r>
            <w:r>
              <w:rPr>
                <w:color w:val="auto"/>
                <w:sz w:val="21"/>
                <w:szCs w:val="21"/>
              </w:rPr>
              <w:t>）计算方法见公式（7）：</w:t>
            </w:r>
          </w:p>
          <w:p w14:paraId="00D1AA28">
            <w:pPr>
              <w:adjustRightInd w:val="0"/>
              <w:snapToGrid w:val="0"/>
              <w:spacing w:line="360" w:lineRule="auto"/>
              <w:ind w:firstLine="420" w:firstLineChars="200"/>
              <w:rPr>
                <w:color w:val="auto"/>
                <w:kern w:val="0"/>
              </w:rPr>
            </w:pPr>
            <w:r>
              <w:rPr>
                <w:color w:val="auto"/>
                <w:kern w:val="0"/>
              </w:rPr>
              <w:t>AE</w:t>
            </w:r>
            <w:r>
              <w:rPr>
                <w:color w:val="auto"/>
                <w:kern w:val="0"/>
                <w:vertAlign w:val="subscript"/>
              </w:rPr>
              <w:t>净调入热力</w:t>
            </w:r>
            <w:r>
              <w:rPr>
                <w:color w:val="auto"/>
                <w:kern w:val="0"/>
              </w:rPr>
              <w:t>=AD</w:t>
            </w:r>
            <w:r>
              <w:rPr>
                <w:color w:val="auto"/>
                <w:kern w:val="0"/>
                <w:vertAlign w:val="subscript"/>
              </w:rPr>
              <w:t>净调入热力消耗量</w:t>
            </w:r>
            <w:r>
              <w:rPr>
                <w:color w:val="auto"/>
                <w:kern w:val="0"/>
              </w:rPr>
              <w:t>*EF</w:t>
            </w:r>
            <w:r>
              <w:rPr>
                <w:color w:val="auto"/>
                <w:kern w:val="0"/>
                <w:vertAlign w:val="subscript"/>
              </w:rPr>
              <w:t>热力</w:t>
            </w:r>
            <w:r>
              <w:rPr>
                <w:color w:val="auto"/>
                <w:kern w:val="0"/>
              </w:rPr>
              <w:t>（7）</w:t>
            </w:r>
          </w:p>
          <w:p w14:paraId="028ABB69">
            <w:pPr>
              <w:pStyle w:val="23"/>
              <w:ind w:firstLine="420" w:firstLineChars="200"/>
              <w:rPr>
                <w:color w:val="auto"/>
                <w:sz w:val="21"/>
                <w:szCs w:val="21"/>
              </w:rPr>
            </w:pPr>
            <w:r>
              <w:rPr>
                <w:color w:val="auto"/>
                <w:sz w:val="21"/>
                <w:szCs w:val="21"/>
              </w:rPr>
              <w:t>式中：</w:t>
            </w:r>
          </w:p>
          <w:p w14:paraId="179E1514">
            <w:pPr>
              <w:adjustRightInd w:val="0"/>
              <w:snapToGrid w:val="0"/>
              <w:spacing w:line="360" w:lineRule="auto"/>
              <w:ind w:firstLine="420" w:firstLineChars="200"/>
              <w:rPr>
                <w:color w:val="auto"/>
                <w:kern w:val="0"/>
              </w:rPr>
            </w:pPr>
            <w:r>
              <w:rPr>
                <w:color w:val="auto"/>
                <w:kern w:val="0"/>
              </w:rPr>
              <w:t>AD</w:t>
            </w:r>
            <w:r>
              <w:rPr>
                <w:color w:val="auto"/>
                <w:kern w:val="0"/>
                <w:vertAlign w:val="subscript"/>
              </w:rPr>
              <w:t>净调入热力消耗量</w:t>
            </w:r>
            <w:r>
              <w:rPr>
                <w:color w:val="auto"/>
                <w:kern w:val="0"/>
              </w:rPr>
              <w:t>——净调入热力消耗量（Gj）</w:t>
            </w:r>
          </w:p>
          <w:p w14:paraId="1B9C8E22">
            <w:pPr>
              <w:pStyle w:val="23"/>
              <w:ind w:firstLine="420" w:firstLineChars="200"/>
              <w:rPr>
                <w:color w:val="auto"/>
                <w:sz w:val="21"/>
                <w:szCs w:val="21"/>
              </w:rPr>
            </w:pPr>
            <w:r>
              <w:rPr>
                <w:color w:val="auto"/>
                <w:sz w:val="21"/>
                <w:szCs w:val="21"/>
              </w:rPr>
              <w:t>EF</w:t>
            </w:r>
            <w:r>
              <w:rPr>
                <w:color w:val="auto"/>
                <w:sz w:val="21"/>
                <w:szCs w:val="21"/>
                <w:vertAlign w:val="subscript"/>
              </w:rPr>
              <w:t>热力</w:t>
            </w:r>
            <w:r>
              <w:rPr>
                <w:color w:val="auto"/>
                <w:sz w:val="21"/>
                <w:szCs w:val="21"/>
              </w:rPr>
              <w:t>——热力排放因子（tCO</w:t>
            </w:r>
            <w:r>
              <w:rPr>
                <w:color w:val="auto"/>
                <w:sz w:val="21"/>
                <w:szCs w:val="21"/>
                <w:vertAlign w:val="subscript"/>
              </w:rPr>
              <w:t>2e</w:t>
            </w:r>
            <w:r>
              <w:rPr>
                <w:color w:val="auto"/>
                <w:sz w:val="21"/>
                <w:szCs w:val="21"/>
              </w:rPr>
              <w:t>/Gj），为0.11tCO</w:t>
            </w:r>
            <w:r>
              <w:rPr>
                <w:color w:val="auto"/>
                <w:sz w:val="21"/>
                <w:szCs w:val="21"/>
                <w:vertAlign w:val="subscript"/>
              </w:rPr>
              <w:t>2e</w:t>
            </w:r>
            <w:r>
              <w:rPr>
                <w:color w:val="auto"/>
                <w:sz w:val="21"/>
                <w:szCs w:val="21"/>
              </w:rPr>
              <w:t>/Gj。</w:t>
            </w:r>
          </w:p>
          <w:p w14:paraId="7896BB6C">
            <w:pPr>
              <w:autoSpaceDE w:val="0"/>
              <w:autoSpaceDN w:val="0"/>
              <w:adjustRightInd w:val="0"/>
              <w:snapToGrid w:val="0"/>
              <w:jc w:val="center"/>
              <w:rPr>
                <w:b/>
                <w:bCs/>
                <w:color w:val="auto"/>
                <w:kern w:val="0"/>
              </w:rPr>
            </w:pPr>
            <w:bookmarkStart w:id="18" w:name="_Toc68895592"/>
            <w:bookmarkStart w:id="19" w:name="_Toc71671776"/>
            <w:r>
              <w:rPr>
                <w:b/>
                <w:bCs/>
                <w:color w:val="auto"/>
                <w:kern w:val="0"/>
              </w:rPr>
              <w:t>表4-</w:t>
            </w:r>
            <w:r>
              <w:rPr>
                <w:rFonts w:hint="eastAsia"/>
                <w:b/>
                <w:bCs/>
                <w:color w:val="auto"/>
                <w:kern w:val="0"/>
                <w:lang w:val="en-US" w:eastAsia="zh-CN"/>
              </w:rPr>
              <w:t>33</w:t>
            </w:r>
            <w:r>
              <w:rPr>
                <w:rFonts w:hint="eastAsia"/>
                <w:b/>
                <w:bCs/>
                <w:color w:val="auto"/>
                <w:kern w:val="0"/>
              </w:rPr>
              <w:t xml:space="preserve">  </w:t>
            </w:r>
            <w:r>
              <w:rPr>
                <w:b/>
                <w:bCs/>
                <w:color w:val="auto"/>
                <w:kern w:val="0"/>
              </w:rPr>
              <w:t xml:space="preserve"> 营运期使用的材料表</w:t>
            </w:r>
            <w:bookmarkEnd w:id="18"/>
            <w:bookmarkEnd w:id="19"/>
          </w:p>
          <w:tbl>
            <w:tblPr>
              <w:tblStyle w:val="59"/>
              <w:tblW w:w="4998" w:type="pct"/>
              <w:tblInd w:w="5"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4132"/>
              <w:gridCol w:w="4725"/>
            </w:tblGrid>
            <w:tr w14:paraId="1023CBC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332" w:type="pct"/>
                  <w:vAlign w:val="center"/>
                </w:tcPr>
                <w:p w14:paraId="459807E8">
                  <w:pPr>
                    <w:pStyle w:val="635"/>
                    <w:adjustRightInd w:val="0"/>
                    <w:snapToGrid w:val="0"/>
                    <w:jc w:val="center"/>
                    <w:rPr>
                      <w:rFonts w:ascii="Times New Roman" w:hAnsi="Times New Roman"/>
                      <w:b/>
                      <w:bCs/>
                      <w:color w:val="auto"/>
                      <w:sz w:val="21"/>
                      <w:szCs w:val="21"/>
                    </w:rPr>
                  </w:pPr>
                  <w:r>
                    <w:rPr>
                      <w:rFonts w:ascii="Times New Roman" w:hAnsi="Times New Roman"/>
                      <w:b/>
                      <w:bCs/>
                      <w:color w:val="auto"/>
                      <w:sz w:val="21"/>
                      <w:szCs w:val="21"/>
                    </w:rPr>
                    <w:t>类别</w:t>
                  </w:r>
                </w:p>
              </w:tc>
              <w:tc>
                <w:tcPr>
                  <w:tcW w:w="2667" w:type="pct"/>
                  <w:vAlign w:val="center"/>
                </w:tcPr>
                <w:p w14:paraId="5FD45CEE">
                  <w:pPr>
                    <w:pStyle w:val="635"/>
                    <w:adjustRightInd w:val="0"/>
                    <w:snapToGrid w:val="0"/>
                    <w:jc w:val="center"/>
                    <w:rPr>
                      <w:rFonts w:ascii="Times New Roman" w:hAnsi="Times New Roman"/>
                      <w:b/>
                      <w:bCs/>
                      <w:color w:val="auto"/>
                      <w:sz w:val="21"/>
                      <w:szCs w:val="21"/>
                    </w:rPr>
                  </w:pPr>
                  <w:r>
                    <w:rPr>
                      <w:rFonts w:ascii="Times New Roman" w:hAnsi="Times New Roman"/>
                      <w:b/>
                      <w:bCs/>
                      <w:color w:val="auto"/>
                      <w:sz w:val="21"/>
                      <w:szCs w:val="21"/>
                    </w:rPr>
                    <w:t>使用量</w:t>
                  </w:r>
                </w:p>
              </w:tc>
            </w:tr>
            <w:tr w14:paraId="6A1F032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332" w:type="pct"/>
                  <w:vAlign w:val="center"/>
                </w:tcPr>
                <w:p w14:paraId="115627E6">
                  <w:pPr>
                    <w:pStyle w:val="635"/>
                    <w:adjustRightInd w:val="0"/>
                    <w:snapToGrid w:val="0"/>
                    <w:jc w:val="center"/>
                    <w:rPr>
                      <w:rFonts w:ascii="Times New Roman" w:hAnsi="Times New Roman"/>
                      <w:color w:val="auto"/>
                      <w:sz w:val="21"/>
                      <w:szCs w:val="21"/>
                    </w:rPr>
                  </w:pPr>
                  <w:r>
                    <w:rPr>
                      <w:rFonts w:ascii="Times New Roman" w:hAnsi="Times New Roman"/>
                      <w:color w:val="auto"/>
                      <w:sz w:val="21"/>
                      <w:szCs w:val="21"/>
                    </w:rPr>
                    <w:t>电力使用量</w:t>
                  </w:r>
                </w:p>
              </w:tc>
              <w:tc>
                <w:tcPr>
                  <w:tcW w:w="2667" w:type="pct"/>
                  <w:vAlign w:val="center"/>
                </w:tcPr>
                <w:p w14:paraId="095027C7">
                  <w:pPr>
                    <w:pStyle w:val="635"/>
                    <w:adjustRightInd w:val="0"/>
                    <w:snapToGrid w:val="0"/>
                    <w:jc w:val="center"/>
                    <w:rPr>
                      <w:rFonts w:ascii="Times New Roman" w:hAnsi="Times New Roman"/>
                      <w:color w:val="auto"/>
                      <w:sz w:val="21"/>
                      <w:szCs w:val="21"/>
                    </w:rPr>
                  </w:pPr>
                  <w:r>
                    <w:rPr>
                      <w:rFonts w:hint="eastAsia" w:ascii="Times New Roman" w:hAnsi="Times New Roman"/>
                      <w:color w:val="auto"/>
                      <w:sz w:val="21"/>
                      <w:szCs w:val="21"/>
                      <w:lang w:val="en-US" w:eastAsia="zh-CN"/>
                    </w:rPr>
                    <w:t>600</w:t>
                  </w:r>
                  <w:r>
                    <w:rPr>
                      <w:rFonts w:ascii="Times New Roman" w:hAnsi="Times New Roman"/>
                      <w:color w:val="auto"/>
                      <w:sz w:val="21"/>
                      <w:szCs w:val="21"/>
                    </w:rPr>
                    <w:t>MWh</w:t>
                  </w:r>
                </w:p>
              </w:tc>
            </w:tr>
          </w:tbl>
          <w:p w14:paraId="65951E85">
            <w:pPr>
              <w:pStyle w:val="23"/>
              <w:widowControl w:val="0"/>
              <w:ind w:firstLine="420" w:firstLineChars="200"/>
              <w:rPr>
                <w:color w:val="auto"/>
                <w:sz w:val="21"/>
                <w:szCs w:val="21"/>
              </w:rPr>
            </w:pPr>
            <w:r>
              <w:rPr>
                <w:color w:val="auto"/>
                <w:sz w:val="21"/>
                <w:szCs w:val="21"/>
              </w:rPr>
              <w:t>本项目碳排放总量如下：</w:t>
            </w:r>
          </w:p>
          <w:p w14:paraId="349A4854">
            <w:pPr>
              <w:pStyle w:val="23"/>
              <w:ind w:firstLine="420" w:firstLineChars="200"/>
              <w:rPr>
                <w:color w:val="auto"/>
                <w:sz w:val="21"/>
                <w:szCs w:val="21"/>
              </w:rPr>
            </w:pPr>
            <w:r>
              <w:rPr>
                <w:color w:val="auto"/>
                <w:sz w:val="21"/>
                <w:szCs w:val="21"/>
              </w:rPr>
              <w:t>AE</w:t>
            </w:r>
            <w:r>
              <w:rPr>
                <w:color w:val="auto"/>
                <w:sz w:val="21"/>
                <w:szCs w:val="21"/>
                <w:vertAlign w:val="subscript"/>
              </w:rPr>
              <w:t>电燃</w:t>
            </w:r>
            <w:r>
              <w:rPr>
                <w:color w:val="auto"/>
                <w:sz w:val="21"/>
                <w:szCs w:val="21"/>
              </w:rPr>
              <w:t>=0</w:t>
            </w:r>
          </w:p>
          <w:p w14:paraId="7D5E3AE8">
            <w:pPr>
              <w:pStyle w:val="23"/>
              <w:ind w:firstLine="420" w:firstLineChars="200"/>
              <w:rPr>
                <w:color w:val="auto"/>
                <w:sz w:val="21"/>
                <w:szCs w:val="21"/>
              </w:rPr>
            </w:pPr>
            <w:r>
              <w:rPr>
                <w:color w:val="auto"/>
                <w:sz w:val="21"/>
                <w:szCs w:val="21"/>
              </w:rPr>
              <w:t>AE</w:t>
            </w:r>
            <w:r>
              <w:rPr>
                <w:color w:val="auto"/>
                <w:sz w:val="21"/>
                <w:szCs w:val="21"/>
                <w:vertAlign w:val="subscript"/>
              </w:rPr>
              <w:t>工业生产过程</w:t>
            </w:r>
            <w:r>
              <w:rPr>
                <w:color w:val="auto"/>
                <w:sz w:val="21"/>
                <w:szCs w:val="21"/>
              </w:rPr>
              <w:t>=0</w:t>
            </w:r>
          </w:p>
          <w:p w14:paraId="09D0C851">
            <w:pPr>
              <w:pStyle w:val="23"/>
              <w:ind w:firstLine="420" w:firstLineChars="200"/>
              <w:rPr>
                <w:color w:val="auto"/>
                <w:sz w:val="21"/>
                <w:szCs w:val="21"/>
              </w:rPr>
            </w:pPr>
            <w:r>
              <w:rPr>
                <w:color w:val="auto"/>
                <w:sz w:val="21"/>
                <w:szCs w:val="21"/>
              </w:rPr>
              <w:t>AE</w:t>
            </w:r>
            <w:r>
              <w:rPr>
                <w:color w:val="auto"/>
                <w:sz w:val="21"/>
                <w:szCs w:val="21"/>
                <w:vertAlign w:val="subscript"/>
              </w:rPr>
              <w:t>工燃</w:t>
            </w:r>
            <w:r>
              <w:rPr>
                <w:color w:val="auto"/>
                <w:sz w:val="21"/>
                <w:szCs w:val="21"/>
              </w:rPr>
              <w:t>=0</w:t>
            </w:r>
          </w:p>
          <w:p w14:paraId="47AC9DF6">
            <w:pPr>
              <w:pStyle w:val="23"/>
              <w:ind w:firstLine="420" w:firstLineChars="200"/>
              <w:rPr>
                <w:color w:val="auto"/>
                <w:sz w:val="21"/>
                <w:szCs w:val="21"/>
              </w:rPr>
            </w:pPr>
            <w:r>
              <w:rPr>
                <w:color w:val="auto"/>
                <w:sz w:val="21"/>
                <w:szCs w:val="21"/>
              </w:rPr>
              <w:t>AE</w:t>
            </w:r>
            <w:r>
              <w:rPr>
                <w:color w:val="auto"/>
                <w:sz w:val="21"/>
                <w:szCs w:val="21"/>
                <w:vertAlign w:val="subscript"/>
              </w:rPr>
              <w:t>净调入电力</w:t>
            </w:r>
            <w:r>
              <w:rPr>
                <w:color w:val="auto"/>
                <w:sz w:val="21"/>
                <w:szCs w:val="21"/>
              </w:rPr>
              <w:t>=</w:t>
            </w:r>
            <w:r>
              <w:rPr>
                <w:rFonts w:hint="eastAsia"/>
                <w:color w:val="auto"/>
                <w:sz w:val="21"/>
                <w:szCs w:val="21"/>
                <w:lang w:val="en-US" w:eastAsia="zh-CN"/>
              </w:rPr>
              <w:t>600</w:t>
            </w:r>
            <w:r>
              <w:rPr>
                <w:color w:val="auto"/>
                <w:sz w:val="21"/>
                <w:szCs w:val="21"/>
              </w:rPr>
              <w:t>MWh*0.</w:t>
            </w:r>
            <w:r>
              <w:rPr>
                <w:rFonts w:hint="eastAsia"/>
                <w:color w:val="auto"/>
                <w:sz w:val="21"/>
                <w:szCs w:val="21"/>
              </w:rPr>
              <w:t>5703</w:t>
            </w:r>
            <w:r>
              <w:rPr>
                <w:color w:val="auto"/>
                <w:sz w:val="21"/>
                <w:szCs w:val="21"/>
              </w:rPr>
              <w:t>tCO</w:t>
            </w:r>
            <w:r>
              <w:rPr>
                <w:color w:val="auto"/>
                <w:sz w:val="21"/>
                <w:szCs w:val="21"/>
                <w:vertAlign w:val="subscript"/>
              </w:rPr>
              <w:t>2e</w:t>
            </w:r>
            <w:r>
              <w:rPr>
                <w:color w:val="auto"/>
                <w:sz w:val="21"/>
                <w:szCs w:val="21"/>
              </w:rPr>
              <w:t>/MWh=</w:t>
            </w:r>
            <w:r>
              <w:rPr>
                <w:rFonts w:hint="eastAsia"/>
                <w:color w:val="auto"/>
                <w:sz w:val="21"/>
                <w:szCs w:val="21"/>
                <w:lang w:val="en-US" w:eastAsia="zh-CN"/>
              </w:rPr>
              <w:t>342.18</w:t>
            </w:r>
            <w:r>
              <w:rPr>
                <w:color w:val="auto"/>
                <w:sz w:val="21"/>
                <w:szCs w:val="21"/>
              </w:rPr>
              <w:t>tCO</w:t>
            </w:r>
            <w:r>
              <w:rPr>
                <w:color w:val="auto"/>
                <w:sz w:val="21"/>
                <w:szCs w:val="21"/>
                <w:vertAlign w:val="subscript"/>
              </w:rPr>
              <w:t>2e</w:t>
            </w:r>
          </w:p>
          <w:p w14:paraId="3A4807D7">
            <w:pPr>
              <w:adjustRightInd w:val="0"/>
              <w:snapToGrid w:val="0"/>
              <w:spacing w:line="360" w:lineRule="auto"/>
              <w:ind w:firstLine="420" w:firstLineChars="200"/>
              <w:rPr>
                <w:color w:val="auto"/>
                <w:kern w:val="0"/>
              </w:rPr>
            </w:pPr>
            <w:r>
              <w:rPr>
                <w:color w:val="auto"/>
                <w:kern w:val="0"/>
              </w:rPr>
              <w:t>AE</w:t>
            </w:r>
            <w:r>
              <w:rPr>
                <w:color w:val="auto"/>
                <w:kern w:val="0"/>
                <w:vertAlign w:val="subscript"/>
              </w:rPr>
              <w:t>净调入热力</w:t>
            </w:r>
            <w:r>
              <w:rPr>
                <w:color w:val="auto"/>
                <w:kern w:val="0"/>
              </w:rPr>
              <w:t>=0</w:t>
            </w:r>
          </w:p>
          <w:p w14:paraId="0D29959F">
            <w:pPr>
              <w:pStyle w:val="23"/>
              <w:ind w:firstLine="420" w:firstLineChars="200"/>
              <w:rPr>
                <w:color w:val="auto"/>
                <w:sz w:val="21"/>
                <w:szCs w:val="21"/>
              </w:rPr>
            </w:pPr>
            <w:r>
              <w:rPr>
                <w:color w:val="auto"/>
                <w:sz w:val="21"/>
                <w:szCs w:val="21"/>
              </w:rPr>
              <w:t>AE</w:t>
            </w:r>
            <w:r>
              <w:rPr>
                <w:color w:val="auto"/>
                <w:sz w:val="21"/>
                <w:szCs w:val="21"/>
                <w:vertAlign w:val="subscript"/>
              </w:rPr>
              <w:t>总</w:t>
            </w:r>
            <w:r>
              <w:rPr>
                <w:color w:val="auto"/>
                <w:sz w:val="21"/>
                <w:szCs w:val="21"/>
              </w:rPr>
              <w:t>=</w:t>
            </w:r>
            <w:r>
              <w:rPr>
                <w:rFonts w:hint="eastAsia"/>
                <w:color w:val="auto"/>
                <w:sz w:val="21"/>
                <w:szCs w:val="21"/>
                <w:lang w:val="en-US" w:eastAsia="zh-CN"/>
              </w:rPr>
              <w:t>3421.8</w:t>
            </w:r>
            <w:r>
              <w:rPr>
                <w:color w:val="auto"/>
                <w:sz w:val="21"/>
                <w:szCs w:val="21"/>
              </w:rPr>
              <w:t>tCO</w:t>
            </w:r>
            <w:r>
              <w:rPr>
                <w:color w:val="auto"/>
                <w:sz w:val="21"/>
                <w:szCs w:val="21"/>
                <w:vertAlign w:val="subscript"/>
              </w:rPr>
              <w:t>2e</w:t>
            </w:r>
          </w:p>
          <w:p w14:paraId="49FB1E79">
            <w:pPr>
              <w:pStyle w:val="23"/>
              <w:ind w:firstLine="420" w:firstLineChars="200"/>
              <w:rPr>
                <w:color w:val="auto"/>
                <w:sz w:val="21"/>
                <w:szCs w:val="21"/>
              </w:rPr>
            </w:pPr>
            <w:r>
              <w:rPr>
                <w:color w:val="auto"/>
                <w:sz w:val="21"/>
                <w:szCs w:val="21"/>
              </w:rPr>
              <w:t>碳排放强度（单位用地碳排放量）=</w:t>
            </w:r>
            <w:r>
              <w:rPr>
                <w:rFonts w:hint="eastAsia"/>
                <w:color w:val="auto"/>
                <w:sz w:val="21"/>
                <w:szCs w:val="21"/>
                <w:lang w:val="en-US" w:eastAsia="zh-CN"/>
              </w:rPr>
              <w:t>342.18</w:t>
            </w:r>
            <w:r>
              <w:rPr>
                <w:rFonts w:hint="eastAsia"/>
                <w:color w:val="auto"/>
                <w:sz w:val="21"/>
                <w:szCs w:val="21"/>
              </w:rPr>
              <w:t>/</w:t>
            </w:r>
            <w:r>
              <w:rPr>
                <w:rFonts w:hint="eastAsia"/>
                <w:color w:val="auto"/>
                <w:sz w:val="21"/>
                <w:szCs w:val="21"/>
                <w:lang w:val="en-US" w:eastAsia="zh-CN"/>
              </w:rPr>
              <w:t>5333</w:t>
            </w:r>
            <w:r>
              <w:rPr>
                <w:color w:val="auto"/>
                <w:sz w:val="21"/>
                <w:szCs w:val="21"/>
              </w:rPr>
              <w:t>=</w:t>
            </w:r>
            <w:r>
              <w:rPr>
                <w:rFonts w:hint="eastAsia"/>
                <w:color w:val="auto"/>
                <w:sz w:val="21"/>
                <w:szCs w:val="21"/>
              </w:rPr>
              <w:t>0.</w:t>
            </w:r>
            <w:r>
              <w:rPr>
                <w:rFonts w:hint="eastAsia"/>
                <w:color w:val="auto"/>
                <w:sz w:val="21"/>
                <w:szCs w:val="21"/>
                <w:lang w:val="en-US" w:eastAsia="zh-CN"/>
              </w:rPr>
              <w:t>064</w:t>
            </w:r>
            <w:r>
              <w:rPr>
                <w:color w:val="auto"/>
                <w:sz w:val="21"/>
                <w:szCs w:val="21"/>
              </w:rPr>
              <w:t>tCO</w:t>
            </w:r>
            <w:r>
              <w:rPr>
                <w:color w:val="auto"/>
                <w:sz w:val="21"/>
                <w:szCs w:val="21"/>
                <w:vertAlign w:val="subscript"/>
              </w:rPr>
              <w:t>2e</w:t>
            </w:r>
            <w:r>
              <w:rPr>
                <w:color w:val="auto"/>
                <w:sz w:val="21"/>
                <w:szCs w:val="21"/>
              </w:rPr>
              <w:t>/m</w:t>
            </w:r>
            <w:r>
              <w:rPr>
                <w:color w:val="auto"/>
                <w:sz w:val="21"/>
                <w:szCs w:val="21"/>
                <w:vertAlign w:val="superscript"/>
              </w:rPr>
              <w:t>2</w:t>
            </w:r>
          </w:p>
          <w:p w14:paraId="07CF0D2C">
            <w:pPr>
              <w:pStyle w:val="23"/>
              <w:widowControl w:val="0"/>
              <w:ind w:firstLine="420" w:firstLineChars="200"/>
              <w:rPr>
                <w:color w:val="auto"/>
                <w:sz w:val="21"/>
                <w:szCs w:val="21"/>
              </w:rPr>
            </w:pPr>
            <w:r>
              <w:rPr>
                <w:color w:val="auto"/>
                <w:sz w:val="21"/>
                <w:szCs w:val="21"/>
              </w:rPr>
              <w:t>碳排放强度（单位工业总产值碳排放量）=</w:t>
            </w:r>
            <w:r>
              <w:rPr>
                <w:rFonts w:hint="eastAsia"/>
                <w:color w:val="auto"/>
                <w:sz w:val="21"/>
                <w:szCs w:val="21"/>
                <w:lang w:val="en-US" w:eastAsia="zh-CN"/>
              </w:rPr>
              <w:t>342.18</w:t>
            </w:r>
            <w:r>
              <w:rPr>
                <w:color w:val="auto"/>
                <w:sz w:val="21"/>
                <w:szCs w:val="21"/>
              </w:rPr>
              <w:t>/</w:t>
            </w:r>
            <w:r>
              <w:rPr>
                <w:rFonts w:hint="eastAsia"/>
                <w:color w:val="auto"/>
                <w:sz w:val="21"/>
                <w:szCs w:val="21"/>
                <w:lang w:val="en-US" w:eastAsia="zh-CN"/>
              </w:rPr>
              <w:t>1000</w:t>
            </w:r>
            <w:r>
              <w:rPr>
                <w:color w:val="auto"/>
                <w:sz w:val="21"/>
                <w:szCs w:val="21"/>
              </w:rPr>
              <w:t>=0.</w:t>
            </w:r>
            <w:r>
              <w:rPr>
                <w:rFonts w:hint="eastAsia"/>
                <w:color w:val="auto"/>
                <w:sz w:val="21"/>
                <w:szCs w:val="21"/>
                <w:lang w:val="en-US" w:eastAsia="zh-CN"/>
              </w:rPr>
              <w:t>342</w:t>
            </w:r>
            <w:r>
              <w:rPr>
                <w:color w:val="auto"/>
                <w:sz w:val="21"/>
                <w:szCs w:val="21"/>
              </w:rPr>
              <w:t>tCO</w:t>
            </w:r>
            <w:r>
              <w:rPr>
                <w:color w:val="auto"/>
                <w:sz w:val="21"/>
                <w:szCs w:val="21"/>
                <w:vertAlign w:val="subscript"/>
              </w:rPr>
              <w:t>2e</w:t>
            </w:r>
            <w:r>
              <w:rPr>
                <w:color w:val="auto"/>
                <w:sz w:val="21"/>
                <w:szCs w:val="21"/>
              </w:rPr>
              <w:t>/万元</w:t>
            </w:r>
          </w:p>
          <w:p w14:paraId="2252997F">
            <w:pPr>
              <w:keepNext w:val="0"/>
              <w:keepLines w:val="0"/>
              <w:pageBreakBefore w:val="0"/>
              <w:widowControl w:val="0"/>
              <w:kinsoku/>
              <w:wordWrap/>
              <w:overflowPunct/>
              <w:topLinePunct w:val="0"/>
              <w:autoSpaceDE w:val="0"/>
              <w:autoSpaceDN w:val="0"/>
              <w:bidi w:val="0"/>
              <w:adjustRightInd w:val="0"/>
              <w:snapToGrid w:val="0"/>
              <w:jc w:val="center"/>
              <w:textAlignment w:val="auto"/>
              <w:rPr>
                <w:b/>
                <w:bCs/>
                <w:color w:val="auto"/>
                <w:kern w:val="0"/>
              </w:rPr>
            </w:pPr>
            <w:bookmarkStart w:id="20" w:name="_Toc68895593"/>
            <w:bookmarkStart w:id="21" w:name="_Toc71671777"/>
            <w:r>
              <w:rPr>
                <w:b/>
                <w:bCs/>
                <w:color w:val="auto"/>
                <w:kern w:val="0"/>
              </w:rPr>
              <w:t>表4-</w:t>
            </w:r>
            <w:r>
              <w:rPr>
                <w:rFonts w:hint="eastAsia"/>
                <w:b/>
                <w:bCs/>
                <w:color w:val="auto"/>
                <w:kern w:val="0"/>
                <w:lang w:val="en-US" w:eastAsia="zh-CN"/>
              </w:rPr>
              <w:t>34</w:t>
            </w:r>
            <w:r>
              <w:rPr>
                <w:b/>
                <w:bCs/>
                <w:color w:val="auto"/>
                <w:kern w:val="0"/>
              </w:rPr>
              <w:t xml:space="preserve"> </w:t>
            </w:r>
            <w:r>
              <w:rPr>
                <w:rFonts w:hint="eastAsia"/>
                <w:b/>
                <w:bCs/>
                <w:color w:val="auto"/>
                <w:kern w:val="0"/>
              </w:rPr>
              <w:t xml:space="preserve">  </w:t>
            </w:r>
            <w:r>
              <w:rPr>
                <w:b/>
                <w:bCs/>
                <w:color w:val="auto"/>
                <w:kern w:val="0"/>
              </w:rPr>
              <w:t>碳排放汇总表</w:t>
            </w:r>
            <w:bookmarkEnd w:id="20"/>
            <w:bookmarkEnd w:id="21"/>
          </w:p>
          <w:tbl>
            <w:tblPr>
              <w:tblStyle w:val="59"/>
              <w:tblW w:w="4999" w:type="pct"/>
              <w:tblInd w:w="5"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1389"/>
              <w:gridCol w:w="1889"/>
              <w:gridCol w:w="2935"/>
              <w:gridCol w:w="2646"/>
            </w:tblGrid>
            <w:tr w14:paraId="5FE4E5C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40" w:hRule="atLeast"/>
              </w:trPr>
              <w:tc>
                <w:tcPr>
                  <w:tcW w:w="3506" w:type="pct"/>
                  <w:gridSpan w:val="3"/>
                  <w:vAlign w:val="center"/>
                </w:tcPr>
                <w:p w14:paraId="369CB440">
                  <w:pPr>
                    <w:pStyle w:val="635"/>
                    <w:adjustRightInd w:val="0"/>
                    <w:snapToGrid w:val="0"/>
                    <w:jc w:val="center"/>
                    <w:rPr>
                      <w:rFonts w:ascii="Times New Roman" w:hAnsi="Times New Roman"/>
                      <w:b/>
                      <w:bCs/>
                      <w:color w:val="auto"/>
                      <w:sz w:val="21"/>
                      <w:szCs w:val="21"/>
                    </w:rPr>
                  </w:pPr>
                  <w:r>
                    <w:rPr>
                      <w:rFonts w:ascii="Times New Roman" w:hAnsi="Times New Roman"/>
                      <w:b/>
                      <w:bCs/>
                      <w:color w:val="auto"/>
                      <w:sz w:val="21"/>
                      <w:szCs w:val="21"/>
                    </w:rPr>
                    <w:t>排放类型</w:t>
                  </w:r>
                </w:p>
              </w:tc>
              <w:tc>
                <w:tcPr>
                  <w:tcW w:w="1493" w:type="pct"/>
                  <w:vAlign w:val="center"/>
                </w:tcPr>
                <w:p w14:paraId="461D4C3D">
                  <w:pPr>
                    <w:pStyle w:val="635"/>
                    <w:adjustRightInd w:val="0"/>
                    <w:snapToGrid w:val="0"/>
                    <w:jc w:val="center"/>
                    <w:rPr>
                      <w:rFonts w:ascii="Times New Roman" w:hAnsi="Times New Roman"/>
                      <w:b/>
                      <w:bCs/>
                      <w:color w:val="auto"/>
                      <w:sz w:val="21"/>
                      <w:szCs w:val="21"/>
                    </w:rPr>
                  </w:pPr>
                  <w:r>
                    <w:rPr>
                      <w:rFonts w:ascii="Times New Roman" w:hAnsi="Times New Roman"/>
                      <w:b/>
                      <w:bCs/>
                      <w:color w:val="auto"/>
                      <w:sz w:val="21"/>
                      <w:szCs w:val="21"/>
                    </w:rPr>
                    <w:t>碳排放量</w:t>
                  </w:r>
                </w:p>
              </w:tc>
            </w:tr>
            <w:tr w14:paraId="11355C0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784" w:type="pct"/>
                  <w:vAlign w:val="center"/>
                </w:tcPr>
                <w:p w14:paraId="3D7C7C3E">
                  <w:pPr>
                    <w:pStyle w:val="635"/>
                    <w:adjustRightInd w:val="0"/>
                    <w:snapToGrid w:val="0"/>
                    <w:jc w:val="center"/>
                    <w:rPr>
                      <w:rFonts w:ascii="Times New Roman" w:hAnsi="Times New Roman"/>
                      <w:color w:val="auto"/>
                      <w:sz w:val="21"/>
                      <w:szCs w:val="21"/>
                    </w:rPr>
                  </w:pPr>
                  <w:r>
                    <w:rPr>
                      <w:rFonts w:ascii="Times New Roman" w:hAnsi="Times New Roman"/>
                      <w:color w:val="auto"/>
                      <w:sz w:val="21"/>
                      <w:szCs w:val="21"/>
                    </w:rPr>
                    <w:t>营运期</w:t>
                  </w:r>
                </w:p>
              </w:tc>
              <w:tc>
                <w:tcPr>
                  <w:tcW w:w="1066" w:type="pct"/>
                  <w:vAlign w:val="center"/>
                </w:tcPr>
                <w:p w14:paraId="3F9829EC">
                  <w:pPr>
                    <w:pStyle w:val="635"/>
                    <w:adjustRightInd w:val="0"/>
                    <w:snapToGrid w:val="0"/>
                    <w:jc w:val="center"/>
                    <w:rPr>
                      <w:rFonts w:ascii="Times New Roman" w:hAnsi="Times New Roman"/>
                      <w:color w:val="auto"/>
                      <w:sz w:val="21"/>
                      <w:szCs w:val="21"/>
                    </w:rPr>
                  </w:pPr>
                  <w:r>
                    <w:rPr>
                      <w:rFonts w:ascii="Times New Roman" w:hAnsi="Times New Roman"/>
                      <w:color w:val="auto"/>
                      <w:sz w:val="21"/>
                      <w:szCs w:val="21"/>
                    </w:rPr>
                    <w:t>间接排放</w:t>
                  </w:r>
                </w:p>
              </w:tc>
              <w:tc>
                <w:tcPr>
                  <w:tcW w:w="1655" w:type="pct"/>
                  <w:vAlign w:val="center"/>
                </w:tcPr>
                <w:p w14:paraId="42A5F68F">
                  <w:pPr>
                    <w:pStyle w:val="635"/>
                    <w:adjustRightInd w:val="0"/>
                    <w:snapToGrid w:val="0"/>
                    <w:jc w:val="center"/>
                    <w:rPr>
                      <w:rFonts w:ascii="Times New Roman" w:hAnsi="Times New Roman"/>
                      <w:color w:val="auto"/>
                      <w:sz w:val="21"/>
                      <w:szCs w:val="21"/>
                    </w:rPr>
                  </w:pPr>
                  <w:r>
                    <w:rPr>
                      <w:rFonts w:ascii="Times New Roman" w:hAnsi="Times New Roman"/>
                      <w:color w:val="auto"/>
                      <w:sz w:val="21"/>
                      <w:szCs w:val="21"/>
                    </w:rPr>
                    <w:t>净调入电力和热力</w:t>
                  </w:r>
                </w:p>
              </w:tc>
              <w:tc>
                <w:tcPr>
                  <w:tcW w:w="1493" w:type="pct"/>
                  <w:vAlign w:val="center"/>
                </w:tcPr>
                <w:p w14:paraId="263E2F65">
                  <w:pPr>
                    <w:pStyle w:val="635"/>
                    <w:adjustRightInd w:val="0"/>
                    <w:snapToGrid w:val="0"/>
                    <w:jc w:val="center"/>
                    <w:rPr>
                      <w:rFonts w:ascii="Times New Roman" w:hAnsi="Times New Roman"/>
                      <w:color w:val="auto"/>
                      <w:sz w:val="21"/>
                      <w:szCs w:val="21"/>
                    </w:rPr>
                  </w:pPr>
                  <w:r>
                    <w:rPr>
                      <w:rFonts w:hint="eastAsia" w:ascii="Times New Roman" w:hAnsi="Times New Roman"/>
                      <w:color w:val="auto"/>
                      <w:sz w:val="21"/>
                      <w:szCs w:val="21"/>
                      <w:lang w:val="en-US" w:eastAsia="zh-CN"/>
                    </w:rPr>
                    <w:t>342.18</w:t>
                  </w:r>
                  <w:r>
                    <w:rPr>
                      <w:rFonts w:ascii="Times New Roman" w:hAnsi="Times New Roman"/>
                      <w:color w:val="auto"/>
                      <w:sz w:val="21"/>
                      <w:szCs w:val="21"/>
                    </w:rPr>
                    <w:t>tCO</w:t>
                  </w:r>
                  <w:r>
                    <w:rPr>
                      <w:rFonts w:ascii="Times New Roman" w:hAnsi="Times New Roman"/>
                      <w:color w:val="auto"/>
                      <w:sz w:val="21"/>
                      <w:szCs w:val="21"/>
                      <w:vertAlign w:val="subscript"/>
                    </w:rPr>
                    <w:t>2e</w:t>
                  </w:r>
                </w:p>
              </w:tc>
            </w:tr>
          </w:tbl>
          <w:p w14:paraId="506946B5">
            <w:pPr>
              <w:pStyle w:val="697"/>
              <w:adjustRightInd w:val="0"/>
              <w:snapToGrid w:val="0"/>
              <w:spacing w:line="360" w:lineRule="auto"/>
              <w:ind w:firstLine="420"/>
              <w:rPr>
                <w:rFonts w:eastAsia="宋体"/>
                <w:color w:val="auto"/>
                <w:kern w:val="0"/>
                <w:sz w:val="21"/>
                <w:szCs w:val="21"/>
              </w:rPr>
            </w:pPr>
            <w:r>
              <w:rPr>
                <w:rFonts w:eastAsia="宋体"/>
                <w:color w:val="auto"/>
                <w:kern w:val="0"/>
                <w:sz w:val="21"/>
                <w:szCs w:val="21"/>
              </w:rPr>
              <w:t>②碳排放评价</w:t>
            </w:r>
          </w:p>
          <w:p w14:paraId="363D13F3">
            <w:pPr>
              <w:pStyle w:val="697"/>
              <w:adjustRightInd w:val="0"/>
              <w:snapToGrid w:val="0"/>
              <w:spacing w:line="360" w:lineRule="auto"/>
              <w:ind w:firstLine="420"/>
              <w:jc w:val="both"/>
              <w:rPr>
                <w:rFonts w:eastAsia="宋体"/>
                <w:color w:val="auto"/>
                <w:kern w:val="0"/>
                <w:sz w:val="21"/>
                <w:szCs w:val="21"/>
              </w:rPr>
            </w:pPr>
            <w:r>
              <w:rPr>
                <w:rFonts w:eastAsia="宋体"/>
                <w:color w:val="auto"/>
                <w:kern w:val="0"/>
                <w:sz w:val="21"/>
                <w:szCs w:val="21"/>
              </w:rPr>
              <w:t>综上可知，本项目碳排放量为</w:t>
            </w:r>
            <w:r>
              <w:rPr>
                <w:rFonts w:hint="eastAsia" w:eastAsia="宋体"/>
                <w:color w:val="auto"/>
                <w:kern w:val="0"/>
                <w:sz w:val="21"/>
                <w:szCs w:val="21"/>
                <w:lang w:val="en-US" w:eastAsia="zh-CN"/>
              </w:rPr>
              <w:t>342.18</w:t>
            </w:r>
            <w:r>
              <w:rPr>
                <w:rFonts w:eastAsia="宋体"/>
                <w:color w:val="auto"/>
                <w:kern w:val="0"/>
                <w:sz w:val="21"/>
                <w:szCs w:val="21"/>
              </w:rPr>
              <w:t>tCO</w:t>
            </w:r>
            <w:r>
              <w:rPr>
                <w:rFonts w:eastAsia="宋体"/>
                <w:color w:val="auto"/>
                <w:kern w:val="0"/>
                <w:sz w:val="21"/>
                <w:szCs w:val="21"/>
                <w:vertAlign w:val="subscript"/>
              </w:rPr>
              <w:t>2e</w:t>
            </w:r>
            <w:r>
              <w:rPr>
                <w:rFonts w:eastAsia="宋体"/>
                <w:color w:val="auto"/>
                <w:kern w:val="0"/>
                <w:sz w:val="21"/>
                <w:szCs w:val="21"/>
              </w:rPr>
              <w:t>，单位用地碳排放强度</w:t>
            </w:r>
            <w:r>
              <w:rPr>
                <w:rFonts w:hint="eastAsia" w:eastAsia="宋体"/>
                <w:color w:val="auto"/>
                <w:kern w:val="0"/>
                <w:sz w:val="21"/>
                <w:szCs w:val="21"/>
                <w:lang w:val="en-US" w:eastAsia="zh-CN"/>
              </w:rPr>
              <w:t>0.064</w:t>
            </w:r>
            <w:r>
              <w:rPr>
                <w:rFonts w:eastAsia="宋体"/>
                <w:color w:val="auto"/>
                <w:kern w:val="0"/>
                <w:sz w:val="21"/>
                <w:szCs w:val="21"/>
              </w:rPr>
              <w:t>tCO</w:t>
            </w:r>
            <w:r>
              <w:rPr>
                <w:rFonts w:eastAsia="宋体"/>
                <w:color w:val="auto"/>
                <w:kern w:val="0"/>
                <w:sz w:val="21"/>
                <w:szCs w:val="21"/>
                <w:vertAlign w:val="subscript"/>
              </w:rPr>
              <w:t>2e</w:t>
            </w:r>
            <w:r>
              <w:rPr>
                <w:rFonts w:eastAsia="宋体"/>
                <w:color w:val="auto"/>
                <w:kern w:val="0"/>
                <w:sz w:val="21"/>
                <w:szCs w:val="21"/>
              </w:rPr>
              <w:t>/m</w:t>
            </w:r>
            <w:r>
              <w:rPr>
                <w:rFonts w:eastAsia="宋体"/>
                <w:color w:val="auto"/>
                <w:kern w:val="0"/>
                <w:sz w:val="21"/>
                <w:szCs w:val="21"/>
                <w:vertAlign w:val="superscript"/>
              </w:rPr>
              <w:t>2</w:t>
            </w:r>
            <w:r>
              <w:rPr>
                <w:rFonts w:eastAsia="宋体"/>
                <w:color w:val="auto"/>
                <w:kern w:val="0"/>
                <w:sz w:val="21"/>
                <w:szCs w:val="21"/>
              </w:rPr>
              <w:t>，单位工业总产值碳排放强度为</w:t>
            </w:r>
            <w:r>
              <w:rPr>
                <w:rFonts w:hint="eastAsia" w:eastAsia="宋体"/>
                <w:color w:val="auto"/>
                <w:kern w:val="0"/>
                <w:sz w:val="21"/>
                <w:szCs w:val="21"/>
                <w:lang w:val="en-US" w:eastAsia="zh-CN"/>
              </w:rPr>
              <w:t>0.342</w:t>
            </w:r>
            <w:r>
              <w:rPr>
                <w:rFonts w:eastAsia="宋体"/>
                <w:color w:val="auto"/>
                <w:kern w:val="0"/>
                <w:sz w:val="21"/>
                <w:szCs w:val="21"/>
              </w:rPr>
              <w:t>tCO</w:t>
            </w:r>
            <w:r>
              <w:rPr>
                <w:rFonts w:eastAsia="宋体"/>
                <w:color w:val="auto"/>
                <w:kern w:val="0"/>
                <w:sz w:val="21"/>
                <w:szCs w:val="21"/>
                <w:vertAlign w:val="subscript"/>
              </w:rPr>
              <w:t>2e</w:t>
            </w:r>
            <w:r>
              <w:rPr>
                <w:rFonts w:eastAsia="宋体"/>
                <w:color w:val="auto"/>
                <w:kern w:val="0"/>
                <w:sz w:val="21"/>
                <w:szCs w:val="21"/>
              </w:rPr>
              <w:t>/万元。</w:t>
            </w:r>
          </w:p>
          <w:p w14:paraId="14DE58A0">
            <w:pPr>
              <w:pStyle w:val="697"/>
              <w:adjustRightInd w:val="0"/>
              <w:snapToGrid w:val="0"/>
              <w:spacing w:line="360" w:lineRule="auto"/>
              <w:ind w:firstLine="422"/>
              <w:rPr>
                <w:rFonts w:eastAsia="宋体"/>
                <w:b/>
                <w:bCs/>
                <w:color w:val="auto"/>
                <w:kern w:val="0"/>
                <w:sz w:val="21"/>
                <w:szCs w:val="21"/>
              </w:rPr>
            </w:pPr>
            <w:r>
              <w:rPr>
                <w:rFonts w:eastAsia="宋体"/>
                <w:b/>
                <w:bCs/>
                <w:color w:val="auto"/>
                <w:kern w:val="0"/>
                <w:sz w:val="21"/>
                <w:szCs w:val="21"/>
              </w:rPr>
              <w:t>（4）碳减排潜力分析及建议</w:t>
            </w:r>
          </w:p>
          <w:p w14:paraId="122B1968">
            <w:pPr>
              <w:pStyle w:val="697"/>
              <w:adjustRightInd w:val="0"/>
              <w:snapToGrid w:val="0"/>
              <w:spacing w:line="360" w:lineRule="auto"/>
              <w:ind w:firstLine="420"/>
              <w:jc w:val="both"/>
              <w:rPr>
                <w:rFonts w:eastAsia="宋体"/>
                <w:color w:val="auto"/>
                <w:kern w:val="0"/>
                <w:sz w:val="21"/>
                <w:szCs w:val="21"/>
              </w:rPr>
            </w:pPr>
            <w:r>
              <w:rPr>
                <w:rFonts w:eastAsia="宋体"/>
                <w:color w:val="auto"/>
                <w:kern w:val="0"/>
                <w:sz w:val="21"/>
                <w:szCs w:val="21"/>
              </w:rPr>
              <w:t>根据上述分析，本项目的碳排放主要为净电力输入，因此建设单位碳减排潜力主要为降低净电力输入，具体可从以下方面降低碳排放。</w:t>
            </w:r>
          </w:p>
          <w:p w14:paraId="3A83CE0C">
            <w:pPr>
              <w:pStyle w:val="697"/>
              <w:adjustRightInd w:val="0"/>
              <w:snapToGrid w:val="0"/>
              <w:spacing w:line="360" w:lineRule="auto"/>
              <w:ind w:firstLine="420"/>
              <w:jc w:val="both"/>
              <w:rPr>
                <w:rFonts w:eastAsia="宋体"/>
                <w:color w:val="auto"/>
                <w:kern w:val="0"/>
                <w:sz w:val="21"/>
                <w:szCs w:val="21"/>
              </w:rPr>
            </w:pPr>
            <w:r>
              <w:rPr>
                <w:rFonts w:eastAsia="宋体"/>
                <w:color w:val="auto"/>
                <w:kern w:val="0"/>
                <w:sz w:val="21"/>
                <w:szCs w:val="21"/>
              </w:rPr>
              <w:t>①加强对设备的维护运行，避免设备老化等引起的耗电量增加；</w:t>
            </w:r>
          </w:p>
          <w:p w14:paraId="46986C3E">
            <w:pPr>
              <w:pStyle w:val="697"/>
              <w:adjustRightInd w:val="0"/>
              <w:snapToGrid w:val="0"/>
              <w:spacing w:line="360" w:lineRule="auto"/>
              <w:ind w:firstLine="420"/>
              <w:jc w:val="both"/>
              <w:rPr>
                <w:rFonts w:eastAsia="宋体"/>
                <w:color w:val="auto"/>
                <w:kern w:val="0"/>
                <w:sz w:val="21"/>
                <w:szCs w:val="21"/>
              </w:rPr>
            </w:pPr>
            <w:r>
              <w:rPr>
                <w:rFonts w:eastAsia="宋体"/>
                <w:color w:val="auto"/>
                <w:kern w:val="0"/>
                <w:sz w:val="21"/>
                <w:szCs w:val="21"/>
              </w:rPr>
              <w:t>②建设单位经济允许条件下，建议更换生产效率更高更节能的设备；</w:t>
            </w:r>
          </w:p>
          <w:p w14:paraId="023247E8">
            <w:pPr>
              <w:adjustRightInd w:val="0"/>
              <w:snapToGrid w:val="0"/>
              <w:spacing w:line="360" w:lineRule="auto"/>
              <w:ind w:firstLine="420" w:firstLineChars="200"/>
              <w:jc w:val="left"/>
              <w:rPr>
                <w:color w:val="auto"/>
                <w:kern w:val="0"/>
              </w:rPr>
            </w:pPr>
            <w:r>
              <w:rPr>
                <w:color w:val="auto"/>
                <w:kern w:val="0"/>
              </w:rPr>
              <w:t>③</w:t>
            </w:r>
            <w:r>
              <w:rPr>
                <w:bCs/>
                <w:color w:val="auto"/>
                <w:kern w:val="0"/>
              </w:rPr>
              <w:t>公司成立专门的环保管理系统，促进和管理一切环保减排的目标和政策</w:t>
            </w:r>
            <w:r>
              <w:rPr>
                <w:color w:val="auto"/>
                <w:kern w:val="0"/>
              </w:rPr>
              <w:t>。</w:t>
            </w:r>
          </w:p>
          <w:p w14:paraId="504AE978">
            <w:pPr>
              <w:pStyle w:val="697"/>
              <w:numPr>
                <w:ilvl w:val="0"/>
                <w:numId w:val="0"/>
              </w:numPr>
              <w:adjustRightInd w:val="0"/>
              <w:snapToGrid w:val="0"/>
              <w:spacing w:line="360" w:lineRule="auto"/>
              <w:rPr>
                <w:rFonts w:hint="default" w:eastAsia="宋体"/>
                <w:b/>
                <w:bCs/>
                <w:color w:val="auto"/>
                <w:kern w:val="0"/>
                <w:sz w:val="21"/>
                <w:szCs w:val="21"/>
                <w:lang w:val="en-US" w:eastAsia="zh-CN"/>
              </w:rPr>
            </w:pPr>
            <w:r>
              <w:rPr>
                <w:rFonts w:hint="eastAsia" w:eastAsia="宋体"/>
                <w:b/>
                <w:bCs/>
                <w:color w:val="auto"/>
                <w:kern w:val="0"/>
                <w:sz w:val="21"/>
                <w:szCs w:val="21"/>
                <w:lang w:val="en-US" w:eastAsia="zh-CN"/>
              </w:rPr>
              <w:t>8、排污口规范化整治</w:t>
            </w:r>
          </w:p>
          <w:p w14:paraId="36C6F2F4">
            <w:pPr>
              <w:pStyle w:val="697"/>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20" w:firstLineChars="200"/>
              <w:jc w:val="both"/>
              <w:textAlignment w:val="auto"/>
              <w:rPr>
                <w:rFonts w:hint="eastAsia" w:eastAsia="宋体"/>
                <w:b w:val="0"/>
                <w:bCs w:val="0"/>
                <w:color w:val="auto"/>
                <w:kern w:val="0"/>
                <w:sz w:val="21"/>
                <w:szCs w:val="21"/>
              </w:rPr>
            </w:pPr>
            <w:r>
              <w:rPr>
                <w:rFonts w:hint="eastAsia" w:eastAsia="宋体"/>
                <w:b w:val="0"/>
                <w:bCs w:val="0"/>
                <w:color w:val="auto"/>
                <w:kern w:val="0"/>
                <w:sz w:val="21"/>
                <w:szCs w:val="21"/>
              </w:rPr>
              <w:t>按《江苏省排污口设置及规范化整治管理办法》[苏环控（97）122号]要求，该建设项目废水排放口、废气烟囱、固定噪声源扰民处、固废堆放处必须进行规范化设置。</w:t>
            </w:r>
          </w:p>
          <w:p w14:paraId="0043CF44">
            <w:pPr>
              <w:pStyle w:val="697"/>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20" w:firstLineChars="200"/>
              <w:jc w:val="both"/>
              <w:textAlignment w:val="auto"/>
              <w:rPr>
                <w:rFonts w:hint="eastAsia" w:eastAsia="宋体"/>
                <w:b w:val="0"/>
                <w:bCs w:val="0"/>
                <w:color w:val="auto"/>
                <w:kern w:val="0"/>
                <w:sz w:val="21"/>
                <w:szCs w:val="21"/>
              </w:rPr>
            </w:pPr>
            <w:r>
              <w:rPr>
                <w:rFonts w:hint="eastAsia" w:eastAsia="宋体"/>
                <w:b w:val="0"/>
                <w:bCs w:val="0"/>
                <w:color w:val="auto"/>
                <w:kern w:val="0"/>
                <w:sz w:val="21"/>
                <w:szCs w:val="21"/>
                <w:lang w:eastAsia="zh-CN"/>
              </w:rPr>
              <w:t>（</w:t>
            </w:r>
            <w:r>
              <w:rPr>
                <w:rFonts w:hint="eastAsia" w:eastAsia="宋体"/>
                <w:b w:val="0"/>
                <w:bCs w:val="0"/>
                <w:color w:val="auto"/>
                <w:kern w:val="0"/>
                <w:sz w:val="21"/>
                <w:szCs w:val="21"/>
                <w:lang w:val="en-US" w:eastAsia="zh-CN"/>
              </w:rPr>
              <w:t>1</w:t>
            </w:r>
            <w:r>
              <w:rPr>
                <w:rFonts w:hint="eastAsia" w:eastAsia="宋体"/>
                <w:b w:val="0"/>
                <w:bCs w:val="0"/>
                <w:color w:val="auto"/>
                <w:kern w:val="0"/>
                <w:sz w:val="21"/>
                <w:szCs w:val="21"/>
                <w:lang w:eastAsia="zh-CN"/>
              </w:rPr>
              <w:t>）</w:t>
            </w:r>
            <w:r>
              <w:rPr>
                <w:rFonts w:hint="eastAsia" w:eastAsia="宋体"/>
                <w:b w:val="0"/>
                <w:bCs w:val="0"/>
                <w:color w:val="auto"/>
                <w:kern w:val="0"/>
                <w:sz w:val="21"/>
                <w:szCs w:val="21"/>
              </w:rPr>
              <w:t>污水排放口规范化</w:t>
            </w:r>
          </w:p>
          <w:p w14:paraId="47550FB0">
            <w:pPr>
              <w:pStyle w:val="697"/>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20" w:firstLineChars="200"/>
              <w:jc w:val="both"/>
              <w:textAlignment w:val="auto"/>
              <w:rPr>
                <w:rFonts w:hint="eastAsia" w:eastAsia="宋体"/>
                <w:b w:val="0"/>
                <w:bCs w:val="0"/>
                <w:color w:val="auto"/>
                <w:kern w:val="0"/>
                <w:sz w:val="21"/>
                <w:szCs w:val="21"/>
              </w:rPr>
            </w:pPr>
            <w:r>
              <w:rPr>
                <w:rFonts w:hint="eastAsia" w:eastAsia="宋体"/>
                <w:b w:val="0"/>
                <w:bCs w:val="0"/>
                <w:color w:val="auto"/>
                <w:kern w:val="0"/>
                <w:sz w:val="21"/>
                <w:szCs w:val="21"/>
              </w:rPr>
              <w:t>本项目厂区</w:t>
            </w:r>
            <w:r>
              <w:rPr>
                <w:rFonts w:hint="eastAsia" w:eastAsia="宋体"/>
                <w:b w:val="0"/>
                <w:bCs w:val="0"/>
                <w:color w:val="auto"/>
                <w:kern w:val="0"/>
                <w:sz w:val="21"/>
                <w:szCs w:val="21"/>
                <w:lang w:val="en-US" w:eastAsia="zh-CN"/>
              </w:rPr>
              <w:t>雨</w:t>
            </w:r>
            <w:r>
              <w:rPr>
                <w:rFonts w:hint="eastAsia" w:eastAsia="宋体"/>
                <w:b w:val="0"/>
                <w:bCs w:val="0"/>
                <w:color w:val="auto"/>
                <w:kern w:val="0"/>
                <w:sz w:val="21"/>
                <w:szCs w:val="21"/>
              </w:rPr>
              <w:t>污水排放口。污水接管口要设置标志牌、监控探头及装备污水流量计等在线监控，污水符合“一明显，二合理，三便于”的要求，便于采取水样和监测计量。雨水接管口要设置标志牌及监控探头</w:t>
            </w:r>
            <w:r>
              <w:rPr>
                <w:rFonts w:hint="eastAsia" w:eastAsia="宋体"/>
                <w:b w:val="0"/>
                <w:bCs w:val="0"/>
                <w:color w:val="auto"/>
                <w:kern w:val="0"/>
                <w:sz w:val="21"/>
                <w:szCs w:val="21"/>
                <w:lang w:eastAsia="zh-CN"/>
              </w:rPr>
              <w:t>。</w:t>
            </w:r>
          </w:p>
          <w:p w14:paraId="1B6C45D2">
            <w:pPr>
              <w:pStyle w:val="697"/>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20" w:firstLineChars="200"/>
              <w:jc w:val="both"/>
              <w:textAlignment w:val="auto"/>
              <w:rPr>
                <w:rFonts w:hint="eastAsia" w:eastAsia="宋体"/>
                <w:b w:val="0"/>
                <w:bCs w:val="0"/>
                <w:color w:val="auto"/>
                <w:kern w:val="0"/>
                <w:sz w:val="21"/>
                <w:szCs w:val="21"/>
              </w:rPr>
            </w:pPr>
            <w:r>
              <w:rPr>
                <w:rFonts w:hint="eastAsia" w:eastAsia="宋体"/>
                <w:b w:val="0"/>
                <w:bCs w:val="0"/>
                <w:color w:val="auto"/>
                <w:kern w:val="0"/>
                <w:sz w:val="21"/>
                <w:szCs w:val="21"/>
                <w:lang w:eastAsia="zh-CN"/>
              </w:rPr>
              <w:t>（</w:t>
            </w:r>
            <w:r>
              <w:rPr>
                <w:rFonts w:hint="eastAsia" w:eastAsia="宋体"/>
                <w:b w:val="0"/>
                <w:bCs w:val="0"/>
                <w:color w:val="auto"/>
                <w:kern w:val="0"/>
                <w:sz w:val="21"/>
                <w:szCs w:val="21"/>
                <w:lang w:val="en-US" w:eastAsia="zh-CN"/>
              </w:rPr>
              <w:t>2</w:t>
            </w:r>
            <w:r>
              <w:rPr>
                <w:rFonts w:hint="eastAsia" w:eastAsia="宋体"/>
                <w:b w:val="0"/>
                <w:bCs w:val="0"/>
                <w:color w:val="auto"/>
                <w:kern w:val="0"/>
                <w:sz w:val="21"/>
                <w:szCs w:val="21"/>
                <w:lang w:eastAsia="zh-CN"/>
              </w:rPr>
              <w:t>）</w:t>
            </w:r>
            <w:r>
              <w:rPr>
                <w:rFonts w:hint="eastAsia" w:eastAsia="宋体"/>
                <w:b w:val="0"/>
                <w:bCs w:val="0"/>
                <w:color w:val="auto"/>
                <w:kern w:val="0"/>
                <w:sz w:val="21"/>
                <w:szCs w:val="21"/>
              </w:rPr>
              <w:t>废气排气筒（烟囱）规范化</w:t>
            </w:r>
          </w:p>
          <w:p w14:paraId="427B6A6D">
            <w:pPr>
              <w:pStyle w:val="697"/>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20" w:firstLineChars="200"/>
              <w:jc w:val="both"/>
              <w:textAlignment w:val="auto"/>
              <w:rPr>
                <w:rFonts w:hint="eastAsia" w:eastAsia="宋体"/>
                <w:b w:val="0"/>
                <w:bCs w:val="0"/>
                <w:color w:val="auto"/>
                <w:kern w:val="0"/>
                <w:sz w:val="21"/>
                <w:szCs w:val="21"/>
              </w:rPr>
            </w:pPr>
            <w:r>
              <w:rPr>
                <w:rFonts w:hint="eastAsia" w:eastAsia="宋体"/>
                <w:b w:val="0"/>
                <w:bCs w:val="0"/>
                <w:color w:val="auto"/>
                <w:kern w:val="0"/>
                <w:sz w:val="21"/>
                <w:szCs w:val="21"/>
              </w:rPr>
              <w:t>本项目废气排放口要按要求装好标志牌。有组织排放废气的排气筒高度符合国家大气污染物排放标准的有关规定，并设置永久采样孔。根据《关于印发&lt;江苏省污染源自动监控管理办法（试行）&gt;的通知》（苏环发〔2021〕3号）要求：“单排放口VOC</w:t>
            </w:r>
            <w:r>
              <w:rPr>
                <w:rFonts w:hint="eastAsia" w:eastAsia="宋体"/>
                <w:b w:val="0"/>
                <w:bCs w:val="0"/>
                <w:color w:val="auto"/>
                <w:kern w:val="0"/>
                <w:sz w:val="21"/>
                <w:szCs w:val="21"/>
                <w:lang w:val="en-US" w:eastAsia="zh-CN"/>
              </w:rPr>
              <w:t>s</w:t>
            </w:r>
            <w:r>
              <w:rPr>
                <w:rFonts w:hint="eastAsia" w:eastAsia="宋体"/>
                <w:b w:val="0"/>
                <w:bCs w:val="0"/>
                <w:color w:val="auto"/>
                <w:kern w:val="0"/>
                <w:sz w:val="21"/>
                <w:szCs w:val="21"/>
              </w:rPr>
              <w:t>排放涉及小时废气排放量3万立方米及以上的其它行业安装VOC</w:t>
            </w:r>
            <w:r>
              <w:rPr>
                <w:rFonts w:hint="eastAsia" w:eastAsia="宋体"/>
                <w:b w:val="0"/>
                <w:bCs w:val="0"/>
                <w:color w:val="auto"/>
                <w:kern w:val="0"/>
                <w:sz w:val="21"/>
                <w:szCs w:val="21"/>
                <w:lang w:val="en-US" w:eastAsia="zh-CN"/>
              </w:rPr>
              <w:t>s</w:t>
            </w:r>
            <w:r>
              <w:rPr>
                <w:rFonts w:hint="eastAsia" w:eastAsia="宋体"/>
                <w:b w:val="0"/>
                <w:bCs w:val="0"/>
                <w:color w:val="auto"/>
                <w:kern w:val="0"/>
                <w:sz w:val="21"/>
                <w:szCs w:val="21"/>
              </w:rPr>
              <w:t>自动监测设备。”</w:t>
            </w:r>
          </w:p>
          <w:p w14:paraId="742C4969">
            <w:pPr>
              <w:pStyle w:val="697"/>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20" w:firstLineChars="200"/>
              <w:jc w:val="both"/>
              <w:textAlignment w:val="auto"/>
              <w:rPr>
                <w:rFonts w:hint="eastAsia" w:eastAsia="宋体"/>
                <w:b w:val="0"/>
                <w:bCs w:val="0"/>
                <w:color w:val="auto"/>
                <w:kern w:val="0"/>
                <w:sz w:val="21"/>
                <w:szCs w:val="21"/>
              </w:rPr>
            </w:pPr>
            <w:r>
              <w:rPr>
                <w:rFonts w:hint="eastAsia" w:eastAsia="宋体"/>
                <w:b w:val="0"/>
                <w:bCs w:val="0"/>
                <w:color w:val="auto"/>
                <w:kern w:val="0"/>
                <w:sz w:val="21"/>
                <w:szCs w:val="21"/>
                <w:lang w:eastAsia="zh-CN"/>
              </w:rPr>
              <w:t>（</w:t>
            </w:r>
            <w:r>
              <w:rPr>
                <w:rFonts w:hint="eastAsia" w:eastAsia="宋体"/>
                <w:b w:val="0"/>
                <w:bCs w:val="0"/>
                <w:color w:val="auto"/>
                <w:kern w:val="0"/>
                <w:sz w:val="21"/>
                <w:szCs w:val="21"/>
                <w:lang w:val="en-US" w:eastAsia="zh-CN"/>
              </w:rPr>
              <w:t>3</w:t>
            </w:r>
            <w:r>
              <w:rPr>
                <w:rFonts w:hint="eastAsia" w:eastAsia="宋体"/>
                <w:b w:val="0"/>
                <w:bCs w:val="0"/>
                <w:color w:val="auto"/>
                <w:kern w:val="0"/>
                <w:sz w:val="21"/>
                <w:szCs w:val="21"/>
                <w:lang w:eastAsia="zh-CN"/>
              </w:rPr>
              <w:t>）</w:t>
            </w:r>
            <w:r>
              <w:rPr>
                <w:rFonts w:hint="eastAsia" w:eastAsia="宋体"/>
                <w:b w:val="0"/>
                <w:bCs w:val="0"/>
                <w:color w:val="auto"/>
                <w:kern w:val="0"/>
                <w:sz w:val="21"/>
                <w:szCs w:val="21"/>
              </w:rPr>
              <w:t>固定噪声污染源扰民处规范化整治</w:t>
            </w:r>
          </w:p>
          <w:p w14:paraId="4DC829C2">
            <w:pPr>
              <w:pStyle w:val="697"/>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20" w:firstLineChars="200"/>
              <w:jc w:val="both"/>
              <w:textAlignment w:val="auto"/>
              <w:rPr>
                <w:rFonts w:hint="eastAsia" w:eastAsia="宋体"/>
                <w:b w:val="0"/>
                <w:bCs w:val="0"/>
                <w:color w:val="auto"/>
                <w:kern w:val="0"/>
                <w:sz w:val="21"/>
                <w:szCs w:val="21"/>
              </w:rPr>
            </w:pPr>
            <w:r>
              <w:rPr>
                <w:rFonts w:hint="eastAsia" w:eastAsia="宋体"/>
                <w:b w:val="0"/>
                <w:bCs w:val="0"/>
                <w:color w:val="auto"/>
                <w:kern w:val="0"/>
                <w:sz w:val="21"/>
                <w:szCs w:val="21"/>
              </w:rPr>
              <w:t>对固定噪声污染源（即其产生的噪声超标国家标准并干扰他人正常生活、工作和学习的固定噪声源）对边界影响最大处，设置环境噪声监测点，并在该处附近醒目处设置环境保护图形标志牌；边界上有若干个在声环境中相对独立的固定噪声污染源扰民处，应分别设置环境噪声监测点和环境保护图形标志牌。</w:t>
            </w:r>
          </w:p>
          <w:p w14:paraId="2355CD68">
            <w:pPr>
              <w:pStyle w:val="697"/>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20" w:firstLineChars="200"/>
              <w:jc w:val="both"/>
              <w:textAlignment w:val="auto"/>
              <w:rPr>
                <w:rFonts w:hint="eastAsia" w:eastAsia="宋体"/>
                <w:b w:val="0"/>
                <w:bCs w:val="0"/>
                <w:color w:val="auto"/>
                <w:kern w:val="0"/>
                <w:sz w:val="21"/>
                <w:szCs w:val="21"/>
              </w:rPr>
            </w:pPr>
            <w:r>
              <w:rPr>
                <w:rFonts w:hint="eastAsia" w:eastAsia="宋体"/>
                <w:b w:val="0"/>
                <w:bCs w:val="0"/>
                <w:color w:val="auto"/>
                <w:kern w:val="0"/>
                <w:sz w:val="21"/>
                <w:szCs w:val="21"/>
                <w:lang w:eastAsia="zh-CN"/>
              </w:rPr>
              <w:t>（</w:t>
            </w:r>
            <w:r>
              <w:rPr>
                <w:rFonts w:hint="eastAsia" w:eastAsia="宋体"/>
                <w:b w:val="0"/>
                <w:bCs w:val="0"/>
                <w:color w:val="auto"/>
                <w:kern w:val="0"/>
                <w:sz w:val="21"/>
                <w:szCs w:val="21"/>
                <w:lang w:val="en-US" w:eastAsia="zh-CN"/>
              </w:rPr>
              <w:t>4</w:t>
            </w:r>
            <w:r>
              <w:rPr>
                <w:rFonts w:hint="eastAsia" w:eastAsia="宋体"/>
                <w:b w:val="0"/>
                <w:bCs w:val="0"/>
                <w:color w:val="auto"/>
                <w:kern w:val="0"/>
                <w:sz w:val="21"/>
                <w:szCs w:val="21"/>
                <w:lang w:eastAsia="zh-CN"/>
              </w:rPr>
              <w:t>）</w:t>
            </w:r>
            <w:r>
              <w:rPr>
                <w:rFonts w:hint="eastAsia" w:eastAsia="宋体"/>
                <w:b w:val="0"/>
                <w:bCs w:val="0"/>
                <w:color w:val="auto"/>
                <w:kern w:val="0"/>
                <w:sz w:val="21"/>
                <w:szCs w:val="21"/>
              </w:rPr>
              <w:t>固废（液）堆放规范化整治</w:t>
            </w:r>
          </w:p>
          <w:p w14:paraId="73AF5872">
            <w:pPr>
              <w:pStyle w:val="697"/>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20" w:firstLineChars="200"/>
              <w:jc w:val="both"/>
              <w:textAlignment w:val="auto"/>
              <w:rPr>
                <w:rFonts w:hint="eastAsia" w:eastAsia="宋体"/>
                <w:b w:val="0"/>
                <w:bCs w:val="0"/>
                <w:color w:val="auto"/>
                <w:kern w:val="0"/>
                <w:sz w:val="21"/>
                <w:szCs w:val="21"/>
              </w:rPr>
            </w:pPr>
            <w:r>
              <w:rPr>
                <w:rFonts w:hint="eastAsia" w:eastAsia="宋体"/>
                <w:b w:val="0"/>
                <w:bCs w:val="0"/>
                <w:color w:val="auto"/>
                <w:kern w:val="0"/>
                <w:sz w:val="21"/>
                <w:szCs w:val="21"/>
              </w:rPr>
              <w:t>公司为固体废物污染防治的责任主体，应按《中华人民共和国固体废物污染环境防治法》、《危险废物贮存污染控制标准》等要求，建立风险管理及应急救援体系，执行环境监测计划、转移联单管理制度及国家和省有关转移管理的相关规定、处置过程安全操作规程、人员培训考核制度、档案管理制度、处置全过程管理制度等。同时，应通过“江苏省危险废物动态管理信息系统”（江苏省环保厅网站）进行危险废物申报登记。将危险废物的实际产生、贮存、利用、处置等情况纳入生产记录，建立危险废物管理台账和企业内部产生和收集、贮存、转移等部门危险废物交接制度。</w:t>
            </w:r>
          </w:p>
          <w:p w14:paraId="50E9718B">
            <w:pPr>
              <w:adjustRightInd w:val="0"/>
              <w:snapToGrid w:val="0"/>
              <w:spacing w:line="360" w:lineRule="auto"/>
              <w:ind w:firstLine="420" w:firstLineChars="200"/>
              <w:jc w:val="left"/>
              <w:rPr>
                <w:color w:val="auto"/>
                <w:kern w:val="0"/>
              </w:rPr>
            </w:pPr>
            <w:r>
              <w:rPr>
                <w:rFonts w:hint="eastAsia" w:eastAsia="宋体"/>
                <w:b w:val="0"/>
                <w:bCs w:val="0"/>
                <w:color w:val="auto"/>
                <w:kern w:val="0"/>
                <w:sz w:val="21"/>
                <w:szCs w:val="21"/>
              </w:rPr>
              <w:t>固废（液）堆场应设置环境保护图形标志牌，将生活垃圾、工业固废等分开堆放，做到防火、防扬散、防渗漏，确保不对周围环境形成二次污染。</w:t>
            </w:r>
          </w:p>
        </w:tc>
      </w:tr>
    </w:tbl>
    <w:p w14:paraId="45D4B769">
      <w:pPr>
        <w:pStyle w:val="5"/>
        <w:rPr>
          <w:color w:val="auto"/>
        </w:rPr>
        <w:sectPr>
          <w:pgSz w:w="11907" w:h="16840"/>
          <w:pgMar w:top="1418" w:right="1361" w:bottom="1418" w:left="1361" w:header="851" w:footer="851" w:gutter="0"/>
          <w:pgBorders>
            <w:top w:val="none" w:sz="0" w:space="0"/>
            <w:left w:val="none" w:sz="0" w:space="0"/>
            <w:bottom w:val="none" w:sz="0" w:space="0"/>
            <w:right w:val="none" w:sz="0" w:space="0"/>
          </w:pgBorders>
          <w:cols w:space="720" w:num="1"/>
          <w:docGrid w:linePitch="312" w:charSpace="0"/>
        </w:sectPr>
      </w:pPr>
    </w:p>
    <w:p w14:paraId="1AC4F5CD">
      <w:pPr>
        <w:pStyle w:val="55"/>
        <w:rPr>
          <w:color w:val="auto"/>
        </w:rPr>
      </w:pPr>
      <w:bookmarkStart w:id="22" w:name="_Hlk54167917"/>
      <w:bookmarkStart w:id="23" w:name="_Toc21098"/>
      <w:bookmarkStart w:id="24" w:name="_Toc137559023"/>
      <w:bookmarkStart w:id="25" w:name="_Toc21167"/>
      <w:r>
        <w:rPr>
          <w:color w:val="auto"/>
        </w:rPr>
        <w:t>五、环境保护措施监督检查清单</w:t>
      </w:r>
      <w:bookmarkEnd w:id="22"/>
      <w:bookmarkEnd w:id="23"/>
      <w:bookmarkEnd w:id="24"/>
      <w:bookmarkEnd w:id="25"/>
    </w:p>
    <w:tbl>
      <w:tblPr>
        <w:tblStyle w:val="59"/>
        <w:tblW w:w="4997"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63"/>
        <w:gridCol w:w="1514"/>
        <w:gridCol w:w="730"/>
        <w:gridCol w:w="540"/>
        <w:gridCol w:w="784"/>
        <w:gridCol w:w="1710"/>
        <w:gridCol w:w="2914"/>
      </w:tblGrid>
      <w:tr w14:paraId="303AC21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76" w:type="pct"/>
            <w:tcBorders>
              <w:bottom w:val="single" w:color="auto" w:sz="8" w:space="0"/>
              <w:tl2br w:val="single" w:color="auto" w:sz="4" w:space="0"/>
            </w:tcBorders>
            <w:vAlign w:val="center"/>
          </w:tcPr>
          <w:p w14:paraId="4F2C17C3">
            <w:pPr>
              <w:adjustRightInd w:val="0"/>
              <w:snapToGrid w:val="0"/>
              <w:jc w:val="right"/>
              <w:rPr>
                <w:b/>
                <w:color w:val="auto"/>
              </w:rPr>
            </w:pPr>
            <w:r>
              <w:rPr>
                <w:b/>
                <w:color w:val="auto"/>
              </w:rPr>
              <w:t>内容</w:t>
            </w:r>
          </w:p>
          <w:p w14:paraId="60F4695C">
            <w:pPr>
              <w:adjustRightInd w:val="0"/>
              <w:snapToGrid w:val="0"/>
              <w:jc w:val="left"/>
              <w:rPr>
                <w:b/>
                <w:color w:val="auto"/>
              </w:rPr>
            </w:pPr>
            <w:r>
              <w:rPr>
                <w:b/>
                <w:color w:val="auto"/>
              </w:rPr>
              <w:t>要素</w:t>
            </w:r>
          </w:p>
        </w:tc>
        <w:tc>
          <w:tcPr>
            <w:tcW w:w="836" w:type="pct"/>
            <w:tcBorders>
              <w:bottom w:val="single" w:color="auto" w:sz="8" w:space="0"/>
            </w:tcBorders>
            <w:vAlign w:val="center"/>
          </w:tcPr>
          <w:p w14:paraId="0B554F7E">
            <w:pPr>
              <w:adjustRightInd w:val="0"/>
              <w:snapToGrid w:val="0"/>
              <w:jc w:val="center"/>
              <w:rPr>
                <w:b/>
                <w:color w:val="auto"/>
              </w:rPr>
            </w:pPr>
            <w:r>
              <w:rPr>
                <w:b/>
                <w:color w:val="auto"/>
              </w:rPr>
              <w:t>排放口</w:t>
            </w:r>
            <w:r>
              <w:rPr>
                <w:rFonts w:hint="eastAsia"/>
                <w:b/>
                <w:color w:val="auto"/>
              </w:rPr>
              <w:t>（</w:t>
            </w:r>
            <w:r>
              <w:rPr>
                <w:b/>
                <w:color w:val="auto"/>
              </w:rPr>
              <w:t>编号、名称</w:t>
            </w:r>
            <w:r>
              <w:rPr>
                <w:rFonts w:hint="eastAsia"/>
                <w:b/>
                <w:color w:val="auto"/>
              </w:rPr>
              <w:t>）</w:t>
            </w:r>
            <w:r>
              <w:rPr>
                <w:b/>
                <w:color w:val="auto"/>
              </w:rPr>
              <w:t>/污染源</w:t>
            </w:r>
          </w:p>
        </w:tc>
        <w:tc>
          <w:tcPr>
            <w:tcW w:w="701" w:type="pct"/>
            <w:gridSpan w:val="2"/>
            <w:tcBorders>
              <w:bottom w:val="single" w:color="auto" w:sz="8" w:space="0"/>
            </w:tcBorders>
            <w:vAlign w:val="center"/>
          </w:tcPr>
          <w:p w14:paraId="01003CAC">
            <w:pPr>
              <w:adjustRightInd w:val="0"/>
              <w:snapToGrid w:val="0"/>
              <w:jc w:val="center"/>
              <w:rPr>
                <w:b/>
                <w:color w:val="auto"/>
              </w:rPr>
            </w:pPr>
            <w:r>
              <w:rPr>
                <w:b/>
                <w:color w:val="auto"/>
              </w:rPr>
              <w:t>污染物项目</w:t>
            </w:r>
          </w:p>
        </w:tc>
        <w:tc>
          <w:tcPr>
            <w:tcW w:w="1377" w:type="pct"/>
            <w:gridSpan w:val="2"/>
            <w:tcBorders>
              <w:bottom w:val="single" w:color="auto" w:sz="8" w:space="0"/>
            </w:tcBorders>
            <w:vAlign w:val="center"/>
          </w:tcPr>
          <w:p w14:paraId="16D3C499">
            <w:pPr>
              <w:adjustRightInd w:val="0"/>
              <w:snapToGrid w:val="0"/>
              <w:jc w:val="center"/>
              <w:rPr>
                <w:b/>
                <w:color w:val="auto"/>
              </w:rPr>
            </w:pPr>
            <w:r>
              <w:rPr>
                <w:b/>
                <w:color w:val="auto"/>
              </w:rPr>
              <w:t>环境保护措施</w:t>
            </w:r>
          </w:p>
        </w:tc>
        <w:tc>
          <w:tcPr>
            <w:tcW w:w="1609" w:type="pct"/>
            <w:tcBorders>
              <w:bottom w:val="single" w:color="auto" w:sz="8" w:space="0"/>
            </w:tcBorders>
            <w:vAlign w:val="center"/>
          </w:tcPr>
          <w:p w14:paraId="00F66173">
            <w:pPr>
              <w:adjustRightInd w:val="0"/>
              <w:snapToGrid w:val="0"/>
              <w:jc w:val="center"/>
              <w:rPr>
                <w:b/>
                <w:color w:val="auto"/>
              </w:rPr>
            </w:pPr>
            <w:r>
              <w:rPr>
                <w:b/>
                <w:color w:val="auto"/>
              </w:rPr>
              <w:t>执行标准</w:t>
            </w:r>
          </w:p>
        </w:tc>
      </w:tr>
      <w:tr w14:paraId="38680DA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476" w:type="pct"/>
            <w:vMerge w:val="restart"/>
            <w:tcBorders>
              <w:top w:val="single" w:color="auto" w:sz="8" w:space="0"/>
              <w:right w:val="single" w:color="auto" w:sz="8" w:space="0"/>
            </w:tcBorders>
            <w:vAlign w:val="center"/>
          </w:tcPr>
          <w:p w14:paraId="0A9C25F3">
            <w:pPr>
              <w:adjustRightInd w:val="0"/>
              <w:snapToGrid w:val="0"/>
              <w:jc w:val="center"/>
              <w:rPr>
                <w:color w:val="auto"/>
              </w:rPr>
            </w:pPr>
            <w:r>
              <w:rPr>
                <w:color w:val="auto"/>
              </w:rPr>
              <w:t>大气</w:t>
            </w:r>
          </w:p>
          <w:p w14:paraId="43814548">
            <w:pPr>
              <w:adjustRightInd w:val="0"/>
              <w:snapToGrid w:val="0"/>
              <w:jc w:val="center"/>
              <w:rPr>
                <w:color w:val="auto"/>
              </w:rPr>
            </w:pPr>
            <w:r>
              <w:rPr>
                <w:color w:val="auto"/>
              </w:rPr>
              <w:t>环境</w:t>
            </w:r>
          </w:p>
        </w:tc>
        <w:tc>
          <w:tcPr>
            <w:tcW w:w="836" w:type="pct"/>
            <w:vMerge w:val="restart"/>
            <w:tcBorders>
              <w:top w:val="single" w:color="auto" w:sz="8" w:space="0"/>
              <w:left w:val="single" w:color="auto" w:sz="8" w:space="0"/>
              <w:right w:val="single" w:color="auto" w:sz="8" w:space="0"/>
            </w:tcBorders>
            <w:vAlign w:val="center"/>
          </w:tcPr>
          <w:p w14:paraId="63DD9912">
            <w:pPr>
              <w:adjustRightInd w:val="0"/>
              <w:snapToGrid w:val="0"/>
              <w:jc w:val="center"/>
              <w:rPr>
                <w:color w:val="auto"/>
              </w:rPr>
            </w:pPr>
            <w:r>
              <w:rPr>
                <w:rFonts w:hint="eastAsia"/>
                <w:color w:val="auto"/>
              </w:rPr>
              <w:t>有组织</w:t>
            </w:r>
          </w:p>
        </w:tc>
        <w:tc>
          <w:tcPr>
            <w:tcW w:w="701" w:type="pct"/>
            <w:gridSpan w:val="2"/>
            <w:tcBorders>
              <w:top w:val="single" w:color="auto" w:sz="8" w:space="0"/>
              <w:left w:val="single" w:color="auto" w:sz="8" w:space="0"/>
              <w:bottom w:val="single" w:color="auto" w:sz="8" w:space="0"/>
              <w:right w:val="single" w:color="auto" w:sz="8" w:space="0"/>
            </w:tcBorders>
            <w:vAlign w:val="center"/>
          </w:tcPr>
          <w:p w14:paraId="2756156D">
            <w:pPr>
              <w:widowControl/>
              <w:adjustRightInd w:val="0"/>
              <w:snapToGrid w:val="0"/>
              <w:jc w:val="center"/>
              <w:rPr>
                <w:rFonts w:hint="eastAsia" w:eastAsia="宋体"/>
                <w:color w:val="auto"/>
                <w:lang w:val="en-US" w:eastAsia="zh-CN"/>
              </w:rPr>
            </w:pPr>
            <w:r>
              <w:rPr>
                <w:rFonts w:hint="eastAsia"/>
                <w:color w:val="auto"/>
                <w:lang w:val="en-US" w:eastAsia="zh-CN"/>
              </w:rPr>
              <w:t>颗粒物</w:t>
            </w:r>
          </w:p>
        </w:tc>
        <w:tc>
          <w:tcPr>
            <w:tcW w:w="1377" w:type="pct"/>
            <w:gridSpan w:val="2"/>
            <w:tcBorders>
              <w:top w:val="single" w:color="auto" w:sz="8" w:space="0"/>
              <w:left w:val="single" w:color="auto" w:sz="8" w:space="0"/>
              <w:bottom w:val="single" w:color="auto" w:sz="8" w:space="0"/>
              <w:right w:val="single" w:color="auto" w:sz="8" w:space="0"/>
            </w:tcBorders>
            <w:vAlign w:val="center"/>
          </w:tcPr>
          <w:p w14:paraId="607A2FC5">
            <w:pPr>
              <w:adjustRightInd w:val="0"/>
              <w:snapToGrid w:val="0"/>
              <w:jc w:val="center"/>
              <w:rPr>
                <w:color w:val="auto"/>
              </w:rPr>
            </w:pPr>
            <w:r>
              <w:rPr>
                <w:rFonts w:hint="eastAsia"/>
                <w:color w:val="auto"/>
                <w:lang w:val="en-US" w:eastAsia="zh-CN"/>
              </w:rPr>
              <w:t>经“袋式除尘装置”处理后通过15m高的排气筒DA001排放</w:t>
            </w:r>
          </w:p>
        </w:tc>
        <w:tc>
          <w:tcPr>
            <w:tcW w:w="1609" w:type="pct"/>
            <w:vMerge w:val="restart"/>
            <w:tcBorders>
              <w:top w:val="single" w:color="auto" w:sz="8" w:space="0"/>
              <w:left w:val="single" w:color="auto" w:sz="8" w:space="0"/>
            </w:tcBorders>
            <w:vAlign w:val="center"/>
          </w:tcPr>
          <w:p w14:paraId="462D6D26">
            <w:pPr>
              <w:adjustRightInd w:val="0"/>
              <w:snapToGrid w:val="0"/>
              <w:jc w:val="center"/>
              <w:rPr>
                <w:rFonts w:hint="default"/>
                <w:color w:val="auto"/>
                <w:lang w:val="en-US"/>
              </w:rPr>
            </w:pPr>
            <w:r>
              <w:rPr>
                <w:rFonts w:hint="eastAsia"/>
                <w:color w:val="auto"/>
                <w:lang w:val="en-US" w:eastAsia="zh-CN"/>
              </w:rPr>
              <w:t>《大气污染物综合排放标准》（DB32 4041-2021）表1</w:t>
            </w:r>
          </w:p>
        </w:tc>
      </w:tr>
      <w:tr w14:paraId="1A9714C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2" w:hRule="atLeast"/>
          <w:jc w:val="center"/>
        </w:trPr>
        <w:tc>
          <w:tcPr>
            <w:tcW w:w="476" w:type="pct"/>
            <w:vMerge w:val="continue"/>
            <w:tcBorders>
              <w:right w:val="single" w:color="auto" w:sz="8" w:space="0"/>
            </w:tcBorders>
            <w:vAlign w:val="center"/>
          </w:tcPr>
          <w:p w14:paraId="72BF4D2B">
            <w:pPr>
              <w:adjustRightInd w:val="0"/>
              <w:snapToGrid w:val="0"/>
              <w:jc w:val="center"/>
              <w:rPr>
                <w:color w:val="auto"/>
              </w:rPr>
            </w:pPr>
          </w:p>
        </w:tc>
        <w:tc>
          <w:tcPr>
            <w:tcW w:w="836" w:type="pct"/>
            <w:vMerge w:val="continue"/>
            <w:tcBorders>
              <w:left w:val="single" w:color="auto" w:sz="8" w:space="0"/>
              <w:right w:val="single" w:color="auto" w:sz="8" w:space="0"/>
            </w:tcBorders>
            <w:vAlign w:val="center"/>
          </w:tcPr>
          <w:p w14:paraId="14463661">
            <w:pPr>
              <w:adjustRightInd w:val="0"/>
              <w:snapToGrid w:val="0"/>
              <w:jc w:val="center"/>
              <w:rPr>
                <w:rFonts w:hint="eastAsia"/>
                <w:color w:val="auto"/>
              </w:rPr>
            </w:pPr>
          </w:p>
        </w:tc>
        <w:tc>
          <w:tcPr>
            <w:tcW w:w="701" w:type="pct"/>
            <w:gridSpan w:val="2"/>
            <w:tcBorders>
              <w:top w:val="single" w:color="auto" w:sz="8" w:space="0"/>
              <w:left w:val="single" w:color="auto" w:sz="8" w:space="0"/>
              <w:bottom w:val="single" w:color="auto" w:sz="8" w:space="0"/>
              <w:right w:val="single" w:color="auto" w:sz="8" w:space="0"/>
            </w:tcBorders>
            <w:vAlign w:val="center"/>
          </w:tcPr>
          <w:p w14:paraId="217B61E2">
            <w:pPr>
              <w:widowControl/>
              <w:adjustRightInd w:val="0"/>
              <w:snapToGrid w:val="0"/>
              <w:jc w:val="center"/>
              <w:rPr>
                <w:rFonts w:hint="default"/>
                <w:color w:val="auto"/>
                <w:lang w:val="en-US" w:eastAsia="zh-CN"/>
              </w:rPr>
            </w:pPr>
            <w:r>
              <w:rPr>
                <w:rFonts w:hint="eastAsia"/>
                <w:color w:val="auto"/>
                <w:lang w:val="en-US" w:eastAsia="zh-CN"/>
              </w:rPr>
              <w:t>二甲苯</w:t>
            </w:r>
          </w:p>
        </w:tc>
        <w:tc>
          <w:tcPr>
            <w:tcW w:w="1377" w:type="pct"/>
            <w:gridSpan w:val="2"/>
            <w:vMerge w:val="restart"/>
            <w:tcBorders>
              <w:top w:val="single" w:color="auto" w:sz="8" w:space="0"/>
              <w:left w:val="single" w:color="auto" w:sz="8" w:space="0"/>
              <w:right w:val="single" w:color="auto" w:sz="8" w:space="0"/>
            </w:tcBorders>
            <w:vAlign w:val="center"/>
          </w:tcPr>
          <w:p w14:paraId="4E254E4B">
            <w:pPr>
              <w:adjustRightInd w:val="0"/>
              <w:snapToGrid w:val="0"/>
              <w:jc w:val="center"/>
              <w:rPr>
                <w:rFonts w:hint="eastAsia"/>
                <w:color w:val="auto"/>
                <w:lang w:val="en-US" w:eastAsia="zh-CN"/>
              </w:rPr>
            </w:pPr>
            <w:r>
              <w:rPr>
                <w:rFonts w:hint="eastAsia"/>
                <w:color w:val="auto"/>
                <w:lang w:val="en-US" w:eastAsia="zh-CN"/>
              </w:rPr>
              <w:t>经“过滤棉+二级活性炭装置”处理后通过15m高的排气筒DA002排放</w:t>
            </w:r>
          </w:p>
        </w:tc>
        <w:tc>
          <w:tcPr>
            <w:tcW w:w="1609" w:type="pct"/>
            <w:vMerge w:val="continue"/>
            <w:tcBorders>
              <w:left w:val="single" w:color="auto" w:sz="8" w:space="0"/>
            </w:tcBorders>
            <w:vAlign w:val="center"/>
          </w:tcPr>
          <w:p w14:paraId="0BE1854E">
            <w:pPr>
              <w:adjustRightInd w:val="0"/>
              <w:snapToGrid w:val="0"/>
              <w:jc w:val="center"/>
              <w:rPr>
                <w:rFonts w:hint="eastAsia"/>
                <w:color w:val="auto"/>
                <w:kern w:val="0"/>
                <w:sz w:val="21"/>
              </w:rPr>
            </w:pPr>
          </w:p>
        </w:tc>
      </w:tr>
      <w:tr w14:paraId="730A93C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2" w:hRule="atLeast"/>
          <w:jc w:val="center"/>
        </w:trPr>
        <w:tc>
          <w:tcPr>
            <w:tcW w:w="476" w:type="pct"/>
            <w:vMerge w:val="continue"/>
            <w:tcBorders>
              <w:right w:val="single" w:color="auto" w:sz="8" w:space="0"/>
            </w:tcBorders>
            <w:vAlign w:val="center"/>
          </w:tcPr>
          <w:p w14:paraId="66834E44">
            <w:pPr>
              <w:adjustRightInd w:val="0"/>
              <w:snapToGrid w:val="0"/>
              <w:jc w:val="center"/>
              <w:rPr>
                <w:color w:val="auto"/>
              </w:rPr>
            </w:pPr>
          </w:p>
        </w:tc>
        <w:tc>
          <w:tcPr>
            <w:tcW w:w="836" w:type="pct"/>
            <w:vMerge w:val="continue"/>
            <w:tcBorders>
              <w:left w:val="single" w:color="auto" w:sz="8" w:space="0"/>
              <w:right w:val="single" w:color="auto" w:sz="8" w:space="0"/>
            </w:tcBorders>
            <w:vAlign w:val="center"/>
          </w:tcPr>
          <w:p w14:paraId="5C87C991">
            <w:pPr>
              <w:adjustRightInd w:val="0"/>
              <w:snapToGrid w:val="0"/>
              <w:jc w:val="center"/>
              <w:rPr>
                <w:rFonts w:hint="eastAsia"/>
                <w:color w:val="auto"/>
              </w:rPr>
            </w:pPr>
          </w:p>
        </w:tc>
        <w:tc>
          <w:tcPr>
            <w:tcW w:w="701" w:type="pct"/>
            <w:gridSpan w:val="2"/>
            <w:tcBorders>
              <w:top w:val="single" w:color="auto" w:sz="8" w:space="0"/>
              <w:left w:val="single" w:color="auto" w:sz="8" w:space="0"/>
              <w:bottom w:val="single" w:color="auto" w:sz="8" w:space="0"/>
              <w:right w:val="single" w:color="auto" w:sz="8" w:space="0"/>
            </w:tcBorders>
            <w:vAlign w:val="center"/>
          </w:tcPr>
          <w:p w14:paraId="0C27F8B5">
            <w:pPr>
              <w:widowControl/>
              <w:adjustRightInd w:val="0"/>
              <w:snapToGrid w:val="0"/>
              <w:jc w:val="center"/>
              <w:rPr>
                <w:rFonts w:hint="eastAsia" w:eastAsia="宋体"/>
                <w:color w:val="auto"/>
                <w:lang w:val="en-US" w:eastAsia="zh-CN"/>
              </w:rPr>
            </w:pPr>
            <w:r>
              <w:rPr>
                <w:rFonts w:hint="eastAsia"/>
                <w:color w:val="auto"/>
                <w:lang w:val="en-US" w:eastAsia="zh-CN"/>
              </w:rPr>
              <w:t>非甲烷总烃</w:t>
            </w:r>
          </w:p>
        </w:tc>
        <w:tc>
          <w:tcPr>
            <w:tcW w:w="1377" w:type="pct"/>
            <w:gridSpan w:val="2"/>
            <w:vMerge w:val="continue"/>
            <w:tcBorders>
              <w:left w:val="single" w:color="auto" w:sz="8" w:space="0"/>
              <w:right w:val="single" w:color="auto" w:sz="8" w:space="0"/>
            </w:tcBorders>
            <w:vAlign w:val="center"/>
          </w:tcPr>
          <w:p w14:paraId="683103C2">
            <w:pPr>
              <w:adjustRightInd w:val="0"/>
              <w:snapToGrid w:val="0"/>
              <w:jc w:val="center"/>
              <w:rPr>
                <w:rFonts w:hint="eastAsia"/>
                <w:color w:val="auto"/>
                <w:lang w:val="en-US" w:eastAsia="zh-CN"/>
              </w:rPr>
            </w:pPr>
          </w:p>
        </w:tc>
        <w:tc>
          <w:tcPr>
            <w:tcW w:w="1609" w:type="pct"/>
            <w:vMerge w:val="restart"/>
            <w:tcBorders>
              <w:top w:val="single" w:color="auto" w:sz="8" w:space="0"/>
              <w:left w:val="single" w:color="auto" w:sz="8" w:space="0"/>
            </w:tcBorders>
            <w:vAlign w:val="center"/>
          </w:tcPr>
          <w:p w14:paraId="5CAEBCED">
            <w:pPr>
              <w:adjustRightInd w:val="0"/>
              <w:snapToGrid w:val="0"/>
              <w:jc w:val="center"/>
              <w:rPr>
                <w:rFonts w:hint="eastAsia"/>
                <w:color w:val="auto"/>
                <w:kern w:val="0"/>
                <w:sz w:val="21"/>
              </w:rPr>
            </w:pPr>
            <w:r>
              <w:rPr>
                <w:rFonts w:hint="eastAsia"/>
                <w:color w:val="auto"/>
                <w:kern w:val="0"/>
                <w:sz w:val="21"/>
              </w:rPr>
              <w:t>《</w:t>
            </w:r>
            <w:r>
              <w:rPr>
                <w:rFonts w:hint="eastAsia"/>
                <w:color w:val="auto"/>
                <w:kern w:val="0"/>
                <w:sz w:val="21"/>
                <w:lang w:val="en-US" w:eastAsia="zh-CN"/>
              </w:rPr>
              <w:t>工业涂装工序大气污染物排放标准</w:t>
            </w:r>
            <w:r>
              <w:rPr>
                <w:rFonts w:hint="eastAsia"/>
                <w:color w:val="auto"/>
                <w:kern w:val="0"/>
                <w:sz w:val="21"/>
              </w:rPr>
              <w:t>》</w:t>
            </w:r>
            <w:r>
              <w:rPr>
                <w:rFonts w:hint="eastAsia"/>
                <w:color w:val="auto"/>
                <w:kern w:val="0"/>
                <w:sz w:val="21"/>
                <w:lang w:eastAsia="zh-CN"/>
              </w:rPr>
              <w:t>（</w:t>
            </w:r>
            <w:r>
              <w:rPr>
                <w:rFonts w:hint="eastAsia"/>
                <w:color w:val="auto"/>
                <w:kern w:val="0"/>
                <w:sz w:val="21"/>
              </w:rPr>
              <w:t>DB32/4439-2022</w:t>
            </w:r>
            <w:r>
              <w:rPr>
                <w:rFonts w:hint="eastAsia"/>
                <w:color w:val="auto"/>
                <w:kern w:val="0"/>
                <w:sz w:val="21"/>
                <w:lang w:eastAsia="zh-CN"/>
              </w:rPr>
              <w:t>）</w:t>
            </w:r>
            <w:r>
              <w:rPr>
                <w:rFonts w:hint="eastAsia"/>
                <w:color w:val="auto"/>
                <w:kern w:val="0"/>
                <w:sz w:val="21"/>
                <w:lang w:val="en-US" w:eastAsia="zh-CN"/>
              </w:rPr>
              <w:t>表1</w:t>
            </w:r>
          </w:p>
        </w:tc>
      </w:tr>
      <w:tr w14:paraId="025C122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476" w:type="pct"/>
            <w:vMerge w:val="continue"/>
            <w:tcBorders>
              <w:right w:val="single" w:color="auto" w:sz="8" w:space="0"/>
            </w:tcBorders>
            <w:vAlign w:val="center"/>
          </w:tcPr>
          <w:p w14:paraId="33695A9F">
            <w:pPr>
              <w:adjustRightInd w:val="0"/>
              <w:snapToGrid w:val="0"/>
              <w:jc w:val="center"/>
              <w:rPr>
                <w:color w:val="auto"/>
              </w:rPr>
            </w:pPr>
          </w:p>
        </w:tc>
        <w:tc>
          <w:tcPr>
            <w:tcW w:w="836" w:type="pct"/>
            <w:vMerge w:val="continue"/>
            <w:tcBorders>
              <w:left w:val="single" w:color="auto" w:sz="8" w:space="0"/>
              <w:right w:val="single" w:color="auto" w:sz="8" w:space="0"/>
            </w:tcBorders>
            <w:vAlign w:val="center"/>
          </w:tcPr>
          <w:p w14:paraId="0892D5BE">
            <w:pPr>
              <w:adjustRightInd w:val="0"/>
              <w:snapToGrid w:val="0"/>
              <w:jc w:val="center"/>
              <w:rPr>
                <w:rFonts w:hint="eastAsia"/>
                <w:color w:val="auto"/>
              </w:rPr>
            </w:pPr>
          </w:p>
        </w:tc>
        <w:tc>
          <w:tcPr>
            <w:tcW w:w="701" w:type="pct"/>
            <w:gridSpan w:val="2"/>
            <w:tcBorders>
              <w:top w:val="single" w:color="auto" w:sz="8" w:space="0"/>
              <w:left w:val="single" w:color="auto" w:sz="8" w:space="0"/>
              <w:bottom w:val="single" w:color="auto" w:sz="8" w:space="0"/>
              <w:right w:val="single" w:color="auto" w:sz="8" w:space="0"/>
            </w:tcBorders>
            <w:vAlign w:val="center"/>
          </w:tcPr>
          <w:p w14:paraId="47D7F692">
            <w:pPr>
              <w:widowControl/>
              <w:adjustRightInd w:val="0"/>
              <w:snapToGrid w:val="0"/>
              <w:jc w:val="center"/>
              <w:rPr>
                <w:rFonts w:hint="eastAsia" w:eastAsia="宋体"/>
                <w:color w:val="auto"/>
                <w:lang w:val="en-US" w:eastAsia="zh-CN"/>
              </w:rPr>
            </w:pPr>
            <w:r>
              <w:rPr>
                <w:rFonts w:hint="eastAsia"/>
                <w:color w:val="auto"/>
                <w:lang w:val="en-US" w:eastAsia="zh-CN"/>
              </w:rPr>
              <w:t>颗粒物</w:t>
            </w:r>
          </w:p>
        </w:tc>
        <w:tc>
          <w:tcPr>
            <w:tcW w:w="1377" w:type="pct"/>
            <w:gridSpan w:val="2"/>
            <w:vMerge w:val="continue"/>
            <w:tcBorders>
              <w:left w:val="single" w:color="auto" w:sz="8" w:space="0"/>
              <w:right w:val="single" w:color="auto" w:sz="8" w:space="0"/>
            </w:tcBorders>
            <w:vAlign w:val="center"/>
          </w:tcPr>
          <w:p w14:paraId="14B31067">
            <w:pPr>
              <w:adjustRightInd w:val="0"/>
              <w:snapToGrid w:val="0"/>
              <w:jc w:val="center"/>
              <w:rPr>
                <w:rFonts w:hint="eastAsia"/>
                <w:color w:val="auto"/>
                <w:lang w:val="en-US" w:eastAsia="zh-CN"/>
              </w:rPr>
            </w:pPr>
          </w:p>
        </w:tc>
        <w:tc>
          <w:tcPr>
            <w:tcW w:w="1609" w:type="pct"/>
            <w:vMerge w:val="continue"/>
            <w:tcBorders>
              <w:left w:val="single" w:color="auto" w:sz="8" w:space="0"/>
            </w:tcBorders>
            <w:vAlign w:val="center"/>
          </w:tcPr>
          <w:p w14:paraId="35BC8265">
            <w:pPr>
              <w:adjustRightInd w:val="0"/>
              <w:snapToGrid w:val="0"/>
              <w:jc w:val="center"/>
              <w:rPr>
                <w:rFonts w:hint="eastAsia"/>
                <w:color w:val="auto"/>
                <w:kern w:val="0"/>
                <w:sz w:val="21"/>
              </w:rPr>
            </w:pPr>
          </w:p>
        </w:tc>
      </w:tr>
      <w:tr w14:paraId="6253877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476" w:type="pct"/>
            <w:vMerge w:val="continue"/>
            <w:tcBorders>
              <w:right w:val="single" w:color="auto" w:sz="8" w:space="0"/>
            </w:tcBorders>
            <w:vAlign w:val="center"/>
          </w:tcPr>
          <w:p w14:paraId="78105D0A">
            <w:pPr>
              <w:adjustRightInd w:val="0"/>
              <w:snapToGrid w:val="0"/>
              <w:jc w:val="center"/>
              <w:rPr>
                <w:color w:val="auto"/>
              </w:rPr>
            </w:pPr>
          </w:p>
        </w:tc>
        <w:tc>
          <w:tcPr>
            <w:tcW w:w="836" w:type="pct"/>
            <w:vMerge w:val="continue"/>
            <w:tcBorders>
              <w:left w:val="single" w:color="auto" w:sz="8" w:space="0"/>
              <w:bottom w:val="single" w:color="auto" w:sz="8" w:space="0"/>
              <w:right w:val="single" w:color="auto" w:sz="8" w:space="0"/>
            </w:tcBorders>
            <w:vAlign w:val="center"/>
          </w:tcPr>
          <w:p w14:paraId="50DF189E">
            <w:pPr>
              <w:adjustRightInd w:val="0"/>
              <w:snapToGrid w:val="0"/>
              <w:jc w:val="center"/>
              <w:rPr>
                <w:rFonts w:hint="eastAsia"/>
                <w:color w:val="auto"/>
              </w:rPr>
            </w:pPr>
          </w:p>
        </w:tc>
        <w:tc>
          <w:tcPr>
            <w:tcW w:w="701" w:type="pct"/>
            <w:gridSpan w:val="2"/>
            <w:tcBorders>
              <w:top w:val="single" w:color="auto" w:sz="8" w:space="0"/>
              <w:left w:val="single" w:color="auto" w:sz="8" w:space="0"/>
              <w:bottom w:val="single" w:color="auto" w:sz="8" w:space="0"/>
              <w:right w:val="single" w:color="auto" w:sz="8" w:space="0"/>
            </w:tcBorders>
            <w:vAlign w:val="center"/>
          </w:tcPr>
          <w:p w14:paraId="4ECD0449">
            <w:pPr>
              <w:widowControl/>
              <w:adjustRightInd w:val="0"/>
              <w:snapToGrid w:val="0"/>
              <w:jc w:val="center"/>
              <w:rPr>
                <w:rFonts w:hint="default"/>
                <w:color w:val="auto"/>
                <w:lang w:val="en-US" w:eastAsia="zh-CN"/>
              </w:rPr>
            </w:pPr>
            <w:r>
              <w:rPr>
                <w:rFonts w:hint="eastAsia"/>
                <w:color w:val="auto"/>
                <w:lang w:val="en-US" w:eastAsia="zh-CN"/>
              </w:rPr>
              <w:t>苯系物</w:t>
            </w:r>
          </w:p>
        </w:tc>
        <w:tc>
          <w:tcPr>
            <w:tcW w:w="1377" w:type="pct"/>
            <w:gridSpan w:val="2"/>
            <w:vMerge w:val="continue"/>
            <w:tcBorders>
              <w:left w:val="single" w:color="auto" w:sz="8" w:space="0"/>
              <w:bottom w:val="single" w:color="auto" w:sz="8" w:space="0"/>
              <w:right w:val="single" w:color="auto" w:sz="8" w:space="0"/>
            </w:tcBorders>
            <w:vAlign w:val="center"/>
          </w:tcPr>
          <w:p w14:paraId="61505BD6">
            <w:pPr>
              <w:adjustRightInd w:val="0"/>
              <w:snapToGrid w:val="0"/>
              <w:jc w:val="center"/>
              <w:rPr>
                <w:rFonts w:hint="eastAsia"/>
                <w:color w:val="auto"/>
                <w:lang w:val="en-US" w:eastAsia="zh-CN"/>
              </w:rPr>
            </w:pPr>
          </w:p>
        </w:tc>
        <w:tc>
          <w:tcPr>
            <w:tcW w:w="1609" w:type="pct"/>
            <w:vMerge w:val="continue"/>
            <w:tcBorders>
              <w:left w:val="single" w:color="auto" w:sz="8" w:space="0"/>
              <w:bottom w:val="single" w:color="auto" w:sz="8" w:space="0"/>
            </w:tcBorders>
            <w:vAlign w:val="center"/>
          </w:tcPr>
          <w:p w14:paraId="31E4A251">
            <w:pPr>
              <w:adjustRightInd w:val="0"/>
              <w:snapToGrid w:val="0"/>
              <w:jc w:val="center"/>
              <w:rPr>
                <w:rFonts w:hint="eastAsia"/>
                <w:color w:val="auto"/>
                <w:kern w:val="0"/>
                <w:sz w:val="21"/>
              </w:rPr>
            </w:pPr>
          </w:p>
        </w:tc>
      </w:tr>
      <w:tr w14:paraId="62EF0C4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4" w:hRule="atLeast"/>
          <w:jc w:val="center"/>
        </w:trPr>
        <w:tc>
          <w:tcPr>
            <w:tcW w:w="476" w:type="pct"/>
            <w:vMerge w:val="continue"/>
            <w:tcBorders>
              <w:right w:val="single" w:color="auto" w:sz="8" w:space="0"/>
            </w:tcBorders>
            <w:vAlign w:val="center"/>
          </w:tcPr>
          <w:p w14:paraId="7C9B1C0A">
            <w:pPr>
              <w:adjustRightInd w:val="0"/>
              <w:snapToGrid w:val="0"/>
              <w:jc w:val="center"/>
              <w:rPr>
                <w:color w:val="auto"/>
              </w:rPr>
            </w:pPr>
          </w:p>
        </w:tc>
        <w:tc>
          <w:tcPr>
            <w:tcW w:w="836" w:type="pct"/>
            <w:vMerge w:val="restart"/>
            <w:tcBorders>
              <w:top w:val="single" w:color="auto" w:sz="8" w:space="0"/>
              <w:left w:val="single" w:color="auto" w:sz="8" w:space="0"/>
              <w:right w:val="single" w:color="auto" w:sz="8" w:space="0"/>
            </w:tcBorders>
            <w:vAlign w:val="center"/>
          </w:tcPr>
          <w:p w14:paraId="3CD1CC7D">
            <w:pPr>
              <w:adjustRightInd w:val="0"/>
              <w:snapToGrid w:val="0"/>
              <w:jc w:val="center"/>
              <w:rPr>
                <w:color w:val="auto"/>
              </w:rPr>
            </w:pPr>
            <w:r>
              <w:rPr>
                <w:color w:val="auto"/>
              </w:rPr>
              <w:t>无组织</w:t>
            </w:r>
          </w:p>
        </w:tc>
        <w:tc>
          <w:tcPr>
            <w:tcW w:w="701" w:type="pct"/>
            <w:gridSpan w:val="2"/>
            <w:tcBorders>
              <w:top w:val="single" w:color="auto" w:sz="8" w:space="0"/>
              <w:left w:val="single" w:color="auto" w:sz="8" w:space="0"/>
              <w:bottom w:val="single" w:color="auto" w:sz="8" w:space="0"/>
              <w:right w:val="single" w:color="auto" w:sz="8" w:space="0"/>
            </w:tcBorders>
            <w:vAlign w:val="center"/>
          </w:tcPr>
          <w:p w14:paraId="719DDD25">
            <w:pPr>
              <w:widowControl/>
              <w:adjustRightInd w:val="0"/>
              <w:snapToGrid w:val="0"/>
              <w:jc w:val="center"/>
              <w:rPr>
                <w:i/>
                <w:color w:val="auto"/>
              </w:rPr>
            </w:pPr>
            <w:r>
              <w:rPr>
                <w:rFonts w:hint="eastAsia"/>
                <w:color w:val="auto"/>
              </w:rPr>
              <w:t>非甲烷总烃</w:t>
            </w:r>
          </w:p>
        </w:tc>
        <w:tc>
          <w:tcPr>
            <w:tcW w:w="1377" w:type="pct"/>
            <w:gridSpan w:val="2"/>
            <w:vMerge w:val="restart"/>
            <w:tcBorders>
              <w:top w:val="single" w:color="auto" w:sz="8" w:space="0"/>
              <w:left w:val="single" w:color="auto" w:sz="8" w:space="0"/>
              <w:right w:val="single" w:color="auto" w:sz="8" w:space="0"/>
            </w:tcBorders>
            <w:vAlign w:val="center"/>
          </w:tcPr>
          <w:p w14:paraId="05CA7E96">
            <w:pPr>
              <w:adjustRightInd w:val="0"/>
              <w:snapToGrid w:val="0"/>
              <w:jc w:val="center"/>
              <w:rPr>
                <w:color w:val="auto"/>
              </w:rPr>
            </w:pPr>
            <w:r>
              <w:rPr>
                <w:rFonts w:hint="eastAsia"/>
                <w:color w:val="auto"/>
              </w:rPr>
              <w:t>加强通风，保持空气流通</w:t>
            </w:r>
          </w:p>
        </w:tc>
        <w:tc>
          <w:tcPr>
            <w:tcW w:w="1609" w:type="pct"/>
            <w:vMerge w:val="restart"/>
            <w:tcBorders>
              <w:top w:val="single" w:color="auto" w:sz="8" w:space="0"/>
              <w:left w:val="single" w:color="auto" w:sz="8" w:space="0"/>
            </w:tcBorders>
            <w:vAlign w:val="center"/>
          </w:tcPr>
          <w:p w14:paraId="295F2935">
            <w:pPr>
              <w:adjustRightInd w:val="0"/>
              <w:snapToGrid w:val="0"/>
              <w:jc w:val="center"/>
              <w:rPr>
                <w:color w:val="auto"/>
              </w:rPr>
            </w:pPr>
            <w:r>
              <w:rPr>
                <w:rFonts w:hint="eastAsia"/>
                <w:color w:val="auto"/>
                <w:lang w:val="en-US" w:eastAsia="zh-CN"/>
              </w:rPr>
              <w:t>《大气污染物综合排放标准》（DB32 4041-2021）表3</w:t>
            </w:r>
          </w:p>
        </w:tc>
      </w:tr>
      <w:tr w14:paraId="6E9298A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76" w:type="pct"/>
            <w:vMerge w:val="continue"/>
            <w:tcBorders>
              <w:right w:val="single" w:color="auto" w:sz="8" w:space="0"/>
            </w:tcBorders>
            <w:vAlign w:val="center"/>
          </w:tcPr>
          <w:p w14:paraId="21403A22">
            <w:pPr>
              <w:widowControl/>
              <w:adjustRightInd w:val="0"/>
              <w:snapToGrid w:val="0"/>
              <w:jc w:val="center"/>
              <w:rPr>
                <w:color w:val="auto"/>
              </w:rPr>
            </w:pPr>
          </w:p>
        </w:tc>
        <w:tc>
          <w:tcPr>
            <w:tcW w:w="836" w:type="pct"/>
            <w:vMerge w:val="continue"/>
            <w:tcBorders>
              <w:left w:val="single" w:color="auto" w:sz="8" w:space="0"/>
              <w:right w:val="single" w:color="auto" w:sz="8" w:space="0"/>
            </w:tcBorders>
            <w:vAlign w:val="center"/>
          </w:tcPr>
          <w:p w14:paraId="75108236">
            <w:pPr>
              <w:widowControl/>
              <w:adjustRightInd w:val="0"/>
              <w:snapToGrid w:val="0"/>
              <w:jc w:val="center"/>
              <w:rPr>
                <w:color w:val="auto"/>
              </w:rPr>
            </w:pPr>
          </w:p>
        </w:tc>
        <w:tc>
          <w:tcPr>
            <w:tcW w:w="701" w:type="pct"/>
            <w:gridSpan w:val="2"/>
            <w:tcBorders>
              <w:top w:val="single" w:color="auto" w:sz="8" w:space="0"/>
              <w:left w:val="single" w:color="auto" w:sz="8" w:space="0"/>
              <w:bottom w:val="single" w:color="auto" w:sz="8" w:space="0"/>
              <w:right w:val="single" w:color="auto" w:sz="8" w:space="0"/>
            </w:tcBorders>
            <w:vAlign w:val="center"/>
          </w:tcPr>
          <w:p w14:paraId="32E4A9D8">
            <w:pPr>
              <w:widowControl/>
              <w:adjustRightInd w:val="0"/>
              <w:snapToGrid w:val="0"/>
              <w:jc w:val="center"/>
              <w:rPr>
                <w:color w:val="auto"/>
              </w:rPr>
            </w:pPr>
            <w:r>
              <w:rPr>
                <w:rFonts w:hint="eastAsia"/>
                <w:color w:val="auto"/>
              </w:rPr>
              <w:t>颗粒物</w:t>
            </w:r>
          </w:p>
        </w:tc>
        <w:tc>
          <w:tcPr>
            <w:tcW w:w="1377" w:type="pct"/>
            <w:gridSpan w:val="2"/>
            <w:vMerge w:val="continue"/>
            <w:tcBorders>
              <w:left w:val="single" w:color="auto" w:sz="8" w:space="0"/>
              <w:right w:val="single" w:color="auto" w:sz="8" w:space="0"/>
            </w:tcBorders>
            <w:vAlign w:val="center"/>
          </w:tcPr>
          <w:p w14:paraId="39531088">
            <w:pPr>
              <w:widowControl/>
              <w:adjustRightInd w:val="0"/>
              <w:snapToGrid w:val="0"/>
              <w:jc w:val="center"/>
              <w:rPr>
                <w:color w:val="auto"/>
              </w:rPr>
            </w:pPr>
          </w:p>
        </w:tc>
        <w:tc>
          <w:tcPr>
            <w:tcW w:w="1609" w:type="pct"/>
            <w:vMerge w:val="continue"/>
            <w:tcBorders>
              <w:left w:val="single" w:color="auto" w:sz="8" w:space="0"/>
            </w:tcBorders>
            <w:vAlign w:val="center"/>
          </w:tcPr>
          <w:p w14:paraId="44390BC7">
            <w:pPr>
              <w:widowControl/>
              <w:adjustRightInd w:val="0"/>
              <w:snapToGrid w:val="0"/>
              <w:jc w:val="center"/>
              <w:rPr>
                <w:color w:val="auto"/>
              </w:rPr>
            </w:pPr>
          </w:p>
        </w:tc>
      </w:tr>
      <w:tr w14:paraId="661D9D3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76" w:type="pct"/>
            <w:vMerge w:val="continue"/>
            <w:tcBorders>
              <w:bottom w:val="single" w:color="auto" w:sz="8" w:space="0"/>
              <w:right w:val="single" w:color="auto" w:sz="8" w:space="0"/>
            </w:tcBorders>
            <w:vAlign w:val="center"/>
          </w:tcPr>
          <w:p w14:paraId="49F11F3F">
            <w:pPr>
              <w:widowControl/>
              <w:adjustRightInd w:val="0"/>
              <w:snapToGrid w:val="0"/>
              <w:jc w:val="center"/>
              <w:rPr>
                <w:color w:val="auto"/>
              </w:rPr>
            </w:pPr>
          </w:p>
        </w:tc>
        <w:tc>
          <w:tcPr>
            <w:tcW w:w="836" w:type="pct"/>
            <w:vMerge w:val="continue"/>
            <w:tcBorders>
              <w:left w:val="single" w:color="auto" w:sz="8" w:space="0"/>
              <w:bottom w:val="single" w:color="auto" w:sz="8" w:space="0"/>
              <w:right w:val="single" w:color="auto" w:sz="8" w:space="0"/>
            </w:tcBorders>
            <w:vAlign w:val="center"/>
          </w:tcPr>
          <w:p w14:paraId="5DDEF71F">
            <w:pPr>
              <w:widowControl/>
              <w:adjustRightInd w:val="0"/>
              <w:snapToGrid w:val="0"/>
              <w:jc w:val="center"/>
              <w:rPr>
                <w:color w:val="auto"/>
              </w:rPr>
            </w:pPr>
          </w:p>
        </w:tc>
        <w:tc>
          <w:tcPr>
            <w:tcW w:w="701" w:type="pct"/>
            <w:gridSpan w:val="2"/>
            <w:tcBorders>
              <w:top w:val="single" w:color="auto" w:sz="8" w:space="0"/>
              <w:left w:val="single" w:color="auto" w:sz="8" w:space="0"/>
              <w:bottom w:val="single" w:color="auto" w:sz="8" w:space="0"/>
              <w:right w:val="single" w:color="auto" w:sz="8" w:space="0"/>
            </w:tcBorders>
            <w:vAlign w:val="center"/>
          </w:tcPr>
          <w:p w14:paraId="01E5FD13">
            <w:pPr>
              <w:widowControl/>
              <w:adjustRightInd w:val="0"/>
              <w:snapToGrid w:val="0"/>
              <w:jc w:val="center"/>
              <w:rPr>
                <w:rFonts w:hint="default"/>
                <w:color w:val="auto"/>
                <w:lang w:val="en-US" w:eastAsia="zh-CN"/>
              </w:rPr>
            </w:pPr>
            <w:r>
              <w:rPr>
                <w:rFonts w:hint="eastAsia"/>
                <w:color w:val="auto"/>
                <w:lang w:val="en-US" w:eastAsia="zh-CN"/>
              </w:rPr>
              <w:t>二甲苯</w:t>
            </w:r>
          </w:p>
        </w:tc>
        <w:tc>
          <w:tcPr>
            <w:tcW w:w="1377" w:type="pct"/>
            <w:gridSpan w:val="2"/>
            <w:vMerge w:val="continue"/>
            <w:tcBorders>
              <w:left w:val="single" w:color="auto" w:sz="8" w:space="0"/>
              <w:bottom w:val="single" w:color="auto" w:sz="8" w:space="0"/>
              <w:right w:val="single" w:color="auto" w:sz="8" w:space="0"/>
            </w:tcBorders>
            <w:vAlign w:val="center"/>
          </w:tcPr>
          <w:p w14:paraId="08E948B5">
            <w:pPr>
              <w:widowControl/>
              <w:adjustRightInd w:val="0"/>
              <w:snapToGrid w:val="0"/>
              <w:jc w:val="center"/>
              <w:rPr>
                <w:color w:val="auto"/>
              </w:rPr>
            </w:pPr>
          </w:p>
        </w:tc>
        <w:tc>
          <w:tcPr>
            <w:tcW w:w="1609" w:type="pct"/>
            <w:vMerge w:val="continue"/>
            <w:tcBorders>
              <w:left w:val="single" w:color="auto" w:sz="8" w:space="0"/>
              <w:bottom w:val="single" w:color="auto" w:sz="8" w:space="0"/>
            </w:tcBorders>
            <w:vAlign w:val="center"/>
          </w:tcPr>
          <w:p w14:paraId="62875D49">
            <w:pPr>
              <w:widowControl/>
              <w:adjustRightInd w:val="0"/>
              <w:snapToGrid w:val="0"/>
              <w:jc w:val="center"/>
              <w:rPr>
                <w:color w:val="auto"/>
              </w:rPr>
            </w:pPr>
          </w:p>
        </w:tc>
      </w:tr>
      <w:tr w14:paraId="41B37F5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76" w:type="pct"/>
            <w:vMerge w:val="continue"/>
            <w:tcBorders>
              <w:bottom w:val="single" w:color="auto" w:sz="8" w:space="0"/>
              <w:right w:val="single" w:color="auto" w:sz="8" w:space="0"/>
            </w:tcBorders>
            <w:vAlign w:val="center"/>
          </w:tcPr>
          <w:p w14:paraId="7395CB72">
            <w:pPr>
              <w:widowControl/>
              <w:adjustRightInd w:val="0"/>
              <w:snapToGrid w:val="0"/>
              <w:jc w:val="center"/>
              <w:rPr>
                <w:color w:val="auto"/>
              </w:rPr>
            </w:pPr>
          </w:p>
        </w:tc>
        <w:tc>
          <w:tcPr>
            <w:tcW w:w="836" w:type="pct"/>
            <w:vMerge w:val="continue"/>
            <w:tcBorders>
              <w:left w:val="single" w:color="auto" w:sz="8" w:space="0"/>
              <w:bottom w:val="single" w:color="auto" w:sz="8" w:space="0"/>
              <w:right w:val="single" w:color="auto" w:sz="8" w:space="0"/>
            </w:tcBorders>
            <w:vAlign w:val="center"/>
          </w:tcPr>
          <w:p w14:paraId="48F8B044">
            <w:pPr>
              <w:widowControl/>
              <w:adjustRightInd w:val="0"/>
              <w:snapToGrid w:val="0"/>
              <w:jc w:val="center"/>
              <w:rPr>
                <w:color w:val="auto"/>
              </w:rPr>
            </w:pPr>
          </w:p>
        </w:tc>
        <w:tc>
          <w:tcPr>
            <w:tcW w:w="701" w:type="pct"/>
            <w:gridSpan w:val="2"/>
            <w:tcBorders>
              <w:top w:val="single" w:color="auto" w:sz="8" w:space="0"/>
              <w:left w:val="single" w:color="auto" w:sz="8" w:space="0"/>
              <w:bottom w:val="single" w:color="auto" w:sz="8" w:space="0"/>
              <w:right w:val="single" w:color="auto" w:sz="8" w:space="0"/>
            </w:tcBorders>
            <w:vAlign w:val="center"/>
          </w:tcPr>
          <w:p w14:paraId="343E030E">
            <w:pPr>
              <w:widowControl/>
              <w:adjustRightInd w:val="0"/>
              <w:snapToGrid w:val="0"/>
              <w:jc w:val="center"/>
              <w:rPr>
                <w:rFonts w:hint="eastAsia" w:eastAsia="宋体"/>
                <w:color w:val="auto"/>
                <w:lang w:val="en-US" w:eastAsia="zh-CN"/>
              </w:rPr>
            </w:pPr>
            <w:r>
              <w:rPr>
                <w:rFonts w:hint="eastAsia"/>
                <w:color w:val="auto"/>
                <w:lang w:val="en-US" w:eastAsia="zh-CN"/>
              </w:rPr>
              <w:t>苯系物</w:t>
            </w:r>
          </w:p>
        </w:tc>
        <w:tc>
          <w:tcPr>
            <w:tcW w:w="1377" w:type="pct"/>
            <w:gridSpan w:val="2"/>
            <w:vMerge w:val="continue"/>
            <w:tcBorders>
              <w:left w:val="single" w:color="auto" w:sz="8" w:space="0"/>
              <w:bottom w:val="single" w:color="auto" w:sz="8" w:space="0"/>
              <w:right w:val="single" w:color="auto" w:sz="8" w:space="0"/>
            </w:tcBorders>
            <w:vAlign w:val="center"/>
          </w:tcPr>
          <w:p w14:paraId="7E62E7C4">
            <w:pPr>
              <w:widowControl/>
              <w:adjustRightInd w:val="0"/>
              <w:snapToGrid w:val="0"/>
              <w:jc w:val="center"/>
              <w:rPr>
                <w:color w:val="auto"/>
              </w:rPr>
            </w:pPr>
          </w:p>
        </w:tc>
        <w:tc>
          <w:tcPr>
            <w:tcW w:w="1609" w:type="pct"/>
            <w:vMerge w:val="continue"/>
            <w:tcBorders>
              <w:left w:val="single" w:color="auto" w:sz="8" w:space="0"/>
              <w:bottom w:val="single" w:color="auto" w:sz="8" w:space="0"/>
            </w:tcBorders>
            <w:vAlign w:val="center"/>
          </w:tcPr>
          <w:p w14:paraId="550DA404">
            <w:pPr>
              <w:widowControl/>
              <w:adjustRightInd w:val="0"/>
              <w:snapToGrid w:val="0"/>
              <w:jc w:val="center"/>
              <w:rPr>
                <w:color w:val="auto"/>
              </w:rPr>
            </w:pPr>
          </w:p>
        </w:tc>
      </w:tr>
      <w:tr w14:paraId="47BC657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76" w:type="pct"/>
            <w:vMerge w:val="restart"/>
            <w:tcBorders>
              <w:top w:val="single" w:color="auto" w:sz="8" w:space="0"/>
              <w:bottom w:val="single" w:color="auto" w:sz="8" w:space="0"/>
              <w:right w:val="single" w:color="auto" w:sz="8" w:space="0"/>
            </w:tcBorders>
            <w:vAlign w:val="center"/>
          </w:tcPr>
          <w:p w14:paraId="0F13309F">
            <w:pPr>
              <w:adjustRightInd w:val="0"/>
              <w:snapToGrid w:val="0"/>
              <w:jc w:val="center"/>
              <w:rPr>
                <w:rFonts w:hint="eastAsia" w:eastAsia="宋体"/>
                <w:color w:val="auto"/>
                <w:lang w:val="en-US" w:eastAsia="zh-CN"/>
              </w:rPr>
            </w:pPr>
            <w:r>
              <w:rPr>
                <w:rFonts w:hint="eastAsia"/>
                <w:color w:val="auto"/>
                <w:lang w:val="en-US" w:eastAsia="zh-CN"/>
              </w:rPr>
              <w:t>地表水环境</w:t>
            </w:r>
          </w:p>
        </w:tc>
        <w:tc>
          <w:tcPr>
            <w:tcW w:w="836" w:type="pct"/>
            <w:vMerge w:val="restart"/>
            <w:tcBorders>
              <w:top w:val="single" w:color="auto" w:sz="8" w:space="0"/>
              <w:left w:val="single" w:color="auto" w:sz="8" w:space="0"/>
              <w:bottom w:val="single" w:color="auto" w:sz="8" w:space="0"/>
              <w:right w:val="single" w:color="auto" w:sz="8" w:space="0"/>
            </w:tcBorders>
            <w:vAlign w:val="center"/>
          </w:tcPr>
          <w:p w14:paraId="2CE12916">
            <w:pPr>
              <w:pStyle w:val="277"/>
              <w:spacing w:beforeLines="0" w:afterLines="0" w:line="240" w:lineRule="auto"/>
              <w:ind w:left="0" w:firstLine="0" w:firstLineChars="0"/>
              <w:rPr>
                <w:rFonts w:hint="eastAsia" w:ascii="Times New Roman" w:eastAsia="宋体"/>
                <w:bCs/>
                <w:color w:val="auto"/>
                <w:kern w:val="2"/>
                <w:sz w:val="21"/>
                <w:szCs w:val="21"/>
                <w:lang w:val="en-US" w:eastAsia="zh-CN"/>
              </w:rPr>
            </w:pPr>
            <w:r>
              <w:rPr>
                <w:rFonts w:hint="eastAsia" w:ascii="Times New Roman" w:eastAsia="宋体"/>
                <w:bCs/>
                <w:color w:val="auto"/>
                <w:kern w:val="2"/>
                <w:sz w:val="21"/>
                <w:szCs w:val="21"/>
                <w:lang w:val="en-US" w:eastAsia="zh-CN"/>
              </w:rPr>
              <w:t>生活污水</w:t>
            </w:r>
          </w:p>
        </w:tc>
        <w:tc>
          <w:tcPr>
            <w:tcW w:w="701" w:type="pct"/>
            <w:gridSpan w:val="2"/>
            <w:tcBorders>
              <w:top w:val="single" w:color="auto" w:sz="8" w:space="0"/>
              <w:left w:val="single" w:color="auto" w:sz="8" w:space="0"/>
              <w:bottom w:val="single" w:color="auto" w:sz="8" w:space="0"/>
              <w:right w:val="single" w:color="auto" w:sz="8" w:space="0"/>
            </w:tcBorders>
            <w:vAlign w:val="center"/>
          </w:tcPr>
          <w:p w14:paraId="496CC08F">
            <w:pPr>
              <w:widowControl/>
              <w:adjustRightInd w:val="0"/>
              <w:snapToGrid w:val="0"/>
              <w:jc w:val="center"/>
              <w:rPr>
                <w:bCs/>
                <w:color w:val="auto"/>
              </w:rPr>
            </w:pPr>
            <w:r>
              <w:rPr>
                <w:color w:val="auto"/>
                <w:spacing w:val="0"/>
                <w:kern w:val="0"/>
                <w:position w:val="0"/>
              </w:rPr>
              <w:t>COD</w:t>
            </w:r>
          </w:p>
        </w:tc>
        <w:tc>
          <w:tcPr>
            <w:tcW w:w="1377" w:type="pct"/>
            <w:gridSpan w:val="2"/>
            <w:vMerge w:val="restart"/>
            <w:tcBorders>
              <w:top w:val="single" w:color="auto" w:sz="8" w:space="0"/>
              <w:left w:val="single" w:color="auto" w:sz="8" w:space="0"/>
              <w:bottom w:val="single" w:color="auto" w:sz="8" w:space="0"/>
              <w:right w:val="single" w:color="auto" w:sz="8" w:space="0"/>
            </w:tcBorders>
            <w:vAlign w:val="center"/>
          </w:tcPr>
          <w:p w14:paraId="76D6C305">
            <w:pPr>
              <w:pStyle w:val="703"/>
              <w:adjustRightInd w:val="0"/>
              <w:snapToGrid w:val="0"/>
              <w:rPr>
                <w:color w:val="auto"/>
              </w:rPr>
            </w:pPr>
            <w:r>
              <w:rPr>
                <w:rFonts w:hint="eastAsia" w:ascii="Times New Roman" w:hAnsi="Times New Roman" w:eastAsia="宋体" w:cs="Times New Roman"/>
                <w:color w:val="auto"/>
                <w:sz w:val="21"/>
                <w:szCs w:val="21"/>
                <w:highlight w:val="none"/>
                <w:lang w:val="en-US" w:eastAsia="zh-CN"/>
              </w:rPr>
              <w:t>接管至常州金坛区第二污水处理有限公司</w:t>
            </w:r>
          </w:p>
        </w:tc>
        <w:tc>
          <w:tcPr>
            <w:tcW w:w="1609" w:type="pct"/>
            <w:vMerge w:val="restart"/>
            <w:tcBorders>
              <w:top w:val="single" w:color="auto" w:sz="8" w:space="0"/>
              <w:left w:val="single" w:color="auto" w:sz="8" w:space="0"/>
              <w:bottom w:val="single" w:color="auto" w:sz="8" w:space="0"/>
            </w:tcBorders>
            <w:vAlign w:val="center"/>
          </w:tcPr>
          <w:p w14:paraId="00350E11">
            <w:pPr>
              <w:pStyle w:val="703"/>
              <w:adjustRightInd w:val="0"/>
              <w:snapToGrid w:val="0"/>
              <w:rPr>
                <w:bCs/>
                <w:color w:val="auto"/>
              </w:rPr>
            </w:pPr>
            <w:r>
              <w:rPr>
                <w:rFonts w:hint="default" w:ascii="Times New Roman" w:hAnsi="Times New Roman" w:eastAsia="宋体" w:cs="Times New Roman"/>
                <w:color w:val="auto"/>
                <w:sz w:val="21"/>
                <w:szCs w:val="21"/>
                <w:highlight w:val="none"/>
              </w:rPr>
              <w:t>常州金坛区第二污水处理有限公司接管限值要求和《污水排入城镇下水道水质标准》（</w:t>
            </w:r>
            <w:r>
              <w:rPr>
                <w:rFonts w:hint="default" w:ascii="Times New Roman" w:hAnsi="Times New Roman" w:eastAsia="宋体" w:cs="Times New Roman"/>
                <w:color w:val="auto"/>
                <w:sz w:val="21"/>
                <w:szCs w:val="21"/>
                <w:highlight w:val="none"/>
                <w:shd w:val="clear" w:color="auto" w:fill="FFFFFF"/>
              </w:rPr>
              <w:t>GB/T31962-2015</w:t>
            </w:r>
            <w:r>
              <w:rPr>
                <w:rFonts w:hint="default" w:ascii="Times New Roman" w:hAnsi="Times New Roman" w:eastAsia="宋体" w:cs="Times New Roman"/>
                <w:color w:val="auto"/>
                <w:sz w:val="21"/>
                <w:szCs w:val="21"/>
                <w:highlight w:val="none"/>
              </w:rPr>
              <w:t>）表1中B等级标准</w:t>
            </w:r>
          </w:p>
        </w:tc>
      </w:tr>
      <w:tr w14:paraId="57C2ECC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76" w:type="pct"/>
            <w:vMerge w:val="continue"/>
            <w:tcBorders>
              <w:top w:val="single" w:color="auto" w:sz="8" w:space="0"/>
              <w:bottom w:val="single" w:color="auto" w:sz="8" w:space="0"/>
              <w:right w:val="single" w:color="auto" w:sz="8" w:space="0"/>
            </w:tcBorders>
            <w:vAlign w:val="center"/>
          </w:tcPr>
          <w:p w14:paraId="67E07C6E">
            <w:pPr>
              <w:adjustRightInd w:val="0"/>
              <w:snapToGrid w:val="0"/>
              <w:jc w:val="center"/>
              <w:rPr>
                <w:color w:val="auto"/>
              </w:rPr>
            </w:pPr>
          </w:p>
        </w:tc>
        <w:tc>
          <w:tcPr>
            <w:tcW w:w="836" w:type="pct"/>
            <w:vMerge w:val="continue"/>
            <w:tcBorders>
              <w:top w:val="single" w:color="auto" w:sz="8" w:space="0"/>
              <w:left w:val="single" w:color="auto" w:sz="8" w:space="0"/>
              <w:bottom w:val="single" w:color="auto" w:sz="8" w:space="0"/>
              <w:right w:val="single" w:color="auto" w:sz="8" w:space="0"/>
            </w:tcBorders>
            <w:vAlign w:val="center"/>
          </w:tcPr>
          <w:p w14:paraId="66F74892">
            <w:pPr>
              <w:pStyle w:val="277"/>
              <w:spacing w:beforeLines="0" w:afterLines="0" w:line="240" w:lineRule="auto"/>
              <w:ind w:left="0" w:firstLine="0" w:firstLineChars="0"/>
              <w:rPr>
                <w:rFonts w:ascii="Times New Roman" w:eastAsia="宋体"/>
                <w:bCs/>
                <w:color w:val="auto"/>
                <w:kern w:val="2"/>
                <w:sz w:val="21"/>
                <w:szCs w:val="21"/>
              </w:rPr>
            </w:pPr>
          </w:p>
        </w:tc>
        <w:tc>
          <w:tcPr>
            <w:tcW w:w="701" w:type="pct"/>
            <w:gridSpan w:val="2"/>
            <w:tcBorders>
              <w:top w:val="single" w:color="auto" w:sz="8" w:space="0"/>
              <w:left w:val="single" w:color="auto" w:sz="8" w:space="0"/>
              <w:bottom w:val="single" w:color="auto" w:sz="8" w:space="0"/>
              <w:right w:val="single" w:color="auto" w:sz="8" w:space="0"/>
            </w:tcBorders>
            <w:vAlign w:val="center"/>
          </w:tcPr>
          <w:p w14:paraId="4B92630F">
            <w:pPr>
              <w:widowControl/>
              <w:adjustRightInd w:val="0"/>
              <w:snapToGrid w:val="0"/>
              <w:jc w:val="center"/>
              <w:rPr>
                <w:bCs/>
                <w:color w:val="auto"/>
              </w:rPr>
            </w:pPr>
            <w:r>
              <w:rPr>
                <w:color w:val="auto"/>
                <w:spacing w:val="0"/>
                <w:kern w:val="0"/>
                <w:position w:val="0"/>
              </w:rPr>
              <w:t>SS</w:t>
            </w:r>
          </w:p>
        </w:tc>
        <w:tc>
          <w:tcPr>
            <w:tcW w:w="1377" w:type="pct"/>
            <w:gridSpan w:val="2"/>
            <w:vMerge w:val="continue"/>
            <w:tcBorders>
              <w:top w:val="single" w:color="auto" w:sz="8" w:space="0"/>
              <w:left w:val="single" w:color="auto" w:sz="8" w:space="0"/>
              <w:bottom w:val="single" w:color="auto" w:sz="8" w:space="0"/>
              <w:right w:val="single" w:color="auto" w:sz="8" w:space="0"/>
            </w:tcBorders>
            <w:vAlign w:val="center"/>
          </w:tcPr>
          <w:p w14:paraId="78925784">
            <w:pPr>
              <w:adjustRightInd w:val="0"/>
              <w:snapToGrid w:val="0"/>
              <w:jc w:val="center"/>
              <w:rPr>
                <w:color w:val="auto"/>
              </w:rPr>
            </w:pPr>
          </w:p>
        </w:tc>
        <w:tc>
          <w:tcPr>
            <w:tcW w:w="1609" w:type="pct"/>
            <w:vMerge w:val="continue"/>
            <w:tcBorders>
              <w:top w:val="single" w:color="auto" w:sz="8" w:space="0"/>
              <w:left w:val="single" w:color="auto" w:sz="8" w:space="0"/>
              <w:bottom w:val="single" w:color="auto" w:sz="8" w:space="0"/>
            </w:tcBorders>
            <w:vAlign w:val="center"/>
          </w:tcPr>
          <w:p w14:paraId="11643EB7">
            <w:pPr>
              <w:adjustRightInd w:val="0"/>
              <w:snapToGrid w:val="0"/>
              <w:jc w:val="center"/>
              <w:rPr>
                <w:bCs/>
                <w:color w:val="auto"/>
              </w:rPr>
            </w:pPr>
          </w:p>
        </w:tc>
      </w:tr>
      <w:tr w14:paraId="236FAF5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76" w:type="pct"/>
            <w:vMerge w:val="continue"/>
            <w:tcBorders>
              <w:top w:val="single" w:color="auto" w:sz="8" w:space="0"/>
              <w:bottom w:val="single" w:color="auto" w:sz="8" w:space="0"/>
              <w:right w:val="single" w:color="auto" w:sz="8" w:space="0"/>
            </w:tcBorders>
            <w:vAlign w:val="center"/>
          </w:tcPr>
          <w:p w14:paraId="3CC73A6F">
            <w:pPr>
              <w:adjustRightInd w:val="0"/>
              <w:snapToGrid w:val="0"/>
              <w:jc w:val="center"/>
              <w:rPr>
                <w:color w:val="auto"/>
              </w:rPr>
            </w:pPr>
          </w:p>
        </w:tc>
        <w:tc>
          <w:tcPr>
            <w:tcW w:w="836" w:type="pct"/>
            <w:vMerge w:val="continue"/>
            <w:tcBorders>
              <w:top w:val="single" w:color="auto" w:sz="8" w:space="0"/>
              <w:left w:val="single" w:color="auto" w:sz="8" w:space="0"/>
              <w:bottom w:val="single" w:color="auto" w:sz="8" w:space="0"/>
              <w:right w:val="single" w:color="auto" w:sz="8" w:space="0"/>
            </w:tcBorders>
            <w:vAlign w:val="center"/>
          </w:tcPr>
          <w:p w14:paraId="51633658">
            <w:pPr>
              <w:pStyle w:val="277"/>
              <w:spacing w:beforeLines="0" w:afterLines="0" w:line="240" w:lineRule="auto"/>
              <w:ind w:left="0" w:firstLine="0" w:firstLineChars="0"/>
              <w:rPr>
                <w:rFonts w:ascii="Times New Roman" w:eastAsia="宋体"/>
                <w:bCs/>
                <w:color w:val="auto"/>
                <w:kern w:val="2"/>
                <w:sz w:val="21"/>
                <w:szCs w:val="21"/>
              </w:rPr>
            </w:pPr>
          </w:p>
        </w:tc>
        <w:tc>
          <w:tcPr>
            <w:tcW w:w="701" w:type="pct"/>
            <w:gridSpan w:val="2"/>
            <w:tcBorders>
              <w:top w:val="single" w:color="auto" w:sz="8" w:space="0"/>
              <w:left w:val="single" w:color="auto" w:sz="8" w:space="0"/>
              <w:bottom w:val="single" w:color="auto" w:sz="8" w:space="0"/>
              <w:right w:val="single" w:color="auto" w:sz="8" w:space="0"/>
            </w:tcBorders>
            <w:vAlign w:val="center"/>
          </w:tcPr>
          <w:p w14:paraId="7B4212EB">
            <w:pPr>
              <w:widowControl/>
              <w:adjustRightInd w:val="0"/>
              <w:snapToGrid w:val="0"/>
              <w:jc w:val="center"/>
              <w:rPr>
                <w:bCs/>
                <w:color w:val="auto"/>
              </w:rPr>
            </w:pPr>
            <w:r>
              <w:rPr>
                <w:color w:val="auto"/>
                <w:spacing w:val="0"/>
                <w:kern w:val="0"/>
                <w:position w:val="0"/>
              </w:rPr>
              <w:t>NH</w:t>
            </w:r>
            <w:r>
              <w:rPr>
                <w:color w:val="auto"/>
                <w:spacing w:val="0"/>
                <w:kern w:val="0"/>
                <w:position w:val="0"/>
                <w:vertAlign w:val="subscript"/>
              </w:rPr>
              <w:t>3</w:t>
            </w:r>
            <w:r>
              <w:rPr>
                <w:color w:val="auto"/>
                <w:spacing w:val="0"/>
                <w:kern w:val="0"/>
                <w:position w:val="0"/>
              </w:rPr>
              <w:t>-N</w:t>
            </w:r>
          </w:p>
        </w:tc>
        <w:tc>
          <w:tcPr>
            <w:tcW w:w="1377" w:type="pct"/>
            <w:gridSpan w:val="2"/>
            <w:vMerge w:val="continue"/>
            <w:tcBorders>
              <w:top w:val="single" w:color="auto" w:sz="8" w:space="0"/>
              <w:left w:val="single" w:color="auto" w:sz="8" w:space="0"/>
              <w:bottom w:val="single" w:color="auto" w:sz="8" w:space="0"/>
              <w:right w:val="single" w:color="auto" w:sz="8" w:space="0"/>
            </w:tcBorders>
            <w:vAlign w:val="center"/>
          </w:tcPr>
          <w:p w14:paraId="6B42834A">
            <w:pPr>
              <w:adjustRightInd w:val="0"/>
              <w:snapToGrid w:val="0"/>
              <w:jc w:val="center"/>
              <w:rPr>
                <w:color w:val="auto"/>
              </w:rPr>
            </w:pPr>
          </w:p>
        </w:tc>
        <w:tc>
          <w:tcPr>
            <w:tcW w:w="1609" w:type="pct"/>
            <w:vMerge w:val="continue"/>
            <w:tcBorders>
              <w:top w:val="single" w:color="auto" w:sz="8" w:space="0"/>
              <w:left w:val="single" w:color="auto" w:sz="8" w:space="0"/>
              <w:bottom w:val="single" w:color="auto" w:sz="8" w:space="0"/>
            </w:tcBorders>
            <w:vAlign w:val="center"/>
          </w:tcPr>
          <w:p w14:paraId="0F7566D7">
            <w:pPr>
              <w:adjustRightInd w:val="0"/>
              <w:snapToGrid w:val="0"/>
              <w:jc w:val="center"/>
              <w:rPr>
                <w:bCs/>
                <w:color w:val="auto"/>
              </w:rPr>
            </w:pPr>
          </w:p>
        </w:tc>
      </w:tr>
      <w:tr w14:paraId="39D2325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76" w:type="pct"/>
            <w:vMerge w:val="continue"/>
            <w:tcBorders>
              <w:top w:val="single" w:color="auto" w:sz="8" w:space="0"/>
              <w:bottom w:val="single" w:color="auto" w:sz="8" w:space="0"/>
              <w:right w:val="single" w:color="auto" w:sz="8" w:space="0"/>
            </w:tcBorders>
            <w:vAlign w:val="center"/>
          </w:tcPr>
          <w:p w14:paraId="52781AC7">
            <w:pPr>
              <w:adjustRightInd w:val="0"/>
              <w:snapToGrid w:val="0"/>
              <w:jc w:val="center"/>
              <w:rPr>
                <w:color w:val="auto"/>
              </w:rPr>
            </w:pPr>
          </w:p>
        </w:tc>
        <w:tc>
          <w:tcPr>
            <w:tcW w:w="836" w:type="pct"/>
            <w:vMerge w:val="continue"/>
            <w:tcBorders>
              <w:top w:val="single" w:color="auto" w:sz="8" w:space="0"/>
              <w:left w:val="single" w:color="auto" w:sz="8" w:space="0"/>
              <w:bottom w:val="single" w:color="auto" w:sz="8" w:space="0"/>
              <w:right w:val="single" w:color="auto" w:sz="8" w:space="0"/>
            </w:tcBorders>
            <w:vAlign w:val="center"/>
          </w:tcPr>
          <w:p w14:paraId="4A614F83">
            <w:pPr>
              <w:pStyle w:val="277"/>
              <w:spacing w:beforeLines="0" w:afterLines="0" w:line="240" w:lineRule="auto"/>
              <w:ind w:left="0" w:firstLine="0" w:firstLineChars="0"/>
              <w:rPr>
                <w:rFonts w:ascii="Times New Roman" w:eastAsia="宋体"/>
                <w:bCs/>
                <w:color w:val="auto"/>
                <w:kern w:val="2"/>
                <w:sz w:val="21"/>
                <w:szCs w:val="21"/>
              </w:rPr>
            </w:pPr>
          </w:p>
        </w:tc>
        <w:tc>
          <w:tcPr>
            <w:tcW w:w="701" w:type="pct"/>
            <w:gridSpan w:val="2"/>
            <w:tcBorders>
              <w:top w:val="single" w:color="auto" w:sz="8" w:space="0"/>
              <w:left w:val="single" w:color="auto" w:sz="8" w:space="0"/>
              <w:bottom w:val="single" w:color="auto" w:sz="8" w:space="0"/>
              <w:right w:val="single" w:color="auto" w:sz="8" w:space="0"/>
            </w:tcBorders>
            <w:vAlign w:val="center"/>
          </w:tcPr>
          <w:p w14:paraId="2B4D8FB7">
            <w:pPr>
              <w:adjustRightInd w:val="0"/>
              <w:snapToGrid w:val="0"/>
              <w:jc w:val="center"/>
              <w:textAlignment w:val="center"/>
              <w:rPr>
                <w:bCs/>
                <w:color w:val="auto"/>
              </w:rPr>
            </w:pPr>
            <w:r>
              <w:rPr>
                <w:color w:val="auto"/>
                <w:spacing w:val="0"/>
                <w:kern w:val="0"/>
                <w:position w:val="0"/>
              </w:rPr>
              <w:t>TP</w:t>
            </w:r>
          </w:p>
        </w:tc>
        <w:tc>
          <w:tcPr>
            <w:tcW w:w="1377" w:type="pct"/>
            <w:gridSpan w:val="2"/>
            <w:vMerge w:val="continue"/>
            <w:tcBorders>
              <w:top w:val="single" w:color="auto" w:sz="8" w:space="0"/>
              <w:left w:val="single" w:color="auto" w:sz="8" w:space="0"/>
              <w:bottom w:val="single" w:color="auto" w:sz="8" w:space="0"/>
              <w:right w:val="single" w:color="auto" w:sz="8" w:space="0"/>
            </w:tcBorders>
            <w:vAlign w:val="center"/>
          </w:tcPr>
          <w:p w14:paraId="1F8CB276">
            <w:pPr>
              <w:adjustRightInd w:val="0"/>
              <w:snapToGrid w:val="0"/>
              <w:jc w:val="center"/>
              <w:rPr>
                <w:color w:val="auto"/>
              </w:rPr>
            </w:pPr>
          </w:p>
        </w:tc>
        <w:tc>
          <w:tcPr>
            <w:tcW w:w="1609" w:type="pct"/>
            <w:vMerge w:val="continue"/>
            <w:tcBorders>
              <w:top w:val="single" w:color="auto" w:sz="8" w:space="0"/>
              <w:left w:val="single" w:color="auto" w:sz="8" w:space="0"/>
              <w:bottom w:val="single" w:color="auto" w:sz="8" w:space="0"/>
            </w:tcBorders>
            <w:vAlign w:val="center"/>
          </w:tcPr>
          <w:p w14:paraId="595EC6C8">
            <w:pPr>
              <w:adjustRightInd w:val="0"/>
              <w:snapToGrid w:val="0"/>
              <w:jc w:val="center"/>
              <w:rPr>
                <w:bCs/>
                <w:color w:val="auto"/>
              </w:rPr>
            </w:pPr>
          </w:p>
        </w:tc>
      </w:tr>
      <w:tr w14:paraId="27C1C6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76" w:type="pct"/>
            <w:vMerge w:val="continue"/>
            <w:tcBorders>
              <w:top w:val="single" w:color="auto" w:sz="8" w:space="0"/>
              <w:bottom w:val="single" w:color="auto" w:sz="8" w:space="0"/>
              <w:right w:val="single" w:color="auto" w:sz="8" w:space="0"/>
            </w:tcBorders>
            <w:vAlign w:val="center"/>
          </w:tcPr>
          <w:p w14:paraId="35BDA4EA">
            <w:pPr>
              <w:adjustRightInd w:val="0"/>
              <w:snapToGrid w:val="0"/>
              <w:jc w:val="center"/>
              <w:rPr>
                <w:color w:val="auto"/>
              </w:rPr>
            </w:pPr>
          </w:p>
        </w:tc>
        <w:tc>
          <w:tcPr>
            <w:tcW w:w="836" w:type="pct"/>
            <w:vMerge w:val="continue"/>
            <w:tcBorders>
              <w:top w:val="single" w:color="auto" w:sz="8" w:space="0"/>
              <w:left w:val="single" w:color="auto" w:sz="8" w:space="0"/>
              <w:bottom w:val="single" w:color="auto" w:sz="8" w:space="0"/>
              <w:right w:val="single" w:color="auto" w:sz="8" w:space="0"/>
            </w:tcBorders>
            <w:vAlign w:val="center"/>
          </w:tcPr>
          <w:p w14:paraId="28BE9FF4">
            <w:pPr>
              <w:pStyle w:val="277"/>
              <w:spacing w:beforeLines="0" w:afterLines="0" w:line="240" w:lineRule="auto"/>
              <w:ind w:left="0" w:firstLine="0" w:firstLineChars="0"/>
              <w:rPr>
                <w:rFonts w:ascii="Times New Roman" w:eastAsia="宋体"/>
                <w:bCs/>
                <w:color w:val="auto"/>
                <w:kern w:val="2"/>
                <w:sz w:val="21"/>
                <w:szCs w:val="21"/>
              </w:rPr>
            </w:pPr>
          </w:p>
        </w:tc>
        <w:tc>
          <w:tcPr>
            <w:tcW w:w="701" w:type="pct"/>
            <w:gridSpan w:val="2"/>
            <w:tcBorders>
              <w:top w:val="single" w:color="auto" w:sz="8" w:space="0"/>
              <w:left w:val="single" w:color="auto" w:sz="8" w:space="0"/>
              <w:bottom w:val="single" w:color="auto" w:sz="8" w:space="0"/>
              <w:right w:val="single" w:color="auto" w:sz="8" w:space="0"/>
            </w:tcBorders>
            <w:vAlign w:val="center"/>
          </w:tcPr>
          <w:p w14:paraId="4959A532">
            <w:pPr>
              <w:adjustRightInd w:val="0"/>
              <w:snapToGrid w:val="0"/>
              <w:jc w:val="center"/>
              <w:textAlignment w:val="center"/>
              <w:rPr>
                <w:bCs/>
                <w:color w:val="auto"/>
              </w:rPr>
            </w:pPr>
            <w:r>
              <w:rPr>
                <w:color w:val="auto"/>
                <w:spacing w:val="0"/>
                <w:kern w:val="0"/>
                <w:position w:val="0"/>
              </w:rPr>
              <w:t>TN</w:t>
            </w:r>
          </w:p>
        </w:tc>
        <w:tc>
          <w:tcPr>
            <w:tcW w:w="1377" w:type="pct"/>
            <w:gridSpan w:val="2"/>
            <w:vMerge w:val="continue"/>
            <w:tcBorders>
              <w:top w:val="single" w:color="auto" w:sz="8" w:space="0"/>
              <w:left w:val="single" w:color="auto" w:sz="8" w:space="0"/>
              <w:bottom w:val="single" w:color="auto" w:sz="8" w:space="0"/>
              <w:right w:val="single" w:color="auto" w:sz="8" w:space="0"/>
            </w:tcBorders>
            <w:vAlign w:val="center"/>
          </w:tcPr>
          <w:p w14:paraId="43375DC0">
            <w:pPr>
              <w:adjustRightInd w:val="0"/>
              <w:snapToGrid w:val="0"/>
              <w:jc w:val="center"/>
              <w:rPr>
                <w:color w:val="auto"/>
              </w:rPr>
            </w:pPr>
          </w:p>
        </w:tc>
        <w:tc>
          <w:tcPr>
            <w:tcW w:w="1609" w:type="pct"/>
            <w:vMerge w:val="continue"/>
            <w:tcBorders>
              <w:top w:val="single" w:color="auto" w:sz="8" w:space="0"/>
              <w:left w:val="single" w:color="auto" w:sz="8" w:space="0"/>
              <w:bottom w:val="single" w:color="auto" w:sz="8" w:space="0"/>
            </w:tcBorders>
            <w:vAlign w:val="center"/>
          </w:tcPr>
          <w:p w14:paraId="16395C4E">
            <w:pPr>
              <w:adjustRightInd w:val="0"/>
              <w:snapToGrid w:val="0"/>
              <w:jc w:val="center"/>
              <w:rPr>
                <w:bCs/>
                <w:color w:val="auto"/>
              </w:rPr>
            </w:pPr>
          </w:p>
        </w:tc>
      </w:tr>
      <w:tr w14:paraId="19190AA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76" w:type="pct"/>
            <w:tcBorders>
              <w:top w:val="single" w:color="auto" w:sz="8" w:space="0"/>
              <w:bottom w:val="single" w:color="auto" w:sz="8" w:space="0"/>
              <w:right w:val="single" w:color="auto" w:sz="8" w:space="0"/>
            </w:tcBorders>
            <w:vAlign w:val="center"/>
          </w:tcPr>
          <w:p w14:paraId="3460752E">
            <w:pPr>
              <w:adjustRightInd w:val="0"/>
              <w:snapToGrid w:val="0"/>
              <w:jc w:val="center"/>
              <w:rPr>
                <w:color w:val="auto"/>
              </w:rPr>
            </w:pPr>
            <w:r>
              <w:rPr>
                <w:color w:val="auto"/>
              </w:rPr>
              <w:t>声环境</w:t>
            </w:r>
          </w:p>
        </w:tc>
        <w:tc>
          <w:tcPr>
            <w:tcW w:w="836" w:type="pct"/>
            <w:tcBorders>
              <w:top w:val="single" w:color="auto" w:sz="8" w:space="0"/>
              <w:left w:val="single" w:color="auto" w:sz="8" w:space="0"/>
              <w:bottom w:val="single" w:color="auto" w:sz="8" w:space="0"/>
              <w:right w:val="single" w:color="auto" w:sz="8" w:space="0"/>
            </w:tcBorders>
            <w:vAlign w:val="center"/>
          </w:tcPr>
          <w:p w14:paraId="048A8ABB">
            <w:pPr>
              <w:pStyle w:val="277"/>
              <w:spacing w:beforeLines="0" w:afterLines="0" w:line="240" w:lineRule="auto"/>
              <w:ind w:left="0" w:firstLine="0" w:firstLineChars="0"/>
              <w:rPr>
                <w:rFonts w:ascii="Times New Roman" w:eastAsia="宋体"/>
                <w:color w:val="auto"/>
                <w:sz w:val="21"/>
                <w:szCs w:val="21"/>
              </w:rPr>
            </w:pPr>
            <w:r>
              <w:rPr>
                <w:rFonts w:ascii="Times New Roman" w:eastAsia="宋体"/>
                <w:bCs/>
                <w:color w:val="auto"/>
                <w:kern w:val="2"/>
                <w:sz w:val="21"/>
                <w:szCs w:val="21"/>
              </w:rPr>
              <w:t>设备</w:t>
            </w:r>
            <w:r>
              <w:rPr>
                <w:rFonts w:ascii="Times New Roman" w:eastAsia="宋体"/>
                <w:bCs/>
                <w:color w:val="auto"/>
                <w:sz w:val="21"/>
                <w:szCs w:val="21"/>
              </w:rPr>
              <w:t>运行噪声</w:t>
            </w:r>
          </w:p>
        </w:tc>
        <w:tc>
          <w:tcPr>
            <w:tcW w:w="701" w:type="pct"/>
            <w:gridSpan w:val="2"/>
            <w:tcBorders>
              <w:top w:val="single" w:color="auto" w:sz="8" w:space="0"/>
              <w:left w:val="single" w:color="auto" w:sz="8" w:space="0"/>
              <w:bottom w:val="single" w:color="auto" w:sz="8" w:space="0"/>
              <w:right w:val="single" w:color="auto" w:sz="8" w:space="0"/>
            </w:tcBorders>
            <w:vAlign w:val="center"/>
          </w:tcPr>
          <w:p w14:paraId="7ACF03CE">
            <w:pPr>
              <w:adjustRightInd w:val="0"/>
              <w:snapToGrid w:val="0"/>
              <w:jc w:val="center"/>
              <w:rPr>
                <w:color w:val="auto"/>
              </w:rPr>
            </w:pPr>
            <w:r>
              <w:rPr>
                <w:bCs/>
                <w:color w:val="auto"/>
              </w:rPr>
              <w:t>噪声</w:t>
            </w:r>
          </w:p>
        </w:tc>
        <w:tc>
          <w:tcPr>
            <w:tcW w:w="1377" w:type="pct"/>
            <w:gridSpan w:val="2"/>
            <w:tcBorders>
              <w:top w:val="single" w:color="auto" w:sz="8" w:space="0"/>
              <w:left w:val="single" w:color="auto" w:sz="8" w:space="0"/>
              <w:bottom w:val="single" w:color="auto" w:sz="8" w:space="0"/>
              <w:right w:val="single" w:color="auto" w:sz="8" w:space="0"/>
            </w:tcBorders>
            <w:vAlign w:val="center"/>
          </w:tcPr>
          <w:p w14:paraId="02C4BB54">
            <w:pPr>
              <w:adjustRightInd w:val="0"/>
              <w:snapToGrid w:val="0"/>
              <w:jc w:val="center"/>
              <w:rPr>
                <w:color w:val="auto"/>
              </w:rPr>
            </w:pPr>
            <w:bookmarkStart w:id="26" w:name="_Hlk42861764"/>
            <w:r>
              <w:rPr>
                <w:color w:val="auto"/>
              </w:rPr>
              <w:t>选购低噪声、低振动型设备；</w:t>
            </w:r>
            <w:r>
              <w:rPr>
                <w:rFonts w:hint="eastAsia"/>
                <w:color w:val="auto"/>
              </w:rPr>
              <w:t>车间</w:t>
            </w:r>
            <w:r>
              <w:rPr>
                <w:color w:val="auto"/>
              </w:rPr>
              <w:t>内合理布局</w:t>
            </w:r>
            <w:r>
              <w:rPr>
                <w:rFonts w:hint="eastAsia"/>
                <w:color w:val="auto"/>
              </w:rPr>
              <w:t>，</w:t>
            </w:r>
            <w:r>
              <w:rPr>
                <w:color w:val="auto"/>
              </w:rPr>
              <w:t>基础减振</w:t>
            </w:r>
            <w:r>
              <w:rPr>
                <w:rFonts w:hint="eastAsia"/>
                <w:color w:val="auto"/>
              </w:rPr>
              <w:t>、</w:t>
            </w:r>
            <w:r>
              <w:rPr>
                <w:color w:val="auto"/>
              </w:rPr>
              <w:t>建筑隔声</w:t>
            </w:r>
            <w:bookmarkEnd w:id="26"/>
          </w:p>
        </w:tc>
        <w:tc>
          <w:tcPr>
            <w:tcW w:w="1609" w:type="pct"/>
            <w:tcBorders>
              <w:top w:val="single" w:color="auto" w:sz="8" w:space="0"/>
              <w:left w:val="single" w:color="auto" w:sz="8" w:space="0"/>
              <w:bottom w:val="single" w:color="auto" w:sz="8" w:space="0"/>
            </w:tcBorders>
            <w:vAlign w:val="center"/>
          </w:tcPr>
          <w:p w14:paraId="112A3CB0">
            <w:pPr>
              <w:adjustRightInd w:val="0"/>
              <w:snapToGrid w:val="0"/>
              <w:jc w:val="center"/>
              <w:rPr>
                <w:color w:val="auto"/>
              </w:rPr>
            </w:pPr>
            <w:r>
              <w:rPr>
                <w:bCs/>
                <w:color w:val="auto"/>
              </w:rPr>
              <w:t>《工业企业厂界环境噪声排放标准》</w:t>
            </w:r>
            <w:r>
              <w:rPr>
                <w:rFonts w:hint="eastAsia"/>
                <w:bCs/>
                <w:color w:val="auto"/>
              </w:rPr>
              <w:t>（</w:t>
            </w:r>
            <w:r>
              <w:rPr>
                <w:bCs/>
                <w:color w:val="auto"/>
              </w:rPr>
              <w:t>GB12348-2008</w:t>
            </w:r>
            <w:r>
              <w:rPr>
                <w:rFonts w:hint="eastAsia"/>
                <w:bCs/>
                <w:color w:val="auto"/>
              </w:rPr>
              <w:t>）</w:t>
            </w:r>
            <w:r>
              <w:rPr>
                <w:bCs/>
                <w:color w:val="auto"/>
              </w:rPr>
              <w:t>中</w:t>
            </w:r>
            <w:r>
              <w:rPr>
                <w:rFonts w:hint="eastAsia"/>
                <w:bCs/>
                <w:color w:val="auto"/>
                <w:lang w:val="en-US" w:eastAsia="zh-CN"/>
              </w:rPr>
              <w:t>3</w:t>
            </w:r>
            <w:r>
              <w:rPr>
                <w:bCs/>
                <w:color w:val="auto"/>
              </w:rPr>
              <w:t>类标准</w:t>
            </w:r>
          </w:p>
        </w:tc>
      </w:tr>
      <w:tr w14:paraId="276CADA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79" w:hRule="atLeast"/>
          <w:jc w:val="center"/>
        </w:trPr>
        <w:tc>
          <w:tcPr>
            <w:tcW w:w="476" w:type="pct"/>
            <w:tcBorders>
              <w:top w:val="single" w:color="auto" w:sz="8" w:space="0"/>
              <w:bottom w:val="single" w:color="auto" w:sz="8" w:space="0"/>
              <w:right w:val="single" w:color="auto" w:sz="8" w:space="0"/>
            </w:tcBorders>
            <w:vAlign w:val="center"/>
          </w:tcPr>
          <w:p w14:paraId="1151B83F">
            <w:pPr>
              <w:adjustRightInd w:val="0"/>
              <w:snapToGrid w:val="0"/>
              <w:jc w:val="center"/>
              <w:rPr>
                <w:color w:val="auto"/>
              </w:rPr>
            </w:pPr>
            <w:r>
              <w:rPr>
                <w:color w:val="auto"/>
              </w:rPr>
              <w:t>电磁</w:t>
            </w:r>
          </w:p>
          <w:p w14:paraId="62A4274C">
            <w:pPr>
              <w:adjustRightInd w:val="0"/>
              <w:snapToGrid w:val="0"/>
              <w:jc w:val="center"/>
              <w:rPr>
                <w:color w:val="auto"/>
              </w:rPr>
            </w:pPr>
            <w:r>
              <w:rPr>
                <w:color w:val="auto"/>
              </w:rPr>
              <w:t>辐射</w:t>
            </w:r>
          </w:p>
        </w:tc>
        <w:tc>
          <w:tcPr>
            <w:tcW w:w="4523" w:type="pct"/>
            <w:gridSpan w:val="6"/>
            <w:tcBorders>
              <w:top w:val="single" w:color="auto" w:sz="8" w:space="0"/>
              <w:left w:val="single" w:color="auto" w:sz="8" w:space="0"/>
              <w:bottom w:val="single" w:color="auto" w:sz="8" w:space="0"/>
            </w:tcBorders>
            <w:vAlign w:val="center"/>
          </w:tcPr>
          <w:p w14:paraId="0AB7DE16">
            <w:pPr>
              <w:adjustRightInd w:val="0"/>
              <w:snapToGrid w:val="0"/>
              <w:jc w:val="center"/>
              <w:rPr>
                <w:color w:val="auto"/>
              </w:rPr>
            </w:pPr>
            <w:r>
              <w:rPr>
                <w:color w:val="auto"/>
              </w:rPr>
              <w:t>本报告不对电磁辐射现状开展监测与评价</w:t>
            </w:r>
          </w:p>
        </w:tc>
      </w:tr>
      <w:tr w14:paraId="6A3E7CD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76" w:type="pct"/>
            <w:vMerge w:val="restart"/>
            <w:tcBorders>
              <w:top w:val="single" w:color="auto" w:sz="8" w:space="0"/>
              <w:bottom w:val="single" w:color="auto" w:sz="8" w:space="0"/>
              <w:right w:val="single" w:color="auto" w:sz="8" w:space="0"/>
            </w:tcBorders>
            <w:vAlign w:val="center"/>
          </w:tcPr>
          <w:p w14:paraId="24F8E4DA">
            <w:pPr>
              <w:adjustRightInd w:val="0"/>
              <w:snapToGrid w:val="0"/>
              <w:jc w:val="center"/>
              <w:rPr>
                <w:color w:val="auto"/>
              </w:rPr>
            </w:pPr>
            <w:r>
              <w:rPr>
                <w:color w:val="auto"/>
              </w:rPr>
              <w:t>固体</w:t>
            </w:r>
          </w:p>
          <w:p w14:paraId="09C1476D">
            <w:pPr>
              <w:adjustRightInd w:val="0"/>
              <w:snapToGrid w:val="0"/>
              <w:jc w:val="center"/>
              <w:rPr>
                <w:color w:val="auto"/>
              </w:rPr>
            </w:pPr>
            <w:r>
              <w:rPr>
                <w:color w:val="auto"/>
              </w:rPr>
              <w:t>废物</w:t>
            </w:r>
          </w:p>
        </w:tc>
        <w:tc>
          <w:tcPr>
            <w:tcW w:w="1239" w:type="pct"/>
            <w:gridSpan w:val="2"/>
            <w:tcBorders>
              <w:top w:val="single" w:color="auto" w:sz="8" w:space="0"/>
              <w:left w:val="single" w:color="auto" w:sz="8" w:space="0"/>
              <w:bottom w:val="single" w:color="auto" w:sz="8" w:space="0"/>
              <w:right w:val="single" w:color="auto" w:sz="8" w:space="0"/>
            </w:tcBorders>
            <w:vAlign w:val="center"/>
          </w:tcPr>
          <w:p w14:paraId="7DCA1AFB">
            <w:pPr>
              <w:pStyle w:val="5"/>
              <w:adjustRightInd w:val="0"/>
              <w:snapToGrid w:val="0"/>
              <w:ind w:firstLine="0" w:firstLineChars="0"/>
              <w:jc w:val="center"/>
              <w:rPr>
                <w:color w:val="auto"/>
                <w:szCs w:val="21"/>
              </w:rPr>
            </w:pPr>
            <w:r>
              <w:rPr>
                <w:rFonts w:hint="eastAsia"/>
                <w:bCs/>
                <w:color w:val="auto"/>
                <w:kern w:val="0"/>
                <w:szCs w:val="21"/>
                <w:lang w:val="en-US" w:eastAsia="zh-CN"/>
              </w:rPr>
              <w:t>废金属屑</w:t>
            </w:r>
          </w:p>
        </w:tc>
        <w:tc>
          <w:tcPr>
            <w:tcW w:w="731" w:type="pct"/>
            <w:gridSpan w:val="2"/>
            <w:vMerge w:val="restart"/>
            <w:tcBorders>
              <w:top w:val="single" w:color="auto" w:sz="8" w:space="0"/>
              <w:left w:val="single" w:color="auto" w:sz="8" w:space="0"/>
              <w:bottom w:val="single" w:color="auto" w:sz="8" w:space="0"/>
              <w:right w:val="single" w:color="auto" w:sz="8" w:space="0"/>
            </w:tcBorders>
            <w:vAlign w:val="center"/>
          </w:tcPr>
          <w:p w14:paraId="43D5C606">
            <w:pPr>
              <w:adjustRightInd w:val="0"/>
              <w:snapToGrid w:val="0"/>
              <w:jc w:val="center"/>
              <w:rPr>
                <w:color w:val="auto"/>
              </w:rPr>
            </w:pPr>
            <w:r>
              <w:rPr>
                <w:rFonts w:hint="eastAsia"/>
                <w:color w:val="auto"/>
              </w:rPr>
              <w:t>外售处置</w:t>
            </w:r>
          </w:p>
        </w:tc>
        <w:tc>
          <w:tcPr>
            <w:tcW w:w="2553" w:type="pct"/>
            <w:gridSpan w:val="2"/>
            <w:vMerge w:val="restart"/>
            <w:tcBorders>
              <w:top w:val="single" w:color="auto" w:sz="8" w:space="0"/>
              <w:left w:val="single" w:color="auto" w:sz="8" w:space="0"/>
              <w:bottom w:val="single" w:color="auto" w:sz="8" w:space="0"/>
            </w:tcBorders>
            <w:vAlign w:val="center"/>
          </w:tcPr>
          <w:p w14:paraId="2CE8D450">
            <w:pPr>
              <w:adjustRightInd w:val="0"/>
              <w:snapToGrid w:val="0"/>
              <w:jc w:val="center"/>
              <w:rPr>
                <w:color w:val="auto"/>
              </w:rPr>
            </w:pPr>
            <w:r>
              <w:rPr>
                <w:color w:val="auto"/>
              </w:rPr>
              <w:t>《一般工业固体废物贮存和填埋污染控制标准》（GB18599-2020）中的相关规定。</w:t>
            </w:r>
          </w:p>
        </w:tc>
      </w:tr>
      <w:tr w14:paraId="14D86D1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76" w:type="pct"/>
            <w:vMerge w:val="continue"/>
            <w:tcBorders>
              <w:top w:val="single" w:color="auto" w:sz="8" w:space="0"/>
              <w:bottom w:val="single" w:color="auto" w:sz="8" w:space="0"/>
              <w:right w:val="single" w:color="auto" w:sz="8" w:space="0"/>
            </w:tcBorders>
            <w:vAlign w:val="center"/>
          </w:tcPr>
          <w:p w14:paraId="146213F5">
            <w:pPr>
              <w:adjustRightInd w:val="0"/>
              <w:snapToGrid w:val="0"/>
              <w:jc w:val="center"/>
              <w:rPr>
                <w:color w:val="auto"/>
              </w:rPr>
            </w:pPr>
          </w:p>
        </w:tc>
        <w:tc>
          <w:tcPr>
            <w:tcW w:w="1239" w:type="pct"/>
            <w:gridSpan w:val="2"/>
            <w:tcBorders>
              <w:top w:val="single" w:color="auto" w:sz="8" w:space="0"/>
              <w:left w:val="single" w:color="auto" w:sz="8" w:space="0"/>
              <w:bottom w:val="single" w:color="auto" w:sz="8" w:space="0"/>
              <w:right w:val="single" w:color="auto" w:sz="8" w:space="0"/>
            </w:tcBorders>
            <w:vAlign w:val="center"/>
          </w:tcPr>
          <w:p w14:paraId="2E0EA2C4">
            <w:pPr>
              <w:pStyle w:val="5"/>
              <w:adjustRightInd w:val="0"/>
              <w:snapToGrid w:val="0"/>
              <w:ind w:firstLine="0" w:firstLineChars="0"/>
              <w:jc w:val="center"/>
              <w:rPr>
                <w:color w:val="auto"/>
                <w:szCs w:val="21"/>
              </w:rPr>
            </w:pPr>
            <w:r>
              <w:rPr>
                <w:rFonts w:hint="eastAsia"/>
                <w:bCs/>
                <w:color w:val="auto"/>
                <w:kern w:val="0"/>
                <w:szCs w:val="21"/>
                <w:lang w:val="en-US" w:eastAsia="zh-CN"/>
              </w:rPr>
              <w:t>一般废包材</w:t>
            </w:r>
          </w:p>
        </w:tc>
        <w:tc>
          <w:tcPr>
            <w:tcW w:w="731" w:type="pct"/>
            <w:gridSpan w:val="2"/>
            <w:vMerge w:val="continue"/>
            <w:tcBorders>
              <w:top w:val="single" w:color="auto" w:sz="8" w:space="0"/>
              <w:left w:val="single" w:color="auto" w:sz="8" w:space="0"/>
              <w:bottom w:val="single" w:color="auto" w:sz="8" w:space="0"/>
              <w:right w:val="single" w:color="auto" w:sz="8" w:space="0"/>
            </w:tcBorders>
            <w:vAlign w:val="center"/>
          </w:tcPr>
          <w:p w14:paraId="1234873B">
            <w:pPr>
              <w:adjustRightInd w:val="0"/>
              <w:snapToGrid w:val="0"/>
              <w:jc w:val="center"/>
              <w:rPr>
                <w:color w:val="auto"/>
              </w:rPr>
            </w:pPr>
          </w:p>
        </w:tc>
        <w:tc>
          <w:tcPr>
            <w:tcW w:w="2553" w:type="pct"/>
            <w:gridSpan w:val="2"/>
            <w:vMerge w:val="continue"/>
            <w:tcBorders>
              <w:top w:val="single" w:color="auto" w:sz="8" w:space="0"/>
              <w:left w:val="single" w:color="auto" w:sz="8" w:space="0"/>
              <w:bottom w:val="single" w:color="auto" w:sz="8" w:space="0"/>
            </w:tcBorders>
            <w:vAlign w:val="center"/>
          </w:tcPr>
          <w:p w14:paraId="0D2DB6DF">
            <w:pPr>
              <w:adjustRightInd w:val="0"/>
              <w:snapToGrid w:val="0"/>
              <w:jc w:val="center"/>
              <w:rPr>
                <w:color w:val="auto"/>
              </w:rPr>
            </w:pPr>
          </w:p>
        </w:tc>
      </w:tr>
      <w:tr w14:paraId="78A9349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76" w:type="pct"/>
            <w:vMerge w:val="continue"/>
            <w:tcBorders>
              <w:top w:val="single" w:color="auto" w:sz="8" w:space="0"/>
              <w:bottom w:val="single" w:color="auto" w:sz="8" w:space="0"/>
              <w:right w:val="single" w:color="auto" w:sz="8" w:space="0"/>
            </w:tcBorders>
            <w:vAlign w:val="center"/>
          </w:tcPr>
          <w:p w14:paraId="2E515072">
            <w:pPr>
              <w:adjustRightInd w:val="0"/>
              <w:snapToGrid w:val="0"/>
              <w:jc w:val="center"/>
              <w:rPr>
                <w:color w:val="auto"/>
              </w:rPr>
            </w:pPr>
          </w:p>
        </w:tc>
        <w:tc>
          <w:tcPr>
            <w:tcW w:w="1239" w:type="pct"/>
            <w:gridSpan w:val="2"/>
            <w:tcBorders>
              <w:top w:val="single" w:color="auto" w:sz="8" w:space="0"/>
              <w:left w:val="single" w:color="auto" w:sz="8" w:space="0"/>
              <w:bottom w:val="single" w:color="auto" w:sz="8" w:space="0"/>
              <w:right w:val="single" w:color="auto" w:sz="8" w:space="0"/>
            </w:tcBorders>
            <w:vAlign w:val="center"/>
          </w:tcPr>
          <w:p w14:paraId="2B2B27AA">
            <w:pPr>
              <w:pStyle w:val="5"/>
              <w:adjustRightInd w:val="0"/>
              <w:snapToGrid w:val="0"/>
              <w:ind w:firstLine="0" w:firstLineChars="0"/>
              <w:jc w:val="center"/>
              <w:rPr>
                <w:rFonts w:hint="default"/>
                <w:bCs/>
                <w:color w:val="auto"/>
                <w:kern w:val="0"/>
                <w:szCs w:val="21"/>
                <w:lang w:val="en-US" w:eastAsia="zh-CN"/>
              </w:rPr>
            </w:pPr>
            <w:r>
              <w:rPr>
                <w:rFonts w:hint="eastAsia"/>
                <w:bCs/>
                <w:color w:val="auto"/>
                <w:kern w:val="0"/>
                <w:szCs w:val="21"/>
                <w:lang w:val="en-US" w:eastAsia="zh-CN"/>
              </w:rPr>
              <w:t>含锌废物</w:t>
            </w:r>
          </w:p>
        </w:tc>
        <w:tc>
          <w:tcPr>
            <w:tcW w:w="731" w:type="pct"/>
            <w:gridSpan w:val="2"/>
            <w:vMerge w:val="continue"/>
            <w:tcBorders>
              <w:top w:val="single" w:color="auto" w:sz="8" w:space="0"/>
              <w:left w:val="single" w:color="auto" w:sz="8" w:space="0"/>
              <w:bottom w:val="single" w:color="auto" w:sz="8" w:space="0"/>
              <w:right w:val="single" w:color="auto" w:sz="8" w:space="0"/>
            </w:tcBorders>
            <w:vAlign w:val="center"/>
          </w:tcPr>
          <w:p w14:paraId="2DC01C57">
            <w:pPr>
              <w:adjustRightInd w:val="0"/>
              <w:snapToGrid w:val="0"/>
              <w:jc w:val="center"/>
              <w:rPr>
                <w:color w:val="auto"/>
              </w:rPr>
            </w:pPr>
          </w:p>
        </w:tc>
        <w:tc>
          <w:tcPr>
            <w:tcW w:w="2553" w:type="pct"/>
            <w:gridSpan w:val="2"/>
            <w:vMerge w:val="continue"/>
            <w:tcBorders>
              <w:top w:val="single" w:color="auto" w:sz="8" w:space="0"/>
              <w:left w:val="single" w:color="auto" w:sz="8" w:space="0"/>
              <w:bottom w:val="single" w:color="auto" w:sz="8" w:space="0"/>
            </w:tcBorders>
            <w:vAlign w:val="center"/>
          </w:tcPr>
          <w:p w14:paraId="4484CADE">
            <w:pPr>
              <w:adjustRightInd w:val="0"/>
              <w:snapToGrid w:val="0"/>
              <w:jc w:val="center"/>
              <w:rPr>
                <w:color w:val="auto"/>
              </w:rPr>
            </w:pPr>
          </w:p>
        </w:tc>
      </w:tr>
      <w:tr w14:paraId="1359D5D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76" w:type="pct"/>
            <w:vMerge w:val="continue"/>
            <w:tcBorders>
              <w:top w:val="single" w:color="auto" w:sz="8" w:space="0"/>
              <w:bottom w:val="single" w:color="auto" w:sz="8" w:space="0"/>
              <w:right w:val="single" w:color="auto" w:sz="8" w:space="0"/>
            </w:tcBorders>
            <w:vAlign w:val="center"/>
          </w:tcPr>
          <w:p w14:paraId="4D85FE95">
            <w:pPr>
              <w:adjustRightInd w:val="0"/>
              <w:snapToGrid w:val="0"/>
              <w:jc w:val="center"/>
              <w:rPr>
                <w:color w:val="auto"/>
              </w:rPr>
            </w:pPr>
          </w:p>
        </w:tc>
        <w:tc>
          <w:tcPr>
            <w:tcW w:w="1239" w:type="pct"/>
            <w:gridSpan w:val="2"/>
            <w:tcBorders>
              <w:top w:val="single" w:color="auto" w:sz="8" w:space="0"/>
              <w:left w:val="single" w:color="auto" w:sz="8" w:space="0"/>
              <w:bottom w:val="single" w:color="auto" w:sz="8" w:space="0"/>
              <w:right w:val="single" w:color="auto" w:sz="8" w:space="0"/>
            </w:tcBorders>
            <w:vAlign w:val="center"/>
          </w:tcPr>
          <w:p w14:paraId="6E7068FB">
            <w:pPr>
              <w:pStyle w:val="5"/>
              <w:adjustRightInd w:val="0"/>
              <w:snapToGrid w:val="0"/>
              <w:ind w:firstLine="0" w:firstLineChars="0"/>
              <w:jc w:val="center"/>
              <w:rPr>
                <w:color w:val="auto"/>
                <w:szCs w:val="21"/>
              </w:rPr>
            </w:pPr>
            <w:r>
              <w:rPr>
                <w:rFonts w:hint="eastAsia"/>
                <w:bCs/>
                <w:color w:val="auto"/>
                <w:kern w:val="0"/>
                <w:szCs w:val="21"/>
                <w:lang w:val="en-US" w:eastAsia="zh-CN"/>
              </w:rPr>
              <w:t>废切削液</w:t>
            </w:r>
          </w:p>
        </w:tc>
        <w:tc>
          <w:tcPr>
            <w:tcW w:w="731" w:type="pct"/>
            <w:gridSpan w:val="2"/>
            <w:vMerge w:val="restart"/>
            <w:tcBorders>
              <w:top w:val="single" w:color="auto" w:sz="8" w:space="0"/>
              <w:left w:val="single" w:color="auto" w:sz="8" w:space="0"/>
              <w:bottom w:val="single" w:color="auto" w:sz="8" w:space="0"/>
              <w:right w:val="single" w:color="auto" w:sz="8" w:space="0"/>
            </w:tcBorders>
            <w:vAlign w:val="center"/>
          </w:tcPr>
          <w:p w14:paraId="17140FB9">
            <w:pPr>
              <w:adjustRightInd w:val="0"/>
              <w:snapToGrid w:val="0"/>
              <w:jc w:val="center"/>
              <w:rPr>
                <w:color w:val="auto"/>
              </w:rPr>
            </w:pPr>
            <w:r>
              <w:rPr>
                <w:color w:val="auto"/>
              </w:rPr>
              <w:t>委托有资质单位处理</w:t>
            </w:r>
          </w:p>
        </w:tc>
        <w:tc>
          <w:tcPr>
            <w:tcW w:w="2553" w:type="pct"/>
            <w:gridSpan w:val="2"/>
            <w:vMerge w:val="restart"/>
            <w:tcBorders>
              <w:top w:val="single" w:color="auto" w:sz="8" w:space="0"/>
              <w:left w:val="single" w:color="auto" w:sz="8" w:space="0"/>
              <w:bottom w:val="single" w:color="auto" w:sz="8" w:space="0"/>
            </w:tcBorders>
            <w:vAlign w:val="center"/>
          </w:tcPr>
          <w:p w14:paraId="32F1C30C">
            <w:pPr>
              <w:adjustRightInd w:val="0"/>
              <w:snapToGrid w:val="0"/>
              <w:jc w:val="center"/>
              <w:rPr>
                <w:color w:val="auto"/>
              </w:rPr>
            </w:pPr>
            <w:r>
              <w:rPr>
                <w:rFonts w:hint="eastAsia"/>
                <w:color w:val="auto"/>
              </w:rPr>
              <w:t>执行《危险废物收集、贮存、运输技术规范》（HJ2025 2012）、《危险废物贮存污染控制标准》（GB 18597-2023）</w:t>
            </w:r>
          </w:p>
        </w:tc>
      </w:tr>
      <w:tr w14:paraId="0750BFF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76" w:type="pct"/>
            <w:vMerge w:val="continue"/>
            <w:tcBorders>
              <w:top w:val="single" w:color="auto" w:sz="8" w:space="0"/>
              <w:bottom w:val="single" w:color="auto" w:sz="8" w:space="0"/>
              <w:right w:val="single" w:color="auto" w:sz="8" w:space="0"/>
            </w:tcBorders>
            <w:vAlign w:val="center"/>
          </w:tcPr>
          <w:p w14:paraId="682ABE65">
            <w:pPr>
              <w:adjustRightInd w:val="0"/>
              <w:snapToGrid w:val="0"/>
              <w:jc w:val="center"/>
              <w:rPr>
                <w:color w:val="auto"/>
              </w:rPr>
            </w:pPr>
          </w:p>
        </w:tc>
        <w:tc>
          <w:tcPr>
            <w:tcW w:w="1239" w:type="pct"/>
            <w:gridSpan w:val="2"/>
            <w:tcBorders>
              <w:top w:val="single" w:color="auto" w:sz="8" w:space="0"/>
              <w:left w:val="single" w:color="auto" w:sz="8" w:space="0"/>
              <w:bottom w:val="single" w:color="auto" w:sz="8" w:space="0"/>
              <w:right w:val="single" w:color="auto" w:sz="8" w:space="0"/>
            </w:tcBorders>
            <w:vAlign w:val="center"/>
          </w:tcPr>
          <w:p w14:paraId="0503B4D3">
            <w:pPr>
              <w:pStyle w:val="5"/>
              <w:adjustRightInd w:val="0"/>
              <w:snapToGrid w:val="0"/>
              <w:ind w:firstLine="0" w:firstLineChars="0"/>
              <w:jc w:val="center"/>
              <w:rPr>
                <w:color w:val="auto"/>
                <w:szCs w:val="21"/>
              </w:rPr>
            </w:pPr>
            <w:r>
              <w:rPr>
                <w:rFonts w:hint="eastAsia"/>
                <w:bCs/>
                <w:color w:val="auto"/>
                <w:kern w:val="0"/>
                <w:szCs w:val="21"/>
                <w:lang w:val="en-US" w:eastAsia="zh-CN"/>
              </w:rPr>
              <w:t>清洗废液</w:t>
            </w:r>
          </w:p>
        </w:tc>
        <w:tc>
          <w:tcPr>
            <w:tcW w:w="731" w:type="pct"/>
            <w:gridSpan w:val="2"/>
            <w:vMerge w:val="continue"/>
            <w:tcBorders>
              <w:top w:val="single" w:color="auto" w:sz="8" w:space="0"/>
              <w:left w:val="single" w:color="auto" w:sz="8" w:space="0"/>
              <w:bottom w:val="single" w:color="auto" w:sz="8" w:space="0"/>
              <w:right w:val="single" w:color="auto" w:sz="8" w:space="0"/>
            </w:tcBorders>
            <w:vAlign w:val="center"/>
          </w:tcPr>
          <w:p w14:paraId="260098A9">
            <w:pPr>
              <w:adjustRightInd w:val="0"/>
              <w:snapToGrid w:val="0"/>
              <w:jc w:val="center"/>
              <w:rPr>
                <w:color w:val="auto"/>
              </w:rPr>
            </w:pPr>
          </w:p>
        </w:tc>
        <w:tc>
          <w:tcPr>
            <w:tcW w:w="2553" w:type="pct"/>
            <w:gridSpan w:val="2"/>
            <w:vMerge w:val="continue"/>
            <w:tcBorders>
              <w:top w:val="single" w:color="auto" w:sz="8" w:space="0"/>
              <w:left w:val="single" w:color="auto" w:sz="8" w:space="0"/>
              <w:bottom w:val="single" w:color="auto" w:sz="8" w:space="0"/>
            </w:tcBorders>
            <w:vAlign w:val="center"/>
          </w:tcPr>
          <w:p w14:paraId="779A23D4">
            <w:pPr>
              <w:adjustRightInd w:val="0"/>
              <w:snapToGrid w:val="0"/>
              <w:jc w:val="center"/>
              <w:rPr>
                <w:color w:val="auto"/>
              </w:rPr>
            </w:pPr>
          </w:p>
        </w:tc>
      </w:tr>
      <w:tr w14:paraId="3AF788E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76" w:type="pct"/>
            <w:vMerge w:val="continue"/>
            <w:tcBorders>
              <w:top w:val="single" w:color="auto" w:sz="8" w:space="0"/>
              <w:bottom w:val="single" w:color="auto" w:sz="8" w:space="0"/>
              <w:right w:val="single" w:color="auto" w:sz="8" w:space="0"/>
            </w:tcBorders>
            <w:vAlign w:val="center"/>
          </w:tcPr>
          <w:p w14:paraId="04E9B5A2">
            <w:pPr>
              <w:adjustRightInd w:val="0"/>
              <w:snapToGrid w:val="0"/>
              <w:jc w:val="center"/>
              <w:rPr>
                <w:color w:val="auto"/>
              </w:rPr>
            </w:pPr>
          </w:p>
        </w:tc>
        <w:tc>
          <w:tcPr>
            <w:tcW w:w="1239" w:type="pct"/>
            <w:gridSpan w:val="2"/>
            <w:tcBorders>
              <w:top w:val="single" w:color="auto" w:sz="8" w:space="0"/>
              <w:left w:val="single" w:color="auto" w:sz="8" w:space="0"/>
              <w:bottom w:val="single" w:color="auto" w:sz="8" w:space="0"/>
              <w:right w:val="single" w:color="auto" w:sz="8" w:space="0"/>
            </w:tcBorders>
            <w:vAlign w:val="center"/>
          </w:tcPr>
          <w:p w14:paraId="66B22F2C">
            <w:pPr>
              <w:pStyle w:val="5"/>
              <w:adjustRightInd w:val="0"/>
              <w:snapToGrid w:val="0"/>
              <w:ind w:firstLine="0" w:firstLineChars="0"/>
              <w:jc w:val="center"/>
              <w:rPr>
                <w:color w:val="auto"/>
                <w:szCs w:val="21"/>
              </w:rPr>
            </w:pPr>
            <w:r>
              <w:rPr>
                <w:rFonts w:hint="eastAsia"/>
                <w:bCs/>
                <w:color w:val="auto"/>
                <w:kern w:val="0"/>
                <w:szCs w:val="21"/>
                <w:lang w:val="en-US" w:eastAsia="zh-CN"/>
              </w:rPr>
              <w:t>洗枪废液</w:t>
            </w:r>
          </w:p>
        </w:tc>
        <w:tc>
          <w:tcPr>
            <w:tcW w:w="731" w:type="pct"/>
            <w:gridSpan w:val="2"/>
            <w:vMerge w:val="continue"/>
            <w:tcBorders>
              <w:top w:val="single" w:color="auto" w:sz="8" w:space="0"/>
              <w:left w:val="single" w:color="auto" w:sz="8" w:space="0"/>
              <w:bottom w:val="single" w:color="auto" w:sz="8" w:space="0"/>
              <w:right w:val="single" w:color="auto" w:sz="8" w:space="0"/>
            </w:tcBorders>
            <w:vAlign w:val="center"/>
          </w:tcPr>
          <w:p w14:paraId="25A4AE6D">
            <w:pPr>
              <w:adjustRightInd w:val="0"/>
              <w:snapToGrid w:val="0"/>
              <w:jc w:val="center"/>
              <w:rPr>
                <w:color w:val="auto"/>
              </w:rPr>
            </w:pPr>
          </w:p>
        </w:tc>
        <w:tc>
          <w:tcPr>
            <w:tcW w:w="2553" w:type="pct"/>
            <w:gridSpan w:val="2"/>
            <w:vMerge w:val="continue"/>
            <w:tcBorders>
              <w:top w:val="single" w:color="auto" w:sz="8" w:space="0"/>
              <w:left w:val="single" w:color="auto" w:sz="8" w:space="0"/>
              <w:bottom w:val="single" w:color="auto" w:sz="8" w:space="0"/>
            </w:tcBorders>
            <w:vAlign w:val="center"/>
          </w:tcPr>
          <w:p w14:paraId="1C173006">
            <w:pPr>
              <w:adjustRightInd w:val="0"/>
              <w:snapToGrid w:val="0"/>
              <w:jc w:val="center"/>
              <w:rPr>
                <w:color w:val="auto"/>
              </w:rPr>
            </w:pPr>
          </w:p>
        </w:tc>
      </w:tr>
      <w:tr w14:paraId="69522EF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76" w:type="pct"/>
            <w:vMerge w:val="continue"/>
            <w:tcBorders>
              <w:top w:val="single" w:color="auto" w:sz="8" w:space="0"/>
              <w:bottom w:val="single" w:color="auto" w:sz="8" w:space="0"/>
              <w:right w:val="single" w:color="auto" w:sz="8" w:space="0"/>
            </w:tcBorders>
            <w:vAlign w:val="center"/>
          </w:tcPr>
          <w:p w14:paraId="6D8A05AA">
            <w:pPr>
              <w:adjustRightInd w:val="0"/>
              <w:snapToGrid w:val="0"/>
              <w:jc w:val="center"/>
              <w:rPr>
                <w:color w:val="auto"/>
              </w:rPr>
            </w:pPr>
          </w:p>
        </w:tc>
        <w:tc>
          <w:tcPr>
            <w:tcW w:w="1239" w:type="pct"/>
            <w:gridSpan w:val="2"/>
            <w:tcBorders>
              <w:top w:val="single" w:color="auto" w:sz="8" w:space="0"/>
              <w:left w:val="single" w:color="auto" w:sz="8" w:space="0"/>
              <w:bottom w:val="single" w:color="auto" w:sz="8" w:space="0"/>
              <w:right w:val="single" w:color="auto" w:sz="8" w:space="0"/>
            </w:tcBorders>
            <w:vAlign w:val="center"/>
          </w:tcPr>
          <w:p w14:paraId="07E9A90F">
            <w:pPr>
              <w:pStyle w:val="5"/>
              <w:adjustRightInd w:val="0"/>
              <w:snapToGrid w:val="0"/>
              <w:ind w:firstLine="0" w:firstLineChars="0"/>
              <w:jc w:val="center"/>
              <w:rPr>
                <w:rFonts w:hint="default"/>
                <w:bCs/>
                <w:color w:val="auto"/>
                <w:kern w:val="0"/>
                <w:szCs w:val="21"/>
                <w:lang w:val="en-US" w:eastAsia="zh-CN"/>
              </w:rPr>
            </w:pPr>
            <w:r>
              <w:rPr>
                <w:rFonts w:hint="eastAsia"/>
                <w:bCs/>
                <w:color w:val="auto"/>
                <w:kern w:val="0"/>
                <w:szCs w:val="21"/>
                <w:lang w:val="en-US" w:eastAsia="zh-CN"/>
              </w:rPr>
              <w:t>漆渣</w:t>
            </w:r>
          </w:p>
        </w:tc>
        <w:tc>
          <w:tcPr>
            <w:tcW w:w="731" w:type="pct"/>
            <w:gridSpan w:val="2"/>
            <w:vMerge w:val="continue"/>
            <w:tcBorders>
              <w:top w:val="single" w:color="auto" w:sz="8" w:space="0"/>
              <w:left w:val="single" w:color="auto" w:sz="8" w:space="0"/>
              <w:bottom w:val="single" w:color="auto" w:sz="8" w:space="0"/>
              <w:right w:val="single" w:color="auto" w:sz="8" w:space="0"/>
            </w:tcBorders>
            <w:vAlign w:val="center"/>
          </w:tcPr>
          <w:p w14:paraId="3AA59770">
            <w:pPr>
              <w:adjustRightInd w:val="0"/>
              <w:snapToGrid w:val="0"/>
              <w:jc w:val="center"/>
              <w:rPr>
                <w:color w:val="auto"/>
              </w:rPr>
            </w:pPr>
          </w:p>
        </w:tc>
        <w:tc>
          <w:tcPr>
            <w:tcW w:w="2553" w:type="pct"/>
            <w:gridSpan w:val="2"/>
            <w:vMerge w:val="continue"/>
            <w:tcBorders>
              <w:top w:val="single" w:color="auto" w:sz="8" w:space="0"/>
              <w:left w:val="single" w:color="auto" w:sz="8" w:space="0"/>
              <w:bottom w:val="single" w:color="auto" w:sz="8" w:space="0"/>
            </w:tcBorders>
            <w:vAlign w:val="center"/>
          </w:tcPr>
          <w:p w14:paraId="4A0FAB4D">
            <w:pPr>
              <w:adjustRightInd w:val="0"/>
              <w:snapToGrid w:val="0"/>
              <w:jc w:val="center"/>
              <w:rPr>
                <w:color w:val="auto"/>
              </w:rPr>
            </w:pPr>
          </w:p>
        </w:tc>
      </w:tr>
      <w:tr w14:paraId="2CA8D41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76" w:type="pct"/>
            <w:vMerge w:val="continue"/>
            <w:tcBorders>
              <w:top w:val="single" w:color="auto" w:sz="8" w:space="0"/>
              <w:bottom w:val="single" w:color="auto" w:sz="8" w:space="0"/>
              <w:right w:val="single" w:color="auto" w:sz="8" w:space="0"/>
            </w:tcBorders>
            <w:vAlign w:val="center"/>
          </w:tcPr>
          <w:p w14:paraId="6389CD0E">
            <w:pPr>
              <w:adjustRightInd w:val="0"/>
              <w:snapToGrid w:val="0"/>
              <w:jc w:val="center"/>
              <w:rPr>
                <w:color w:val="auto"/>
              </w:rPr>
            </w:pPr>
          </w:p>
        </w:tc>
        <w:tc>
          <w:tcPr>
            <w:tcW w:w="1239" w:type="pct"/>
            <w:gridSpan w:val="2"/>
            <w:tcBorders>
              <w:top w:val="single" w:color="auto" w:sz="8" w:space="0"/>
              <w:left w:val="single" w:color="auto" w:sz="8" w:space="0"/>
              <w:bottom w:val="single" w:color="auto" w:sz="8" w:space="0"/>
              <w:right w:val="single" w:color="auto" w:sz="8" w:space="0"/>
            </w:tcBorders>
            <w:vAlign w:val="center"/>
          </w:tcPr>
          <w:p w14:paraId="577FC055">
            <w:pPr>
              <w:pStyle w:val="5"/>
              <w:adjustRightInd w:val="0"/>
              <w:snapToGrid w:val="0"/>
              <w:ind w:firstLine="0" w:firstLineChars="0"/>
              <w:jc w:val="center"/>
              <w:rPr>
                <w:rFonts w:hint="eastAsia"/>
                <w:bCs/>
                <w:color w:val="auto"/>
                <w:kern w:val="0"/>
                <w:szCs w:val="21"/>
                <w:lang w:val="en-US" w:eastAsia="zh-CN"/>
              </w:rPr>
            </w:pPr>
            <w:r>
              <w:rPr>
                <w:rFonts w:hint="eastAsia"/>
                <w:bCs/>
                <w:color w:val="auto"/>
                <w:kern w:val="0"/>
                <w:szCs w:val="21"/>
                <w:lang w:val="en-US" w:eastAsia="zh-CN"/>
              </w:rPr>
              <w:t>废包装桶</w:t>
            </w:r>
          </w:p>
        </w:tc>
        <w:tc>
          <w:tcPr>
            <w:tcW w:w="731" w:type="pct"/>
            <w:gridSpan w:val="2"/>
            <w:vMerge w:val="continue"/>
            <w:tcBorders>
              <w:top w:val="single" w:color="auto" w:sz="8" w:space="0"/>
              <w:left w:val="single" w:color="auto" w:sz="8" w:space="0"/>
              <w:bottom w:val="single" w:color="auto" w:sz="8" w:space="0"/>
              <w:right w:val="single" w:color="auto" w:sz="8" w:space="0"/>
            </w:tcBorders>
            <w:vAlign w:val="center"/>
          </w:tcPr>
          <w:p w14:paraId="7D4133FB">
            <w:pPr>
              <w:adjustRightInd w:val="0"/>
              <w:snapToGrid w:val="0"/>
              <w:jc w:val="center"/>
              <w:rPr>
                <w:color w:val="auto"/>
              </w:rPr>
            </w:pPr>
          </w:p>
        </w:tc>
        <w:tc>
          <w:tcPr>
            <w:tcW w:w="2553" w:type="pct"/>
            <w:gridSpan w:val="2"/>
            <w:vMerge w:val="continue"/>
            <w:tcBorders>
              <w:top w:val="single" w:color="auto" w:sz="8" w:space="0"/>
              <w:left w:val="single" w:color="auto" w:sz="8" w:space="0"/>
              <w:bottom w:val="single" w:color="auto" w:sz="8" w:space="0"/>
            </w:tcBorders>
            <w:vAlign w:val="center"/>
          </w:tcPr>
          <w:p w14:paraId="501F6B07">
            <w:pPr>
              <w:adjustRightInd w:val="0"/>
              <w:snapToGrid w:val="0"/>
              <w:jc w:val="center"/>
              <w:rPr>
                <w:color w:val="auto"/>
              </w:rPr>
            </w:pPr>
          </w:p>
        </w:tc>
      </w:tr>
      <w:tr w14:paraId="654B939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76" w:type="pct"/>
            <w:vMerge w:val="continue"/>
            <w:tcBorders>
              <w:top w:val="single" w:color="auto" w:sz="8" w:space="0"/>
              <w:bottom w:val="single" w:color="auto" w:sz="8" w:space="0"/>
              <w:right w:val="single" w:color="auto" w:sz="8" w:space="0"/>
            </w:tcBorders>
            <w:vAlign w:val="center"/>
          </w:tcPr>
          <w:p w14:paraId="11677879">
            <w:pPr>
              <w:adjustRightInd w:val="0"/>
              <w:snapToGrid w:val="0"/>
              <w:jc w:val="center"/>
              <w:rPr>
                <w:color w:val="auto"/>
              </w:rPr>
            </w:pPr>
          </w:p>
        </w:tc>
        <w:tc>
          <w:tcPr>
            <w:tcW w:w="1239" w:type="pct"/>
            <w:gridSpan w:val="2"/>
            <w:tcBorders>
              <w:top w:val="single" w:color="auto" w:sz="8" w:space="0"/>
              <w:left w:val="single" w:color="auto" w:sz="8" w:space="0"/>
              <w:bottom w:val="single" w:color="auto" w:sz="8" w:space="0"/>
              <w:right w:val="single" w:color="auto" w:sz="8" w:space="0"/>
            </w:tcBorders>
            <w:vAlign w:val="center"/>
          </w:tcPr>
          <w:p w14:paraId="12B3FDFE">
            <w:pPr>
              <w:pStyle w:val="5"/>
              <w:adjustRightInd w:val="0"/>
              <w:snapToGrid w:val="0"/>
              <w:ind w:firstLine="0" w:firstLineChars="0"/>
              <w:jc w:val="center"/>
              <w:rPr>
                <w:rFonts w:hint="eastAsia"/>
                <w:bCs/>
                <w:color w:val="auto"/>
                <w:kern w:val="0"/>
                <w:szCs w:val="21"/>
                <w:lang w:val="en-US" w:eastAsia="zh-CN"/>
              </w:rPr>
            </w:pPr>
            <w:r>
              <w:rPr>
                <w:rFonts w:hint="eastAsia"/>
                <w:bCs/>
                <w:color w:val="auto"/>
                <w:kern w:val="0"/>
                <w:szCs w:val="21"/>
                <w:lang w:val="en-US" w:eastAsia="zh-CN"/>
              </w:rPr>
              <w:t>含锌废物</w:t>
            </w:r>
          </w:p>
        </w:tc>
        <w:tc>
          <w:tcPr>
            <w:tcW w:w="731" w:type="pct"/>
            <w:gridSpan w:val="2"/>
            <w:vMerge w:val="continue"/>
            <w:tcBorders>
              <w:top w:val="single" w:color="auto" w:sz="8" w:space="0"/>
              <w:left w:val="single" w:color="auto" w:sz="8" w:space="0"/>
              <w:bottom w:val="single" w:color="auto" w:sz="8" w:space="0"/>
              <w:right w:val="single" w:color="auto" w:sz="8" w:space="0"/>
            </w:tcBorders>
            <w:vAlign w:val="center"/>
          </w:tcPr>
          <w:p w14:paraId="5B4D5BB3">
            <w:pPr>
              <w:adjustRightInd w:val="0"/>
              <w:snapToGrid w:val="0"/>
              <w:jc w:val="center"/>
              <w:rPr>
                <w:color w:val="auto"/>
              </w:rPr>
            </w:pPr>
          </w:p>
        </w:tc>
        <w:tc>
          <w:tcPr>
            <w:tcW w:w="2553" w:type="pct"/>
            <w:gridSpan w:val="2"/>
            <w:vMerge w:val="continue"/>
            <w:tcBorders>
              <w:top w:val="single" w:color="auto" w:sz="8" w:space="0"/>
              <w:left w:val="single" w:color="auto" w:sz="8" w:space="0"/>
              <w:bottom w:val="single" w:color="auto" w:sz="8" w:space="0"/>
            </w:tcBorders>
            <w:vAlign w:val="center"/>
          </w:tcPr>
          <w:p w14:paraId="6160E24D">
            <w:pPr>
              <w:adjustRightInd w:val="0"/>
              <w:snapToGrid w:val="0"/>
              <w:jc w:val="center"/>
              <w:rPr>
                <w:color w:val="auto"/>
              </w:rPr>
            </w:pPr>
          </w:p>
        </w:tc>
      </w:tr>
      <w:tr w14:paraId="4D5535C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76" w:type="pct"/>
            <w:vMerge w:val="continue"/>
            <w:tcBorders>
              <w:top w:val="single" w:color="auto" w:sz="8" w:space="0"/>
              <w:bottom w:val="single" w:color="auto" w:sz="8" w:space="0"/>
              <w:right w:val="single" w:color="auto" w:sz="8" w:space="0"/>
            </w:tcBorders>
            <w:vAlign w:val="center"/>
          </w:tcPr>
          <w:p w14:paraId="5A9F33A5">
            <w:pPr>
              <w:adjustRightInd w:val="0"/>
              <w:snapToGrid w:val="0"/>
              <w:jc w:val="center"/>
              <w:rPr>
                <w:color w:val="auto"/>
              </w:rPr>
            </w:pPr>
          </w:p>
        </w:tc>
        <w:tc>
          <w:tcPr>
            <w:tcW w:w="1239" w:type="pct"/>
            <w:gridSpan w:val="2"/>
            <w:tcBorders>
              <w:top w:val="single" w:color="auto" w:sz="8" w:space="0"/>
              <w:left w:val="single" w:color="auto" w:sz="8" w:space="0"/>
              <w:bottom w:val="single" w:color="auto" w:sz="8" w:space="0"/>
              <w:right w:val="single" w:color="auto" w:sz="8" w:space="0"/>
            </w:tcBorders>
            <w:vAlign w:val="center"/>
          </w:tcPr>
          <w:p w14:paraId="7568B81D">
            <w:pPr>
              <w:pStyle w:val="5"/>
              <w:adjustRightInd w:val="0"/>
              <w:snapToGrid w:val="0"/>
              <w:ind w:firstLine="0" w:firstLineChars="0"/>
              <w:jc w:val="center"/>
              <w:rPr>
                <w:rFonts w:hint="default"/>
                <w:bCs/>
                <w:color w:val="auto"/>
                <w:kern w:val="0"/>
                <w:szCs w:val="21"/>
                <w:lang w:val="en-US" w:eastAsia="zh-CN"/>
              </w:rPr>
            </w:pPr>
            <w:r>
              <w:rPr>
                <w:rFonts w:hint="eastAsia"/>
                <w:bCs/>
                <w:color w:val="auto"/>
                <w:kern w:val="0"/>
                <w:szCs w:val="21"/>
                <w:lang w:val="en-US" w:eastAsia="zh-CN"/>
              </w:rPr>
              <w:t>含漆废物</w:t>
            </w:r>
          </w:p>
        </w:tc>
        <w:tc>
          <w:tcPr>
            <w:tcW w:w="731" w:type="pct"/>
            <w:gridSpan w:val="2"/>
            <w:vMerge w:val="continue"/>
            <w:tcBorders>
              <w:top w:val="single" w:color="auto" w:sz="8" w:space="0"/>
              <w:left w:val="single" w:color="auto" w:sz="8" w:space="0"/>
              <w:bottom w:val="single" w:color="auto" w:sz="8" w:space="0"/>
              <w:right w:val="single" w:color="auto" w:sz="8" w:space="0"/>
            </w:tcBorders>
            <w:vAlign w:val="center"/>
          </w:tcPr>
          <w:p w14:paraId="21D041BA">
            <w:pPr>
              <w:adjustRightInd w:val="0"/>
              <w:snapToGrid w:val="0"/>
              <w:jc w:val="center"/>
              <w:rPr>
                <w:color w:val="auto"/>
              </w:rPr>
            </w:pPr>
          </w:p>
        </w:tc>
        <w:tc>
          <w:tcPr>
            <w:tcW w:w="2553" w:type="pct"/>
            <w:gridSpan w:val="2"/>
            <w:vMerge w:val="continue"/>
            <w:tcBorders>
              <w:top w:val="single" w:color="auto" w:sz="8" w:space="0"/>
              <w:left w:val="single" w:color="auto" w:sz="8" w:space="0"/>
              <w:bottom w:val="single" w:color="auto" w:sz="8" w:space="0"/>
            </w:tcBorders>
            <w:vAlign w:val="center"/>
          </w:tcPr>
          <w:p w14:paraId="0DA28C97">
            <w:pPr>
              <w:adjustRightInd w:val="0"/>
              <w:snapToGrid w:val="0"/>
              <w:jc w:val="center"/>
              <w:rPr>
                <w:color w:val="auto"/>
              </w:rPr>
            </w:pPr>
          </w:p>
        </w:tc>
      </w:tr>
      <w:tr w14:paraId="0047A32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76" w:type="pct"/>
            <w:vMerge w:val="continue"/>
            <w:tcBorders>
              <w:top w:val="single" w:color="auto" w:sz="8" w:space="0"/>
              <w:bottom w:val="single" w:color="auto" w:sz="8" w:space="0"/>
              <w:right w:val="single" w:color="auto" w:sz="8" w:space="0"/>
            </w:tcBorders>
            <w:vAlign w:val="center"/>
          </w:tcPr>
          <w:p w14:paraId="3BA2E44E">
            <w:pPr>
              <w:adjustRightInd w:val="0"/>
              <w:snapToGrid w:val="0"/>
              <w:jc w:val="center"/>
              <w:rPr>
                <w:color w:val="auto"/>
              </w:rPr>
            </w:pPr>
          </w:p>
        </w:tc>
        <w:tc>
          <w:tcPr>
            <w:tcW w:w="1239" w:type="pct"/>
            <w:gridSpan w:val="2"/>
            <w:tcBorders>
              <w:top w:val="single" w:color="auto" w:sz="8" w:space="0"/>
              <w:left w:val="single" w:color="auto" w:sz="8" w:space="0"/>
              <w:bottom w:val="single" w:color="auto" w:sz="8" w:space="0"/>
              <w:right w:val="single" w:color="auto" w:sz="8" w:space="0"/>
            </w:tcBorders>
            <w:vAlign w:val="center"/>
          </w:tcPr>
          <w:p w14:paraId="069ABF3F">
            <w:pPr>
              <w:pStyle w:val="5"/>
              <w:adjustRightInd w:val="0"/>
              <w:snapToGrid w:val="0"/>
              <w:ind w:firstLine="0" w:firstLineChars="0"/>
              <w:jc w:val="center"/>
              <w:rPr>
                <w:rFonts w:hint="eastAsia"/>
                <w:bCs/>
                <w:color w:val="auto"/>
                <w:kern w:val="0"/>
                <w:szCs w:val="21"/>
                <w:lang w:val="en-US" w:eastAsia="zh-CN"/>
              </w:rPr>
            </w:pPr>
            <w:r>
              <w:rPr>
                <w:rFonts w:hint="eastAsia"/>
                <w:bCs/>
                <w:color w:val="auto"/>
                <w:kern w:val="0"/>
                <w:szCs w:val="21"/>
                <w:lang w:val="en-US" w:eastAsia="zh-CN"/>
              </w:rPr>
              <w:t>废活性炭</w:t>
            </w:r>
          </w:p>
        </w:tc>
        <w:tc>
          <w:tcPr>
            <w:tcW w:w="731" w:type="pct"/>
            <w:gridSpan w:val="2"/>
            <w:vMerge w:val="continue"/>
            <w:tcBorders>
              <w:top w:val="single" w:color="auto" w:sz="8" w:space="0"/>
              <w:left w:val="single" w:color="auto" w:sz="8" w:space="0"/>
              <w:bottom w:val="single" w:color="auto" w:sz="8" w:space="0"/>
              <w:right w:val="single" w:color="auto" w:sz="8" w:space="0"/>
            </w:tcBorders>
            <w:vAlign w:val="center"/>
          </w:tcPr>
          <w:p w14:paraId="39B57C7E">
            <w:pPr>
              <w:adjustRightInd w:val="0"/>
              <w:snapToGrid w:val="0"/>
              <w:jc w:val="center"/>
              <w:rPr>
                <w:color w:val="auto"/>
              </w:rPr>
            </w:pPr>
          </w:p>
        </w:tc>
        <w:tc>
          <w:tcPr>
            <w:tcW w:w="2553" w:type="pct"/>
            <w:gridSpan w:val="2"/>
            <w:vMerge w:val="continue"/>
            <w:tcBorders>
              <w:top w:val="single" w:color="auto" w:sz="8" w:space="0"/>
              <w:left w:val="single" w:color="auto" w:sz="8" w:space="0"/>
              <w:bottom w:val="single" w:color="auto" w:sz="8" w:space="0"/>
            </w:tcBorders>
            <w:vAlign w:val="center"/>
          </w:tcPr>
          <w:p w14:paraId="55FC403E">
            <w:pPr>
              <w:adjustRightInd w:val="0"/>
              <w:snapToGrid w:val="0"/>
              <w:jc w:val="center"/>
              <w:rPr>
                <w:color w:val="auto"/>
              </w:rPr>
            </w:pPr>
          </w:p>
        </w:tc>
      </w:tr>
      <w:tr w14:paraId="219657D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46" w:hRule="atLeast"/>
          <w:jc w:val="center"/>
        </w:trPr>
        <w:tc>
          <w:tcPr>
            <w:tcW w:w="476" w:type="pct"/>
            <w:tcBorders>
              <w:top w:val="single" w:color="auto" w:sz="8" w:space="0"/>
              <w:bottom w:val="single" w:color="auto" w:sz="8" w:space="0"/>
              <w:right w:val="single" w:color="auto" w:sz="8" w:space="0"/>
            </w:tcBorders>
            <w:vAlign w:val="center"/>
          </w:tcPr>
          <w:p w14:paraId="3F403B07">
            <w:pPr>
              <w:adjustRightInd w:val="0"/>
              <w:snapToGrid w:val="0"/>
              <w:jc w:val="center"/>
              <w:rPr>
                <w:color w:val="auto"/>
              </w:rPr>
            </w:pPr>
            <w:r>
              <w:rPr>
                <w:color w:val="auto"/>
              </w:rPr>
              <w:t>土壤及地下水污染防治措施</w:t>
            </w:r>
          </w:p>
        </w:tc>
        <w:tc>
          <w:tcPr>
            <w:tcW w:w="4523" w:type="pct"/>
            <w:gridSpan w:val="6"/>
            <w:tcBorders>
              <w:top w:val="single" w:color="auto" w:sz="8" w:space="0"/>
              <w:left w:val="single" w:color="auto" w:sz="8" w:space="0"/>
              <w:bottom w:val="single" w:color="auto" w:sz="8" w:space="0"/>
            </w:tcBorders>
            <w:vAlign w:val="center"/>
          </w:tcPr>
          <w:p w14:paraId="2C22B63D">
            <w:pPr>
              <w:adjustRightInd w:val="0"/>
              <w:snapToGrid w:val="0"/>
              <w:jc w:val="left"/>
              <w:rPr>
                <w:color w:val="auto"/>
              </w:rPr>
            </w:pPr>
            <w:r>
              <w:rPr>
                <w:rFonts w:hint="eastAsia"/>
                <w:color w:val="auto"/>
              </w:rPr>
              <w:t>厂区分一般防渗区、简单防渗区、重点防渗区，本项目将危废仓库、</w:t>
            </w:r>
            <w:r>
              <w:rPr>
                <w:rFonts w:hint="eastAsia"/>
                <w:color w:val="auto"/>
                <w:lang w:val="en-US" w:eastAsia="zh-CN"/>
              </w:rPr>
              <w:t>油漆</w:t>
            </w:r>
            <w:r>
              <w:rPr>
                <w:rFonts w:hint="eastAsia"/>
                <w:color w:val="auto"/>
              </w:rPr>
              <w:t>仓库设为重点防渗区，车间地面设为一般防渗区，办公区为简单防渗区。建设单位应确保做好危废仓库等容易渗漏引起土壤、地下水污染的区域的管理，做好防渗、防雨、防风、防淋等措施，定期巡查，避免发生跑冒滴漏现象，如发现应立即采取应急措施，确保不会对厂区地下水造成大的影响。</w:t>
            </w:r>
          </w:p>
        </w:tc>
      </w:tr>
      <w:tr w14:paraId="78E5A32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97" w:hRule="atLeast"/>
          <w:jc w:val="center"/>
        </w:trPr>
        <w:tc>
          <w:tcPr>
            <w:tcW w:w="476" w:type="pct"/>
            <w:tcBorders>
              <w:top w:val="single" w:color="auto" w:sz="8" w:space="0"/>
              <w:bottom w:val="single" w:color="auto" w:sz="8" w:space="0"/>
              <w:right w:val="single" w:color="auto" w:sz="8" w:space="0"/>
            </w:tcBorders>
            <w:vAlign w:val="center"/>
          </w:tcPr>
          <w:p w14:paraId="5CA10999">
            <w:pPr>
              <w:adjustRightInd w:val="0"/>
              <w:snapToGrid w:val="0"/>
              <w:jc w:val="center"/>
              <w:rPr>
                <w:color w:val="auto"/>
              </w:rPr>
            </w:pPr>
            <w:r>
              <w:rPr>
                <w:color w:val="auto"/>
              </w:rPr>
              <w:t>生态保护措施</w:t>
            </w:r>
          </w:p>
        </w:tc>
        <w:tc>
          <w:tcPr>
            <w:tcW w:w="4523" w:type="pct"/>
            <w:gridSpan w:val="6"/>
            <w:tcBorders>
              <w:top w:val="single" w:color="auto" w:sz="8" w:space="0"/>
              <w:left w:val="single" w:color="auto" w:sz="8" w:space="0"/>
              <w:bottom w:val="single" w:color="auto" w:sz="8" w:space="0"/>
            </w:tcBorders>
            <w:vAlign w:val="center"/>
          </w:tcPr>
          <w:p w14:paraId="7919D0EC">
            <w:pPr>
              <w:adjustRightInd w:val="0"/>
              <w:snapToGrid w:val="0"/>
              <w:jc w:val="left"/>
              <w:rPr>
                <w:color w:val="auto"/>
              </w:rPr>
            </w:pPr>
            <w:r>
              <w:rPr>
                <w:color w:val="auto"/>
              </w:rPr>
              <w:t>根据《江苏省生态空间管控区域规划》（苏政发〔2020〕1号）和《省政府关于印发江苏省国家级生态保护红线规划的通知》（苏政发〔2018〕74号），项目不在常州市国家级生态保护红线和生态空间管控区域的保护区范围内</w:t>
            </w:r>
            <w:r>
              <w:rPr>
                <w:rFonts w:hint="eastAsia"/>
                <w:color w:val="auto"/>
              </w:rPr>
              <w:t>。</w:t>
            </w:r>
          </w:p>
        </w:tc>
      </w:tr>
      <w:tr w14:paraId="439B624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09" w:hRule="atLeast"/>
          <w:jc w:val="center"/>
        </w:trPr>
        <w:tc>
          <w:tcPr>
            <w:tcW w:w="476" w:type="pct"/>
            <w:tcBorders>
              <w:top w:val="single" w:color="auto" w:sz="8" w:space="0"/>
              <w:bottom w:val="single" w:color="auto" w:sz="8" w:space="0"/>
              <w:right w:val="single" w:color="auto" w:sz="8" w:space="0"/>
            </w:tcBorders>
            <w:vAlign w:val="center"/>
          </w:tcPr>
          <w:p w14:paraId="50B83286">
            <w:pPr>
              <w:adjustRightInd w:val="0"/>
              <w:snapToGrid w:val="0"/>
              <w:jc w:val="center"/>
              <w:rPr>
                <w:color w:val="auto"/>
                <w:spacing w:val="-8"/>
              </w:rPr>
            </w:pPr>
            <w:r>
              <w:rPr>
                <w:color w:val="auto"/>
                <w:spacing w:val="-8"/>
              </w:rPr>
              <w:t>环境风险防范措施</w:t>
            </w:r>
          </w:p>
        </w:tc>
        <w:tc>
          <w:tcPr>
            <w:tcW w:w="4523" w:type="pct"/>
            <w:gridSpan w:val="6"/>
            <w:tcBorders>
              <w:top w:val="single" w:color="auto" w:sz="8" w:space="0"/>
              <w:left w:val="single" w:color="auto" w:sz="8" w:space="0"/>
              <w:bottom w:val="single" w:color="auto" w:sz="8" w:space="0"/>
            </w:tcBorders>
            <w:vAlign w:val="center"/>
          </w:tcPr>
          <w:p w14:paraId="0B7505A1">
            <w:pPr>
              <w:adjustRightInd w:val="0"/>
              <w:snapToGrid w:val="0"/>
              <w:jc w:val="left"/>
              <w:rPr>
                <w:color w:val="auto"/>
              </w:rPr>
            </w:pPr>
            <w:r>
              <w:rPr>
                <w:color w:val="auto"/>
              </w:rPr>
              <w:t>1、厂区分区防渗；</w:t>
            </w:r>
          </w:p>
          <w:p w14:paraId="15BA4D9E">
            <w:pPr>
              <w:pStyle w:val="703"/>
              <w:adjustRightInd w:val="0"/>
              <w:snapToGrid w:val="0"/>
              <w:jc w:val="left"/>
              <w:rPr>
                <w:rFonts w:eastAsia="宋体"/>
                <w:color w:val="auto"/>
                <w:sz w:val="21"/>
                <w:szCs w:val="21"/>
              </w:rPr>
            </w:pPr>
            <w:r>
              <w:rPr>
                <w:rFonts w:eastAsia="宋体"/>
                <w:color w:val="auto"/>
                <w:sz w:val="21"/>
                <w:szCs w:val="21"/>
              </w:rPr>
              <w:t>2、做好厂区环境风险管理、风险应急物质配备</w:t>
            </w:r>
            <w:r>
              <w:rPr>
                <w:rFonts w:hint="eastAsia" w:eastAsia="宋体"/>
                <w:color w:val="auto"/>
                <w:sz w:val="21"/>
                <w:szCs w:val="21"/>
              </w:rPr>
              <w:t>；</w:t>
            </w:r>
          </w:p>
          <w:p w14:paraId="5B6AAC7C">
            <w:pPr>
              <w:pStyle w:val="703"/>
              <w:adjustRightInd w:val="0"/>
              <w:snapToGrid w:val="0"/>
              <w:jc w:val="left"/>
              <w:rPr>
                <w:rFonts w:eastAsia="宋体"/>
                <w:color w:val="auto"/>
                <w:sz w:val="21"/>
                <w:szCs w:val="21"/>
              </w:rPr>
            </w:pPr>
            <w:r>
              <w:rPr>
                <w:rFonts w:hint="eastAsia" w:eastAsia="宋体"/>
                <w:color w:val="auto"/>
                <w:sz w:val="21"/>
                <w:szCs w:val="21"/>
              </w:rPr>
              <w:t>3</w:t>
            </w:r>
            <w:r>
              <w:rPr>
                <w:rFonts w:eastAsia="宋体"/>
                <w:color w:val="auto"/>
                <w:sz w:val="21"/>
                <w:szCs w:val="21"/>
              </w:rPr>
              <w:t>、</w:t>
            </w:r>
            <w:r>
              <w:rPr>
                <w:rFonts w:hint="eastAsia" w:eastAsia="宋体"/>
                <w:color w:val="auto"/>
                <w:sz w:val="21"/>
                <w:szCs w:val="21"/>
              </w:rPr>
              <w:t>按照应急预案要求</w:t>
            </w:r>
            <w:r>
              <w:rPr>
                <w:rFonts w:eastAsia="宋体"/>
                <w:color w:val="auto"/>
                <w:sz w:val="21"/>
                <w:szCs w:val="21"/>
              </w:rPr>
              <w:t>定期进行应急演练。</w:t>
            </w:r>
          </w:p>
          <w:p w14:paraId="229368FD">
            <w:pPr>
              <w:pStyle w:val="703"/>
              <w:adjustRightInd w:val="0"/>
              <w:snapToGrid w:val="0"/>
              <w:jc w:val="left"/>
              <w:rPr>
                <w:rFonts w:hint="default" w:eastAsia="宋体"/>
                <w:color w:val="auto"/>
                <w:sz w:val="21"/>
                <w:szCs w:val="21"/>
                <w:lang w:val="en-US" w:eastAsia="zh-CN"/>
              </w:rPr>
            </w:pPr>
            <w:r>
              <w:rPr>
                <w:rFonts w:hint="eastAsia" w:eastAsia="宋体"/>
                <w:color w:val="auto"/>
                <w:sz w:val="21"/>
                <w:szCs w:val="21"/>
                <w:lang w:val="en-US" w:eastAsia="zh-CN"/>
              </w:rPr>
              <w:t>4、厂区设1处雨水排放口，已设置截流阀阻断泄漏物料和消防尾水汇入雨水管网，一旦发生事故，可以关闭雨水排口的截流阀，利用与应急池连接的管道使事故废水流入事故池内，将事故废水截留在厂内以待进一步处理，防止伴生和次生的泄漏物料、污水、消防水直接进入厂内污水管网，给污水处理厂造成一定的冲击。</w:t>
            </w:r>
          </w:p>
        </w:tc>
      </w:tr>
      <w:tr w14:paraId="5D3BFA7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24" w:hRule="atLeast"/>
          <w:jc w:val="center"/>
        </w:trPr>
        <w:tc>
          <w:tcPr>
            <w:tcW w:w="476" w:type="pct"/>
            <w:tcBorders>
              <w:top w:val="single" w:color="auto" w:sz="8" w:space="0"/>
              <w:right w:val="single" w:color="auto" w:sz="8" w:space="0"/>
            </w:tcBorders>
            <w:vAlign w:val="center"/>
          </w:tcPr>
          <w:p w14:paraId="6D1362A4">
            <w:pPr>
              <w:adjustRightInd w:val="0"/>
              <w:snapToGrid w:val="0"/>
              <w:jc w:val="center"/>
              <w:rPr>
                <w:color w:val="auto"/>
                <w:spacing w:val="-8"/>
              </w:rPr>
            </w:pPr>
            <w:r>
              <w:rPr>
                <w:color w:val="auto"/>
                <w:spacing w:val="-8"/>
              </w:rPr>
              <w:t>其他环境管理要求</w:t>
            </w:r>
          </w:p>
        </w:tc>
        <w:tc>
          <w:tcPr>
            <w:tcW w:w="4523" w:type="pct"/>
            <w:gridSpan w:val="6"/>
            <w:tcBorders>
              <w:top w:val="single" w:color="auto" w:sz="8" w:space="0"/>
              <w:left w:val="single" w:color="auto" w:sz="8" w:space="0"/>
            </w:tcBorders>
            <w:vAlign w:val="center"/>
          </w:tcPr>
          <w:p w14:paraId="535A1A16">
            <w:pPr>
              <w:adjustRightInd w:val="0"/>
              <w:snapToGrid w:val="0"/>
              <w:jc w:val="left"/>
              <w:rPr>
                <w:color w:val="auto"/>
              </w:rPr>
            </w:pPr>
            <w:r>
              <w:rPr>
                <w:color w:val="auto"/>
              </w:rPr>
              <w:t>1、以生产车间为边界外扩</w:t>
            </w:r>
            <w:r>
              <w:rPr>
                <w:rFonts w:hint="eastAsia"/>
                <w:color w:val="auto"/>
              </w:rPr>
              <w:t>100</w:t>
            </w:r>
            <w:r>
              <w:rPr>
                <w:color w:val="auto"/>
              </w:rPr>
              <w:t>米设置卫生防护距离</w:t>
            </w:r>
            <w:r>
              <w:rPr>
                <w:rFonts w:hint="eastAsia"/>
                <w:color w:val="auto"/>
              </w:rPr>
              <w:t>，</w:t>
            </w:r>
            <w:r>
              <w:rPr>
                <w:bCs/>
                <w:color w:val="auto"/>
              </w:rPr>
              <w:t>该范围内目前无居民、学校等环境敏感保护目标，可满足卫生防护距离设置要求，将来在该范围内也不得新建居民、学校、医院等属于环境保护目标的项目</w:t>
            </w:r>
            <w:r>
              <w:rPr>
                <w:color w:val="auto"/>
              </w:rPr>
              <w:t>；</w:t>
            </w:r>
          </w:p>
          <w:p w14:paraId="4E897B18">
            <w:pPr>
              <w:adjustRightInd w:val="0"/>
              <w:snapToGrid w:val="0"/>
              <w:jc w:val="left"/>
              <w:rPr>
                <w:color w:val="auto"/>
              </w:rPr>
            </w:pPr>
            <w:r>
              <w:rPr>
                <w:color w:val="auto"/>
              </w:rPr>
              <w:t>2、项目正式运行时需签订一般固废处置协议、危险</w:t>
            </w:r>
            <w:r>
              <w:rPr>
                <w:rFonts w:hint="eastAsia"/>
                <w:color w:val="auto"/>
              </w:rPr>
              <w:t>废物</w:t>
            </w:r>
            <w:r>
              <w:rPr>
                <w:color w:val="auto"/>
              </w:rPr>
              <w:t>处置协议；</w:t>
            </w:r>
          </w:p>
          <w:p w14:paraId="3909CFF9">
            <w:pPr>
              <w:adjustRightInd w:val="0"/>
              <w:snapToGrid w:val="0"/>
              <w:jc w:val="left"/>
              <w:rPr>
                <w:color w:val="auto"/>
              </w:rPr>
            </w:pPr>
            <w:r>
              <w:rPr>
                <w:color w:val="auto"/>
              </w:rPr>
              <w:t>3、落实危险固废台账等要求；落实危险固废仓库、废气排放口等标识牌；</w:t>
            </w:r>
          </w:p>
          <w:p w14:paraId="48937994">
            <w:pPr>
              <w:adjustRightInd w:val="0"/>
              <w:snapToGrid w:val="0"/>
              <w:jc w:val="left"/>
              <w:rPr>
                <w:color w:val="auto"/>
              </w:rPr>
            </w:pPr>
            <w:r>
              <w:rPr>
                <w:color w:val="auto"/>
              </w:rPr>
              <w:t>4、落实本报告的例行监测要求</w:t>
            </w:r>
            <w:r>
              <w:rPr>
                <w:rFonts w:hint="eastAsia"/>
                <w:color w:val="auto"/>
              </w:rPr>
              <w:t>。</w:t>
            </w:r>
          </w:p>
        </w:tc>
      </w:tr>
    </w:tbl>
    <w:p w14:paraId="0A3BB5D1">
      <w:pPr>
        <w:pStyle w:val="55"/>
        <w:rPr>
          <w:color w:val="auto"/>
        </w:rPr>
      </w:pPr>
      <w:r>
        <w:rPr>
          <w:color w:val="auto"/>
          <w:szCs w:val="24"/>
        </w:rPr>
        <w:br w:type="page"/>
      </w:r>
      <w:bookmarkStart w:id="27" w:name="_Toc137559024"/>
      <w:bookmarkStart w:id="28" w:name="_Toc689"/>
      <w:bookmarkStart w:id="29" w:name="_Toc11106"/>
      <w:r>
        <w:rPr>
          <w:rFonts w:hint="eastAsia"/>
          <w:color w:val="auto"/>
          <w:szCs w:val="24"/>
        </w:rPr>
        <w:t>六、</w:t>
      </w:r>
      <w:r>
        <w:rPr>
          <w:color w:val="auto"/>
        </w:rPr>
        <w:t>结论</w:t>
      </w:r>
      <w:bookmarkEnd w:id="27"/>
      <w:bookmarkEnd w:id="28"/>
      <w:bookmarkEnd w:id="29"/>
    </w:p>
    <w:tbl>
      <w:tblPr>
        <w:tblStyle w:val="5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14:paraId="3E6C7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25" w:hRule="atLeast"/>
        </w:trPr>
        <w:tc>
          <w:tcPr>
            <w:tcW w:w="9060" w:type="dxa"/>
            <w:shd w:val="clear" w:color="auto" w:fill="auto"/>
          </w:tcPr>
          <w:p w14:paraId="53356533">
            <w:pPr>
              <w:widowControl/>
              <w:adjustRightInd w:val="0"/>
              <w:snapToGrid w:val="0"/>
              <w:spacing w:line="360" w:lineRule="auto"/>
              <w:ind w:firstLine="420" w:firstLineChars="200"/>
              <w:rPr>
                <w:color w:val="auto"/>
                <w:kern w:val="0"/>
                <w:lang w:bidi="ar"/>
              </w:rPr>
            </w:pPr>
            <w:r>
              <w:rPr>
                <w:color w:val="auto"/>
                <w:kern w:val="0"/>
                <w:lang w:bidi="ar"/>
              </w:rPr>
              <w:t>一、结论</w:t>
            </w:r>
          </w:p>
          <w:p w14:paraId="5ADA355B">
            <w:pPr>
              <w:widowControl/>
              <w:adjustRightInd w:val="0"/>
              <w:snapToGrid w:val="0"/>
              <w:spacing w:line="360" w:lineRule="auto"/>
              <w:ind w:firstLine="420" w:firstLineChars="200"/>
              <w:rPr>
                <w:color w:val="auto"/>
                <w:kern w:val="0"/>
                <w:lang w:bidi="ar"/>
              </w:rPr>
            </w:pPr>
            <w:r>
              <w:rPr>
                <w:color w:val="auto"/>
                <w:kern w:val="0"/>
                <w:lang w:bidi="ar"/>
              </w:rPr>
              <w:t>本项目符合当前国家产业政策，项目符合区域规划和相关环保规划要求，选址恰当，布局合理；项目符合</w:t>
            </w:r>
            <w:r>
              <w:rPr>
                <w:rFonts w:hint="eastAsia"/>
                <w:color w:val="auto"/>
                <w:kern w:val="0"/>
                <w:lang w:bidi="ar"/>
              </w:rPr>
              <w:t>“</w:t>
            </w:r>
            <w:r>
              <w:rPr>
                <w:color w:val="auto"/>
                <w:kern w:val="0"/>
                <w:lang w:bidi="ar"/>
              </w:rPr>
              <w:t>三线一单</w:t>
            </w:r>
            <w:r>
              <w:rPr>
                <w:rFonts w:hint="eastAsia"/>
                <w:color w:val="auto"/>
                <w:kern w:val="0"/>
                <w:lang w:bidi="ar"/>
              </w:rPr>
              <w:t>”</w:t>
            </w:r>
            <w:r>
              <w:rPr>
                <w:color w:val="auto"/>
                <w:kern w:val="0"/>
                <w:lang w:bidi="ar"/>
              </w:rPr>
              <w:t>要求，满足国家相关政策、法规的要求；项目采取的污染治理措施可行，可实现污染物达标排放；项目建成后对环境的影响较小，区域环境质量维持现状，符合相应环境功能区要求；项目污染物排放总量能够在区域内实现平衡；项目的环境风险事故经减缓措施后，处于可接受的水平。</w:t>
            </w:r>
          </w:p>
          <w:p w14:paraId="1C6CCAE4">
            <w:pPr>
              <w:widowControl/>
              <w:adjustRightInd w:val="0"/>
              <w:snapToGrid w:val="0"/>
              <w:spacing w:line="360" w:lineRule="auto"/>
              <w:ind w:firstLine="420" w:firstLineChars="200"/>
              <w:rPr>
                <w:color w:val="auto"/>
                <w:kern w:val="0"/>
                <w:lang w:bidi="ar"/>
              </w:rPr>
            </w:pPr>
            <w:r>
              <w:rPr>
                <w:color w:val="auto"/>
                <w:kern w:val="0"/>
                <w:lang w:bidi="ar"/>
              </w:rPr>
              <w:t>二、建议</w:t>
            </w:r>
          </w:p>
          <w:p w14:paraId="3A0E48C3">
            <w:pPr>
              <w:widowControl/>
              <w:adjustRightInd w:val="0"/>
              <w:snapToGrid w:val="0"/>
              <w:spacing w:line="360" w:lineRule="auto"/>
              <w:ind w:firstLine="420" w:firstLineChars="200"/>
              <w:rPr>
                <w:color w:val="auto"/>
                <w:kern w:val="0"/>
                <w:lang w:bidi="ar"/>
              </w:rPr>
            </w:pPr>
            <w:r>
              <w:rPr>
                <w:color w:val="auto"/>
                <w:kern w:val="0"/>
                <w:lang w:bidi="ar"/>
              </w:rPr>
              <w:t>1、上述评价结论是根据建设方提供的生产规模、工艺流程、原辅材料用量及与此对应的排污情况基础上进行的，如果生产品种、规模、工艺流程和排污情况发生重大变化，建设单位应按环保部门的要求另行申报。</w:t>
            </w:r>
          </w:p>
          <w:p w14:paraId="5D9F6DB1">
            <w:pPr>
              <w:widowControl/>
              <w:adjustRightInd w:val="0"/>
              <w:snapToGrid w:val="0"/>
              <w:spacing w:line="360" w:lineRule="auto"/>
              <w:ind w:firstLine="420" w:firstLineChars="200"/>
              <w:rPr>
                <w:color w:val="auto"/>
                <w:kern w:val="0"/>
                <w:lang w:bidi="ar"/>
              </w:rPr>
            </w:pPr>
            <w:r>
              <w:rPr>
                <w:color w:val="auto"/>
                <w:kern w:val="0"/>
                <w:lang w:bidi="ar"/>
              </w:rPr>
              <w:t>2、项目应严格落实环评报告中提出的污染防治措施，确保本项目对周围环境影响降至最小。</w:t>
            </w:r>
          </w:p>
          <w:p w14:paraId="60752EEF">
            <w:pPr>
              <w:widowControl/>
              <w:adjustRightInd w:val="0"/>
              <w:snapToGrid w:val="0"/>
              <w:spacing w:line="360" w:lineRule="auto"/>
              <w:ind w:firstLine="420" w:firstLineChars="200"/>
              <w:rPr>
                <w:color w:val="auto"/>
                <w:kern w:val="0"/>
                <w:lang w:bidi="ar"/>
              </w:rPr>
            </w:pPr>
            <w:r>
              <w:rPr>
                <w:color w:val="auto"/>
                <w:kern w:val="0"/>
                <w:lang w:bidi="ar"/>
              </w:rPr>
              <w:t>3、建议企业应提高风险防范意识，加强风险防范措施，将事故发生的概率降到最低。</w:t>
            </w:r>
          </w:p>
          <w:p w14:paraId="22910350">
            <w:pPr>
              <w:pStyle w:val="55"/>
              <w:spacing w:line="360" w:lineRule="auto"/>
              <w:ind w:firstLine="420" w:firstLineChars="200"/>
              <w:jc w:val="both"/>
              <w:rPr>
                <w:color w:val="auto"/>
                <w:sz w:val="21"/>
                <w:szCs w:val="21"/>
              </w:rPr>
            </w:pPr>
            <w:r>
              <w:rPr>
                <w:b w:val="0"/>
                <w:bCs w:val="0"/>
                <w:color w:val="auto"/>
                <w:sz w:val="21"/>
                <w:szCs w:val="21"/>
                <w:lang w:bidi="ar"/>
              </w:rPr>
              <w:t>4、建设单位要严格执行</w:t>
            </w:r>
            <w:r>
              <w:rPr>
                <w:rFonts w:hint="eastAsia"/>
                <w:b w:val="0"/>
                <w:bCs w:val="0"/>
                <w:color w:val="auto"/>
                <w:sz w:val="21"/>
                <w:szCs w:val="21"/>
                <w:lang w:bidi="ar"/>
              </w:rPr>
              <w:t>“</w:t>
            </w:r>
            <w:r>
              <w:rPr>
                <w:b w:val="0"/>
                <w:bCs w:val="0"/>
                <w:color w:val="auto"/>
                <w:sz w:val="21"/>
                <w:szCs w:val="21"/>
                <w:lang w:bidi="ar"/>
              </w:rPr>
              <w:t>三同时</w:t>
            </w:r>
            <w:r>
              <w:rPr>
                <w:rFonts w:hint="eastAsia"/>
                <w:b w:val="0"/>
                <w:bCs w:val="0"/>
                <w:color w:val="auto"/>
                <w:sz w:val="21"/>
                <w:szCs w:val="21"/>
                <w:lang w:bidi="ar"/>
              </w:rPr>
              <w:t>”</w:t>
            </w:r>
            <w:r>
              <w:rPr>
                <w:b w:val="0"/>
                <w:bCs w:val="0"/>
                <w:color w:val="auto"/>
                <w:sz w:val="21"/>
                <w:szCs w:val="21"/>
                <w:lang w:bidi="ar"/>
              </w:rPr>
              <w:t>，切实做到环保治理设施与主体工程同时设计、同时施工、同时投产使用。</w:t>
            </w:r>
          </w:p>
        </w:tc>
      </w:tr>
    </w:tbl>
    <w:p w14:paraId="34332CB4">
      <w:pPr>
        <w:pStyle w:val="5"/>
        <w:ind w:firstLine="0"/>
        <w:rPr>
          <w:color w:val="auto"/>
          <w:sz w:val="24"/>
        </w:rPr>
      </w:pPr>
    </w:p>
    <w:p w14:paraId="1D87F278">
      <w:pPr>
        <w:pStyle w:val="72"/>
        <w:rPr>
          <w:color w:val="auto"/>
          <w:sz w:val="24"/>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14:paraId="642504D7">
      <w:pPr>
        <w:pStyle w:val="72"/>
        <w:rPr>
          <w:color w:val="auto"/>
          <w:sz w:val="24"/>
        </w:rPr>
      </w:pPr>
    </w:p>
    <w:p w14:paraId="51DB0EC1">
      <w:pPr>
        <w:pStyle w:val="72"/>
        <w:rPr>
          <w:color w:val="auto"/>
          <w:sz w:val="24"/>
        </w:rPr>
        <w:sectPr>
          <w:footerReference r:id="rId5" w:type="default"/>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14:paraId="0E456F0B">
      <w:pPr>
        <w:autoSpaceDE w:val="0"/>
        <w:autoSpaceDN w:val="0"/>
        <w:adjustRightInd w:val="0"/>
        <w:jc w:val="left"/>
        <w:outlineLvl w:val="0"/>
        <w:rPr>
          <w:b/>
          <w:bCs/>
          <w:color w:val="auto"/>
          <w:sz w:val="24"/>
        </w:rPr>
      </w:pPr>
      <w:bookmarkStart w:id="30" w:name="_Toc21172"/>
      <w:bookmarkStart w:id="31" w:name="_Toc137559025"/>
      <w:r>
        <w:rPr>
          <w:b/>
          <w:bCs/>
          <w:color w:val="auto"/>
          <w:sz w:val="24"/>
        </w:rPr>
        <w:t>附表</w:t>
      </w:r>
      <w:bookmarkEnd w:id="30"/>
      <w:bookmarkEnd w:id="31"/>
    </w:p>
    <w:p w14:paraId="3B681002">
      <w:pPr>
        <w:pStyle w:val="55"/>
        <w:outlineLvl w:val="9"/>
        <w:rPr>
          <w:color w:val="auto"/>
        </w:rPr>
      </w:pPr>
      <w:bookmarkStart w:id="32" w:name="_Toc12131"/>
      <w:bookmarkStart w:id="33" w:name="_Toc32204"/>
      <w:r>
        <w:rPr>
          <w:color w:val="auto"/>
          <w:sz w:val="21"/>
        </w:rPr>
        <mc:AlternateContent>
          <mc:Choice Requires="wps">
            <w:drawing>
              <wp:anchor distT="0" distB="0" distL="114300" distR="114300" simplePos="0" relativeHeight="251659264" behindDoc="0" locked="0" layoutInCell="1" allowOverlap="1">
                <wp:simplePos x="0" y="0"/>
                <wp:positionH relativeFrom="column">
                  <wp:posOffset>-2540</wp:posOffset>
                </wp:positionH>
                <wp:positionV relativeFrom="paragraph">
                  <wp:posOffset>196850</wp:posOffset>
                </wp:positionV>
                <wp:extent cx="886460" cy="723265"/>
                <wp:effectExtent l="3175" t="3810" r="5715" b="15875"/>
                <wp:wrapNone/>
                <wp:docPr id="2" name="直线 22"/>
                <wp:cNvGraphicFramePr/>
                <a:graphic xmlns:a="http://schemas.openxmlformats.org/drawingml/2006/main">
                  <a:graphicData uri="http://schemas.microsoft.com/office/word/2010/wordprocessingShape">
                    <wps:wsp>
                      <wps:cNvCnPr/>
                      <wps:spPr>
                        <a:xfrm>
                          <a:off x="0" y="0"/>
                          <a:ext cx="886460" cy="72326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22" o:spid="_x0000_s1026" o:spt="20" style="position:absolute;left:0pt;margin-left:-0.2pt;margin-top:15.5pt;height:56.95pt;width:69.8pt;z-index:251659264;mso-width-relative:page;mso-height-relative:page;" filled="f" stroked="t" coordsize="21600,21600" o:gfxdata="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D&#10;tR+/1wAAAAgBAAAPAAAAAAAAAAEAIAAAACIAAABkcnMvZG93bnJldi54bWxQSwECFAAUAAAACACH&#10;TuJAuUSipOwBAADgAwAADgAAAAAAAAABACAAAAAmAQAAZHJzL2Uyb0RvYy54bWxQSwUGAAAAAAYA&#10;BgBZAQAAhAUAAAAA&#10;">
                <v:fill on="f" focussize="0,0"/>
                <v:stroke color="#000000" joinstyle="round"/>
                <v:imagedata o:title=""/>
                <o:lock v:ext="edit" aspectratio="f"/>
              </v:line>
            </w:pict>
          </mc:Fallback>
        </mc:AlternateContent>
      </w:r>
      <w:r>
        <w:rPr>
          <w:color w:val="auto"/>
        </w:rPr>
        <w:t>建设项目污染物排放量汇总表</w:t>
      </w:r>
      <w:bookmarkEnd w:id="32"/>
      <w:r>
        <w:rPr>
          <w:rFonts w:hint="eastAsia"/>
          <w:color w:val="auto"/>
        </w:rPr>
        <w:t>（t/a）</w:t>
      </w:r>
      <w:bookmarkEnd w:id="33"/>
    </w:p>
    <w:tbl>
      <w:tblPr>
        <w:tblStyle w:val="59"/>
        <w:tblW w:w="4997"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1407"/>
        <w:gridCol w:w="925"/>
        <w:gridCol w:w="1567"/>
        <w:gridCol w:w="1116"/>
        <w:gridCol w:w="1256"/>
        <w:gridCol w:w="1396"/>
        <w:gridCol w:w="1730"/>
        <w:gridCol w:w="1609"/>
        <w:gridCol w:w="1772"/>
        <w:gridCol w:w="1228"/>
      </w:tblGrid>
      <w:tr w14:paraId="719A5B3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jc w:val="center"/>
        </w:trPr>
        <w:tc>
          <w:tcPr>
            <w:tcW w:w="502" w:type="pct"/>
            <w:tcBorders>
              <w:tl2br w:val="nil"/>
              <w:tr2bl w:val="nil"/>
            </w:tcBorders>
            <w:tcMar>
              <w:left w:w="28" w:type="dxa"/>
              <w:right w:w="28" w:type="dxa"/>
            </w:tcMar>
            <w:vAlign w:val="center"/>
          </w:tcPr>
          <w:p w14:paraId="3CD11AC6">
            <w:pPr>
              <w:pStyle w:val="277"/>
              <w:keepNext w:val="0"/>
              <w:keepLines w:val="0"/>
              <w:pageBreakBefore w:val="0"/>
              <w:kinsoku/>
              <w:wordWrap/>
              <w:overflowPunct/>
              <w:topLinePunct w:val="0"/>
              <w:autoSpaceDE/>
              <w:autoSpaceDN/>
              <w:bidi w:val="0"/>
              <w:adjustRightInd w:val="0"/>
              <w:snapToGrid w:val="0"/>
              <w:spacing w:beforeLines="0" w:afterLines="0" w:line="240" w:lineRule="auto"/>
              <w:ind w:left="0" w:firstLine="0" w:firstLineChars="0"/>
              <w:jc w:val="right"/>
              <w:rPr>
                <w:rFonts w:ascii="Times New Roman" w:eastAsia="宋体"/>
                <w:b/>
                <w:bCs/>
                <w:color w:val="auto"/>
                <w:spacing w:val="0"/>
                <w:kern w:val="0"/>
                <w:sz w:val="21"/>
                <w:szCs w:val="21"/>
              </w:rPr>
            </w:pPr>
            <w:r>
              <w:rPr>
                <w:rFonts w:ascii="Times New Roman" w:eastAsia="宋体"/>
                <w:b/>
                <w:bCs/>
                <w:color w:val="auto"/>
                <w:spacing w:val="0"/>
                <w:kern w:val="0"/>
                <w:sz w:val="21"/>
                <w:szCs w:val="21"/>
              </w:rPr>
              <w:t>项目</w:t>
            </w:r>
          </w:p>
          <w:p w14:paraId="24AACDD8">
            <w:pPr>
              <w:pStyle w:val="277"/>
              <w:keepNext w:val="0"/>
              <w:keepLines w:val="0"/>
              <w:pageBreakBefore w:val="0"/>
              <w:kinsoku/>
              <w:wordWrap/>
              <w:overflowPunct/>
              <w:topLinePunct w:val="0"/>
              <w:autoSpaceDE/>
              <w:autoSpaceDN/>
              <w:bidi w:val="0"/>
              <w:adjustRightInd w:val="0"/>
              <w:snapToGrid w:val="0"/>
              <w:spacing w:beforeLines="0" w:afterLines="0" w:line="240" w:lineRule="auto"/>
              <w:ind w:left="0" w:firstLine="0" w:firstLineChars="0"/>
              <w:jc w:val="left"/>
              <w:rPr>
                <w:rFonts w:ascii="Times New Roman" w:eastAsia="宋体"/>
                <w:b/>
                <w:bCs/>
                <w:color w:val="auto"/>
                <w:spacing w:val="0"/>
                <w:kern w:val="0"/>
                <w:sz w:val="21"/>
                <w:szCs w:val="21"/>
              </w:rPr>
            </w:pPr>
            <w:r>
              <w:rPr>
                <w:rFonts w:ascii="Times New Roman" w:eastAsia="宋体"/>
                <w:b/>
                <w:bCs/>
                <w:color w:val="auto"/>
                <w:spacing w:val="0"/>
                <w:kern w:val="0"/>
                <w:sz w:val="21"/>
                <w:szCs w:val="21"/>
              </w:rPr>
              <w:t>分类</w:t>
            </w:r>
          </w:p>
        </w:tc>
        <w:tc>
          <w:tcPr>
            <w:tcW w:w="889" w:type="pct"/>
            <w:gridSpan w:val="2"/>
            <w:tcBorders>
              <w:tl2br w:val="nil"/>
              <w:tr2bl w:val="nil"/>
            </w:tcBorders>
            <w:tcMar>
              <w:left w:w="28" w:type="dxa"/>
              <w:right w:w="28" w:type="dxa"/>
            </w:tcMar>
            <w:vAlign w:val="center"/>
          </w:tcPr>
          <w:p w14:paraId="22C63882">
            <w:pPr>
              <w:pStyle w:val="277"/>
              <w:keepNext w:val="0"/>
              <w:keepLines w:val="0"/>
              <w:pageBreakBefore w:val="0"/>
              <w:kinsoku/>
              <w:wordWrap/>
              <w:overflowPunct/>
              <w:topLinePunct w:val="0"/>
              <w:autoSpaceDE/>
              <w:autoSpaceDN/>
              <w:bidi w:val="0"/>
              <w:adjustRightInd w:val="0"/>
              <w:snapToGrid w:val="0"/>
              <w:spacing w:beforeLines="0" w:afterLines="0" w:line="240" w:lineRule="auto"/>
              <w:ind w:left="0" w:firstLine="0" w:firstLineChars="0"/>
              <w:rPr>
                <w:rFonts w:ascii="Times New Roman" w:eastAsia="宋体"/>
                <w:b/>
                <w:bCs/>
                <w:color w:val="auto"/>
                <w:spacing w:val="0"/>
                <w:kern w:val="0"/>
                <w:sz w:val="21"/>
                <w:szCs w:val="21"/>
              </w:rPr>
            </w:pPr>
            <w:r>
              <w:rPr>
                <w:rFonts w:ascii="Times New Roman" w:eastAsia="宋体"/>
                <w:b/>
                <w:bCs/>
                <w:color w:val="auto"/>
                <w:spacing w:val="0"/>
                <w:kern w:val="0"/>
                <w:sz w:val="21"/>
                <w:szCs w:val="21"/>
              </w:rPr>
              <w:t>污染物名称</w:t>
            </w:r>
          </w:p>
        </w:tc>
        <w:tc>
          <w:tcPr>
            <w:tcW w:w="398" w:type="pct"/>
            <w:tcBorders>
              <w:tl2br w:val="nil"/>
              <w:tr2bl w:val="nil"/>
            </w:tcBorders>
            <w:tcMar>
              <w:left w:w="28" w:type="dxa"/>
              <w:right w:w="28" w:type="dxa"/>
            </w:tcMar>
            <w:vAlign w:val="center"/>
          </w:tcPr>
          <w:p w14:paraId="501CADC7">
            <w:pPr>
              <w:pStyle w:val="277"/>
              <w:keepNext w:val="0"/>
              <w:keepLines w:val="0"/>
              <w:pageBreakBefore w:val="0"/>
              <w:kinsoku/>
              <w:wordWrap/>
              <w:overflowPunct/>
              <w:topLinePunct w:val="0"/>
              <w:autoSpaceDE/>
              <w:autoSpaceDN/>
              <w:bidi w:val="0"/>
              <w:adjustRightInd w:val="0"/>
              <w:snapToGrid w:val="0"/>
              <w:spacing w:beforeLines="0" w:afterLines="0" w:line="240" w:lineRule="auto"/>
              <w:ind w:left="0" w:firstLine="0" w:firstLineChars="0"/>
              <w:rPr>
                <w:rFonts w:ascii="Times New Roman" w:eastAsia="宋体"/>
                <w:b/>
                <w:bCs/>
                <w:color w:val="auto"/>
                <w:spacing w:val="0"/>
                <w:kern w:val="0"/>
                <w:sz w:val="21"/>
                <w:szCs w:val="21"/>
              </w:rPr>
            </w:pPr>
            <w:r>
              <w:rPr>
                <w:rFonts w:ascii="Times New Roman" w:eastAsia="宋体"/>
                <w:b/>
                <w:bCs/>
                <w:color w:val="auto"/>
                <w:spacing w:val="0"/>
                <w:kern w:val="0"/>
                <w:sz w:val="21"/>
                <w:szCs w:val="21"/>
              </w:rPr>
              <w:t>现有工程排放量（固体废物产生量）</w:t>
            </w:r>
            <w:r>
              <w:rPr>
                <w:rFonts w:ascii="Times New Roman" w:eastAsia="宋体"/>
                <w:b/>
                <w:bCs/>
                <w:color w:val="auto"/>
                <w:spacing w:val="0"/>
                <w:kern w:val="0"/>
                <w:sz w:val="21"/>
                <w:szCs w:val="21"/>
              </w:rPr>
              <w:fldChar w:fldCharType="begin"/>
            </w:r>
            <w:r>
              <w:rPr>
                <w:rFonts w:ascii="Times New Roman" w:eastAsia="宋体"/>
                <w:b/>
                <w:bCs/>
                <w:color w:val="auto"/>
                <w:spacing w:val="0"/>
                <w:kern w:val="0"/>
                <w:sz w:val="21"/>
                <w:szCs w:val="21"/>
              </w:rPr>
              <w:instrText xml:space="preserve"> = 1 \* GB3 \* MERGEFORMAT </w:instrText>
            </w:r>
            <w:r>
              <w:rPr>
                <w:rFonts w:ascii="Times New Roman" w:eastAsia="宋体"/>
                <w:b/>
                <w:bCs/>
                <w:color w:val="auto"/>
                <w:spacing w:val="0"/>
                <w:kern w:val="0"/>
                <w:sz w:val="21"/>
                <w:szCs w:val="21"/>
              </w:rPr>
              <w:fldChar w:fldCharType="separate"/>
            </w:r>
            <w:r>
              <w:rPr>
                <w:rFonts w:ascii="Times New Roman" w:eastAsia="宋体"/>
                <w:b/>
                <w:bCs/>
                <w:color w:val="auto"/>
                <w:spacing w:val="0"/>
                <w:kern w:val="0"/>
                <w:sz w:val="21"/>
                <w:szCs w:val="21"/>
              </w:rPr>
              <w:t>①</w:t>
            </w:r>
            <w:r>
              <w:rPr>
                <w:rFonts w:ascii="Times New Roman" w:eastAsia="宋体"/>
                <w:b/>
                <w:bCs/>
                <w:color w:val="auto"/>
                <w:spacing w:val="0"/>
                <w:kern w:val="0"/>
                <w:sz w:val="21"/>
                <w:szCs w:val="21"/>
              </w:rPr>
              <w:fldChar w:fldCharType="end"/>
            </w:r>
          </w:p>
        </w:tc>
        <w:tc>
          <w:tcPr>
            <w:tcW w:w="448" w:type="pct"/>
            <w:tcBorders>
              <w:tl2br w:val="nil"/>
              <w:tr2bl w:val="nil"/>
            </w:tcBorders>
            <w:tcMar>
              <w:left w:w="28" w:type="dxa"/>
              <w:right w:w="28" w:type="dxa"/>
            </w:tcMar>
            <w:vAlign w:val="center"/>
          </w:tcPr>
          <w:p w14:paraId="52F3E1F9">
            <w:pPr>
              <w:pStyle w:val="277"/>
              <w:keepNext w:val="0"/>
              <w:keepLines w:val="0"/>
              <w:pageBreakBefore w:val="0"/>
              <w:kinsoku/>
              <w:wordWrap/>
              <w:overflowPunct/>
              <w:topLinePunct w:val="0"/>
              <w:autoSpaceDE/>
              <w:autoSpaceDN/>
              <w:bidi w:val="0"/>
              <w:adjustRightInd w:val="0"/>
              <w:snapToGrid w:val="0"/>
              <w:spacing w:beforeLines="0" w:afterLines="0" w:line="240" w:lineRule="auto"/>
              <w:ind w:left="0" w:firstLine="0" w:firstLineChars="0"/>
              <w:rPr>
                <w:rFonts w:ascii="Times New Roman" w:eastAsia="宋体"/>
                <w:b/>
                <w:bCs/>
                <w:color w:val="auto"/>
                <w:spacing w:val="0"/>
                <w:kern w:val="0"/>
                <w:sz w:val="21"/>
                <w:szCs w:val="21"/>
              </w:rPr>
            </w:pPr>
            <w:r>
              <w:rPr>
                <w:rFonts w:ascii="Times New Roman" w:eastAsia="宋体"/>
                <w:b/>
                <w:bCs/>
                <w:color w:val="auto"/>
                <w:spacing w:val="0"/>
                <w:kern w:val="0"/>
                <w:sz w:val="21"/>
                <w:szCs w:val="21"/>
              </w:rPr>
              <w:t>现有工程许可排放量</w:t>
            </w:r>
          </w:p>
          <w:p w14:paraId="5D9B1DE0">
            <w:pPr>
              <w:pStyle w:val="277"/>
              <w:keepNext w:val="0"/>
              <w:keepLines w:val="0"/>
              <w:pageBreakBefore w:val="0"/>
              <w:kinsoku/>
              <w:wordWrap/>
              <w:overflowPunct/>
              <w:topLinePunct w:val="0"/>
              <w:autoSpaceDE/>
              <w:autoSpaceDN/>
              <w:bidi w:val="0"/>
              <w:adjustRightInd w:val="0"/>
              <w:snapToGrid w:val="0"/>
              <w:spacing w:beforeLines="0" w:afterLines="0" w:line="240" w:lineRule="auto"/>
              <w:ind w:left="0" w:firstLine="0" w:firstLineChars="0"/>
              <w:rPr>
                <w:rFonts w:ascii="Times New Roman" w:eastAsia="宋体"/>
                <w:b/>
                <w:bCs/>
                <w:color w:val="auto"/>
                <w:spacing w:val="0"/>
                <w:kern w:val="0"/>
                <w:sz w:val="21"/>
                <w:szCs w:val="21"/>
              </w:rPr>
            </w:pPr>
            <w:r>
              <w:rPr>
                <w:rFonts w:ascii="Times New Roman" w:eastAsia="宋体"/>
                <w:b/>
                <w:bCs/>
                <w:color w:val="auto"/>
                <w:spacing w:val="0"/>
                <w:kern w:val="0"/>
                <w:sz w:val="21"/>
                <w:szCs w:val="21"/>
              </w:rPr>
              <w:fldChar w:fldCharType="begin"/>
            </w:r>
            <w:r>
              <w:rPr>
                <w:rFonts w:ascii="Times New Roman" w:eastAsia="宋体"/>
                <w:b/>
                <w:bCs/>
                <w:color w:val="auto"/>
                <w:spacing w:val="0"/>
                <w:kern w:val="0"/>
                <w:sz w:val="21"/>
                <w:szCs w:val="21"/>
              </w:rPr>
              <w:instrText xml:space="preserve"> = 2 \* GB3 \* MERGEFORMAT </w:instrText>
            </w:r>
            <w:r>
              <w:rPr>
                <w:rFonts w:ascii="Times New Roman" w:eastAsia="宋体"/>
                <w:b/>
                <w:bCs/>
                <w:color w:val="auto"/>
                <w:spacing w:val="0"/>
                <w:kern w:val="0"/>
                <w:sz w:val="21"/>
                <w:szCs w:val="21"/>
              </w:rPr>
              <w:fldChar w:fldCharType="separate"/>
            </w:r>
            <w:r>
              <w:rPr>
                <w:rFonts w:ascii="Times New Roman" w:eastAsia="宋体"/>
                <w:b/>
                <w:bCs/>
                <w:color w:val="auto"/>
                <w:spacing w:val="0"/>
                <w:kern w:val="0"/>
                <w:sz w:val="21"/>
                <w:szCs w:val="21"/>
              </w:rPr>
              <w:t>②</w:t>
            </w:r>
            <w:r>
              <w:rPr>
                <w:rFonts w:ascii="Times New Roman" w:eastAsia="宋体"/>
                <w:b/>
                <w:bCs/>
                <w:color w:val="auto"/>
                <w:spacing w:val="0"/>
                <w:kern w:val="0"/>
                <w:sz w:val="21"/>
                <w:szCs w:val="21"/>
              </w:rPr>
              <w:fldChar w:fldCharType="end"/>
            </w:r>
          </w:p>
        </w:tc>
        <w:tc>
          <w:tcPr>
            <w:tcW w:w="498" w:type="pct"/>
            <w:tcBorders>
              <w:tl2br w:val="nil"/>
              <w:tr2bl w:val="nil"/>
            </w:tcBorders>
            <w:tcMar>
              <w:left w:w="28" w:type="dxa"/>
              <w:right w:w="28" w:type="dxa"/>
            </w:tcMar>
            <w:vAlign w:val="center"/>
          </w:tcPr>
          <w:p w14:paraId="2297F031">
            <w:pPr>
              <w:pStyle w:val="277"/>
              <w:keepNext w:val="0"/>
              <w:keepLines w:val="0"/>
              <w:pageBreakBefore w:val="0"/>
              <w:kinsoku/>
              <w:wordWrap/>
              <w:overflowPunct/>
              <w:topLinePunct w:val="0"/>
              <w:autoSpaceDE/>
              <w:autoSpaceDN/>
              <w:bidi w:val="0"/>
              <w:adjustRightInd w:val="0"/>
              <w:snapToGrid w:val="0"/>
              <w:spacing w:beforeLines="0" w:afterLines="0" w:line="240" w:lineRule="auto"/>
              <w:ind w:left="0" w:firstLine="0" w:firstLineChars="0"/>
              <w:rPr>
                <w:rFonts w:ascii="Times New Roman" w:eastAsia="宋体"/>
                <w:b/>
                <w:bCs/>
                <w:color w:val="auto"/>
                <w:spacing w:val="0"/>
                <w:kern w:val="0"/>
                <w:sz w:val="21"/>
                <w:szCs w:val="21"/>
              </w:rPr>
            </w:pPr>
            <w:r>
              <w:rPr>
                <w:rFonts w:ascii="Times New Roman" w:eastAsia="宋体"/>
                <w:b/>
                <w:bCs/>
                <w:color w:val="auto"/>
                <w:spacing w:val="0"/>
                <w:kern w:val="0"/>
                <w:sz w:val="21"/>
                <w:szCs w:val="21"/>
              </w:rPr>
              <w:t>在建工程排放量（固体废物产生量）</w:t>
            </w:r>
            <w:r>
              <w:rPr>
                <w:rFonts w:ascii="Times New Roman" w:eastAsia="宋体"/>
                <w:b/>
                <w:bCs/>
                <w:color w:val="auto"/>
                <w:spacing w:val="0"/>
                <w:kern w:val="0"/>
                <w:sz w:val="21"/>
                <w:szCs w:val="21"/>
              </w:rPr>
              <w:fldChar w:fldCharType="begin"/>
            </w:r>
            <w:r>
              <w:rPr>
                <w:rFonts w:ascii="Times New Roman" w:eastAsia="宋体"/>
                <w:b/>
                <w:bCs/>
                <w:color w:val="auto"/>
                <w:spacing w:val="0"/>
                <w:kern w:val="0"/>
                <w:sz w:val="21"/>
                <w:szCs w:val="21"/>
              </w:rPr>
              <w:instrText xml:space="preserve"> = 3 \* GB3 \* MERGEFORMAT </w:instrText>
            </w:r>
            <w:r>
              <w:rPr>
                <w:rFonts w:ascii="Times New Roman" w:eastAsia="宋体"/>
                <w:b/>
                <w:bCs/>
                <w:color w:val="auto"/>
                <w:spacing w:val="0"/>
                <w:kern w:val="0"/>
                <w:sz w:val="21"/>
                <w:szCs w:val="21"/>
              </w:rPr>
              <w:fldChar w:fldCharType="separate"/>
            </w:r>
            <w:r>
              <w:rPr>
                <w:rFonts w:ascii="Times New Roman" w:eastAsia="宋体"/>
                <w:b/>
                <w:bCs/>
                <w:color w:val="auto"/>
                <w:spacing w:val="0"/>
                <w:kern w:val="0"/>
                <w:sz w:val="21"/>
                <w:szCs w:val="21"/>
              </w:rPr>
              <w:t>③</w:t>
            </w:r>
            <w:r>
              <w:rPr>
                <w:rFonts w:ascii="Times New Roman" w:eastAsia="宋体"/>
                <w:b/>
                <w:bCs/>
                <w:color w:val="auto"/>
                <w:spacing w:val="0"/>
                <w:kern w:val="0"/>
                <w:sz w:val="21"/>
                <w:szCs w:val="21"/>
              </w:rPr>
              <w:fldChar w:fldCharType="end"/>
            </w:r>
          </w:p>
        </w:tc>
        <w:tc>
          <w:tcPr>
            <w:tcW w:w="617" w:type="pct"/>
            <w:tcBorders>
              <w:tl2br w:val="nil"/>
              <w:tr2bl w:val="nil"/>
            </w:tcBorders>
            <w:tcMar>
              <w:left w:w="28" w:type="dxa"/>
              <w:right w:w="28" w:type="dxa"/>
            </w:tcMar>
            <w:vAlign w:val="center"/>
          </w:tcPr>
          <w:p w14:paraId="75E62DE3">
            <w:pPr>
              <w:pStyle w:val="277"/>
              <w:keepNext w:val="0"/>
              <w:keepLines w:val="0"/>
              <w:pageBreakBefore w:val="0"/>
              <w:kinsoku/>
              <w:wordWrap/>
              <w:overflowPunct/>
              <w:topLinePunct w:val="0"/>
              <w:autoSpaceDE/>
              <w:autoSpaceDN/>
              <w:bidi w:val="0"/>
              <w:adjustRightInd w:val="0"/>
              <w:snapToGrid w:val="0"/>
              <w:spacing w:beforeLines="0" w:afterLines="0" w:line="240" w:lineRule="auto"/>
              <w:ind w:left="0" w:firstLine="0" w:firstLineChars="0"/>
              <w:rPr>
                <w:rFonts w:ascii="Times New Roman" w:eastAsia="宋体"/>
                <w:b/>
                <w:bCs/>
                <w:color w:val="auto"/>
                <w:spacing w:val="0"/>
                <w:kern w:val="0"/>
                <w:sz w:val="21"/>
                <w:szCs w:val="21"/>
              </w:rPr>
            </w:pPr>
            <w:r>
              <w:rPr>
                <w:rFonts w:ascii="Times New Roman" w:eastAsia="宋体"/>
                <w:b/>
                <w:bCs/>
                <w:color w:val="auto"/>
                <w:spacing w:val="0"/>
                <w:kern w:val="0"/>
                <w:sz w:val="21"/>
                <w:szCs w:val="21"/>
              </w:rPr>
              <w:t>本项目排放量（固体废物产生量）</w:t>
            </w:r>
            <w:r>
              <w:rPr>
                <w:rFonts w:ascii="Times New Roman" w:eastAsia="宋体"/>
                <w:b/>
                <w:bCs/>
                <w:color w:val="auto"/>
                <w:spacing w:val="0"/>
                <w:kern w:val="0"/>
                <w:sz w:val="21"/>
                <w:szCs w:val="21"/>
              </w:rPr>
              <w:fldChar w:fldCharType="begin"/>
            </w:r>
            <w:r>
              <w:rPr>
                <w:rFonts w:ascii="Times New Roman" w:eastAsia="宋体"/>
                <w:b/>
                <w:bCs/>
                <w:color w:val="auto"/>
                <w:spacing w:val="0"/>
                <w:kern w:val="0"/>
                <w:sz w:val="21"/>
                <w:szCs w:val="21"/>
              </w:rPr>
              <w:instrText xml:space="preserve"> = 4 \* GB3 \* MERGEFORMAT </w:instrText>
            </w:r>
            <w:r>
              <w:rPr>
                <w:rFonts w:ascii="Times New Roman" w:eastAsia="宋体"/>
                <w:b/>
                <w:bCs/>
                <w:color w:val="auto"/>
                <w:spacing w:val="0"/>
                <w:kern w:val="0"/>
                <w:sz w:val="21"/>
                <w:szCs w:val="21"/>
              </w:rPr>
              <w:fldChar w:fldCharType="separate"/>
            </w:r>
            <w:r>
              <w:rPr>
                <w:rFonts w:ascii="Times New Roman" w:eastAsia="宋体"/>
                <w:b/>
                <w:bCs/>
                <w:color w:val="auto"/>
                <w:spacing w:val="0"/>
                <w:kern w:val="0"/>
                <w:sz w:val="21"/>
                <w:szCs w:val="21"/>
              </w:rPr>
              <w:t>④</w:t>
            </w:r>
            <w:r>
              <w:rPr>
                <w:rFonts w:ascii="Times New Roman" w:eastAsia="宋体"/>
                <w:b/>
                <w:bCs/>
                <w:color w:val="auto"/>
                <w:spacing w:val="0"/>
                <w:kern w:val="0"/>
                <w:sz w:val="21"/>
                <w:szCs w:val="21"/>
              </w:rPr>
              <w:fldChar w:fldCharType="end"/>
            </w:r>
          </w:p>
        </w:tc>
        <w:tc>
          <w:tcPr>
            <w:tcW w:w="574" w:type="pct"/>
            <w:tcBorders>
              <w:tl2br w:val="nil"/>
              <w:tr2bl w:val="nil"/>
            </w:tcBorders>
            <w:tcMar>
              <w:left w:w="28" w:type="dxa"/>
              <w:right w:w="28" w:type="dxa"/>
            </w:tcMar>
            <w:vAlign w:val="center"/>
          </w:tcPr>
          <w:p w14:paraId="0B60216D">
            <w:pPr>
              <w:pStyle w:val="277"/>
              <w:keepNext w:val="0"/>
              <w:keepLines w:val="0"/>
              <w:pageBreakBefore w:val="0"/>
              <w:kinsoku/>
              <w:wordWrap/>
              <w:overflowPunct/>
              <w:topLinePunct w:val="0"/>
              <w:autoSpaceDE/>
              <w:autoSpaceDN/>
              <w:bidi w:val="0"/>
              <w:adjustRightInd w:val="0"/>
              <w:snapToGrid w:val="0"/>
              <w:spacing w:beforeLines="0" w:afterLines="0" w:line="240" w:lineRule="auto"/>
              <w:ind w:left="0" w:firstLine="0" w:firstLineChars="0"/>
              <w:rPr>
                <w:rFonts w:ascii="Times New Roman" w:eastAsia="宋体"/>
                <w:b/>
                <w:bCs/>
                <w:color w:val="auto"/>
                <w:spacing w:val="0"/>
                <w:kern w:val="0"/>
                <w:sz w:val="21"/>
                <w:szCs w:val="21"/>
              </w:rPr>
            </w:pPr>
            <w:r>
              <w:rPr>
                <w:rFonts w:ascii="Times New Roman" w:eastAsia="宋体"/>
                <w:b/>
                <w:bCs/>
                <w:color w:val="auto"/>
                <w:spacing w:val="0"/>
                <w:kern w:val="0"/>
                <w:sz w:val="21"/>
                <w:szCs w:val="21"/>
              </w:rPr>
              <w:t>以新带老削减量（新建项目不填）</w:t>
            </w:r>
            <w:r>
              <w:rPr>
                <w:rFonts w:ascii="Times New Roman" w:eastAsia="宋体"/>
                <w:b/>
                <w:bCs/>
                <w:color w:val="auto"/>
                <w:spacing w:val="0"/>
                <w:kern w:val="0"/>
                <w:sz w:val="21"/>
                <w:szCs w:val="21"/>
              </w:rPr>
              <w:fldChar w:fldCharType="begin"/>
            </w:r>
            <w:r>
              <w:rPr>
                <w:rFonts w:ascii="Times New Roman" w:eastAsia="宋体"/>
                <w:b/>
                <w:bCs/>
                <w:color w:val="auto"/>
                <w:spacing w:val="0"/>
                <w:kern w:val="0"/>
                <w:sz w:val="21"/>
                <w:szCs w:val="21"/>
              </w:rPr>
              <w:instrText xml:space="preserve"> = 5 \* GB3 \* MERGEFORMAT </w:instrText>
            </w:r>
            <w:r>
              <w:rPr>
                <w:rFonts w:ascii="Times New Roman" w:eastAsia="宋体"/>
                <w:b/>
                <w:bCs/>
                <w:color w:val="auto"/>
                <w:spacing w:val="0"/>
                <w:kern w:val="0"/>
                <w:sz w:val="21"/>
                <w:szCs w:val="21"/>
              </w:rPr>
              <w:fldChar w:fldCharType="separate"/>
            </w:r>
            <w:r>
              <w:rPr>
                <w:rFonts w:ascii="Times New Roman" w:eastAsia="宋体"/>
                <w:b/>
                <w:bCs/>
                <w:color w:val="auto"/>
                <w:spacing w:val="0"/>
                <w:kern w:val="0"/>
                <w:sz w:val="21"/>
                <w:szCs w:val="21"/>
              </w:rPr>
              <w:t>⑤</w:t>
            </w:r>
            <w:r>
              <w:rPr>
                <w:rFonts w:ascii="Times New Roman" w:eastAsia="宋体"/>
                <w:b/>
                <w:bCs/>
                <w:color w:val="auto"/>
                <w:spacing w:val="0"/>
                <w:kern w:val="0"/>
                <w:sz w:val="21"/>
                <w:szCs w:val="21"/>
              </w:rPr>
              <w:fldChar w:fldCharType="end"/>
            </w:r>
          </w:p>
        </w:tc>
        <w:tc>
          <w:tcPr>
            <w:tcW w:w="632" w:type="pct"/>
            <w:tcBorders>
              <w:tl2br w:val="nil"/>
              <w:tr2bl w:val="nil"/>
            </w:tcBorders>
            <w:tcMar>
              <w:left w:w="28" w:type="dxa"/>
              <w:right w:w="28" w:type="dxa"/>
            </w:tcMar>
            <w:vAlign w:val="center"/>
          </w:tcPr>
          <w:p w14:paraId="06BB25A9">
            <w:pPr>
              <w:pStyle w:val="277"/>
              <w:keepNext w:val="0"/>
              <w:keepLines w:val="0"/>
              <w:pageBreakBefore w:val="0"/>
              <w:kinsoku/>
              <w:wordWrap/>
              <w:overflowPunct/>
              <w:topLinePunct w:val="0"/>
              <w:autoSpaceDE/>
              <w:autoSpaceDN/>
              <w:bidi w:val="0"/>
              <w:adjustRightInd w:val="0"/>
              <w:snapToGrid w:val="0"/>
              <w:spacing w:beforeLines="0" w:afterLines="0" w:line="240" w:lineRule="auto"/>
              <w:ind w:left="0" w:firstLine="0" w:firstLineChars="0"/>
              <w:rPr>
                <w:rFonts w:ascii="Times New Roman" w:eastAsia="宋体"/>
                <w:b/>
                <w:bCs/>
                <w:color w:val="auto"/>
                <w:spacing w:val="0"/>
                <w:kern w:val="0"/>
                <w:sz w:val="21"/>
                <w:szCs w:val="21"/>
              </w:rPr>
            </w:pPr>
            <w:r>
              <w:rPr>
                <w:rFonts w:ascii="Times New Roman" w:eastAsia="宋体"/>
                <w:b/>
                <w:bCs/>
                <w:color w:val="auto"/>
                <w:spacing w:val="0"/>
                <w:kern w:val="0"/>
                <w:sz w:val="21"/>
                <w:szCs w:val="21"/>
              </w:rPr>
              <w:t>本项目建成后全厂排放量（固体废物产生量）</w:t>
            </w:r>
            <w:r>
              <w:rPr>
                <w:rFonts w:ascii="Times New Roman" w:eastAsia="宋体"/>
                <w:b/>
                <w:bCs/>
                <w:color w:val="auto"/>
                <w:spacing w:val="0"/>
                <w:kern w:val="0"/>
                <w:sz w:val="21"/>
                <w:szCs w:val="21"/>
              </w:rPr>
              <w:fldChar w:fldCharType="begin"/>
            </w:r>
            <w:r>
              <w:rPr>
                <w:rFonts w:ascii="Times New Roman" w:eastAsia="宋体"/>
                <w:b/>
                <w:bCs/>
                <w:color w:val="auto"/>
                <w:spacing w:val="0"/>
                <w:kern w:val="0"/>
                <w:sz w:val="21"/>
                <w:szCs w:val="21"/>
              </w:rPr>
              <w:instrText xml:space="preserve"> = 6 \* GB3 \* MERGEFORMAT </w:instrText>
            </w:r>
            <w:r>
              <w:rPr>
                <w:rFonts w:ascii="Times New Roman" w:eastAsia="宋体"/>
                <w:b/>
                <w:bCs/>
                <w:color w:val="auto"/>
                <w:spacing w:val="0"/>
                <w:kern w:val="0"/>
                <w:sz w:val="21"/>
                <w:szCs w:val="21"/>
              </w:rPr>
              <w:fldChar w:fldCharType="separate"/>
            </w:r>
            <w:r>
              <w:rPr>
                <w:rFonts w:ascii="Times New Roman" w:eastAsia="宋体"/>
                <w:b/>
                <w:bCs/>
                <w:color w:val="auto"/>
                <w:spacing w:val="0"/>
                <w:kern w:val="0"/>
                <w:sz w:val="21"/>
                <w:szCs w:val="21"/>
              </w:rPr>
              <w:t>⑥</w:t>
            </w:r>
            <w:r>
              <w:rPr>
                <w:rFonts w:ascii="Times New Roman" w:eastAsia="宋体"/>
                <w:b/>
                <w:bCs/>
                <w:color w:val="auto"/>
                <w:spacing w:val="0"/>
                <w:kern w:val="0"/>
                <w:sz w:val="21"/>
                <w:szCs w:val="21"/>
              </w:rPr>
              <w:fldChar w:fldCharType="end"/>
            </w:r>
          </w:p>
        </w:tc>
        <w:tc>
          <w:tcPr>
            <w:tcW w:w="438" w:type="pct"/>
            <w:tcBorders>
              <w:tl2br w:val="nil"/>
              <w:tr2bl w:val="nil"/>
            </w:tcBorders>
            <w:tcMar>
              <w:left w:w="28" w:type="dxa"/>
              <w:right w:w="28" w:type="dxa"/>
            </w:tcMar>
            <w:vAlign w:val="center"/>
          </w:tcPr>
          <w:p w14:paraId="50752141">
            <w:pPr>
              <w:pStyle w:val="277"/>
              <w:keepNext w:val="0"/>
              <w:keepLines w:val="0"/>
              <w:pageBreakBefore w:val="0"/>
              <w:kinsoku/>
              <w:wordWrap/>
              <w:overflowPunct/>
              <w:topLinePunct w:val="0"/>
              <w:autoSpaceDE/>
              <w:autoSpaceDN/>
              <w:bidi w:val="0"/>
              <w:adjustRightInd w:val="0"/>
              <w:snapToGrid w:val="0"/>
              <w:spacing w:beforeLines="0" w:afterLines="0" w:line="240" w:lineRule="auto"/>
              <w:ind w:left="0" w:firstLine="0" w:firstLineChars="0"/>
              <w:rPr>
                <w:rFonts w:ascii="Times New Roman" w:eastAsia="宋体"/>
                <w:b/>
                <w:bCs/>
                <w:color w:val="auto"/>
                <w:spacing w:val="0"/>
                <w:kern w:val="0"/>
                <w:sz w:val="21"/>
                <w:szCs w:val="21"/>
              </w:rPr>
            </w:pPr>
            <w:r>
              <w:rPr>
                <w:rFonts w:ascii="Times New Roman" w:eastAsia="宋体"/>
                <w:b/>
                <w:bCs/>
                <w:color w:val="auto"/>
                <w:spacing w:val="0"/>
                <w:kern w:val="0"/>
                <w:sz w:val="21"/>
                <w:szCs w:val="21"/>
              </w:rPr>
              <w:t>变化量</w:t>
            </w:r>
            <w:r>
              <w:rPr>
                <w:rFonts w:ascii="Times New Roman" w:eastAsia="宋体"/>
                <w:b/>
                <w:bCs/>
                <w:color w:val="auto"/>
                <w:spacing w:val="0"/>
                <w:kern w:val="0"/>
                <w:sz w:val="21"/>
                <w:szCs w:val="21"/>
              </w:rPr>
              <w:fldChar w:fldCharType="begin"/>
            </w:r>
            <w:r>
              <w:rPr>
                <w:rFonts w:ascii="Times New Roman" w:eastAsia="宋体"/>
                <w:b/>
                <w:bCs/>
                <w:color w:val="auto"/>
                <w:spacing w:val="0"/>
                <w:kern w:val="0"/>
                <w:sz w:val="21"/>
                <w:szCs w:val="21"/>
              </w:rPr>
              <w:instrText xml:space="preserve"> = 7 \* GB3 \* MERGEFORMAT </w:instrText>
            </w:r>
            <w:r>
              <w:rPr>
                <w:rFonts w:ascii="Times New Roman" w:eastAsia="宋体"/>
                <w:b/>
                <w:bCs/>
                <w:color w:val="auto"/>
                <w:spacing w:val="0"/>
                <w:kern w:val="0"/>
                <w:sz w:val="21"/>
                <w:szCs w:val="21"/>
              </w:rPr>
              <w:fldChar w:fldCharType="separate"/>
            </w:r>
            <w:r>
              <w:rPr>
                <w:rFonts w:ascii="Times New Roman" w:eastAsia="宋体"/>
                <w:b/>
                <w:bCs/>
                <w:color w:val="auto"/>
                <w:spacing w:val="0"/>
                <w:kern w:val="0"/>
                <w:sz w:val="21"/>
                <w:szCs w:val="21"/>
              </w:rPr>
              <w:t>⑦</w:t>
            </w:r>
            <w:r>
              <w:rPr>
                <w:rFonts w:ascii="Times New Roman" w:eastAsia="宋体"/>
                <w:b/>
                <w:bCs/>
                <w:color w:val="auto"/>
                <w:spacing w:val="0"/>
                <w:kern w:val="0"/>
                <w:sz w:val="21"/>
                <w:szCs w:val="21"/>
              </w:rPr>
              <w:fldChar w:fldCharType="end"/>
            </w:r>
          </w:p>
        </w:tc>
      </w:tr>
      <w:tr w14:paraId="6906120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jc w:val="center"/>
        </w:trPr>
        <w:tc>
          <w:tcPr>
            <w:tcW w:w="502" w:type="pct"/>
            <w:vMerge w:val="restart"/>
            <w:tcBorders>
              <w:tl2br w:val="nil"/>
              <w:tr2bl w:val="nil"/>
            </w:tcBorders>
            <w:vAlign w:val="center"/>
          </w:tcPr>
          <w:p w14:paraId="44A86CC3">
            <w:pPr>
              <w:pStyle w:val="277"/>
              <w:keepNext w:val="0"/>
              <w:keepLines w:val="0"/>
              <w:pageBreakBefore w:val="0"/>
              <w:kinsoku/>
              <w:wordWrap/>
              <w:overflowPunct/>
              <w:topLinePunct w:val="0"/>
              <w:autoSpaceDE/>
              <w:autoSpaceDN/>
              <w:bidi w:val="0"/>
              <w:adjustRightInd w:val="0"/>
              <w:snapToGrid w:val="0"/>
              <w:spacing w:beforeLines="0" w:afterLines="0" w:line="240" w:lineRule="auto"/>
              <w:ind w:left="0" w:firstLine="0" w:firstLineChars="0"/>
              <w:rPr>
                <w:rFonts w:ascii="Times New Roman" w:eastAsia="宋体"/>
                <w:color w:val="auto"/>
                <w:spacing w:val="0"/>
                <w:kern w:val="0"/>
                <w:sz w:val="21"/>
                <w:szCs w:val="21"/>
              </w:rPr>
            </w:pPr>
            <w:r>
              <w:rPr>
                <w:rFonts w:ascii="Times New Roman" w:eastAsia="宋体"/>
                <w:color w:val="auto"/>
                <w:spacing w:val="0"/>
                <w:kern w:val="0"/>
                <w:sz w:val="21"/>
                <w:szCs w:val="21"/>
              </w:rPr>
              <w:t>废气</w:t>
            </w:r>
          </w:p>
        </w:tc>
        <w:tc>
          <w:tcPr>
            <w:tcW w:w="330" w:type="pct"/>
            <w:vMerge w:val="restart"/>
            <w:tcBorders>
              <w:tl2br w:val="nil"/>
              <w:tr2bl w:val="nil"/>
            </w:tcBorders>
            <w:vAlign w:val="center"/>
          </w:tcPr>
          <w:p w14:paraId="0BDC8279">
            <w:pPr>
              <w:pStyle w:val="277"/>
              <w:keepNext w:val="0"/>
              <w:keepLines w:val="0"/>
              <w:pageBreakBefore w:val="0"/>
              <w:kinsoku/>
              <w:wordWrap/>
              <w:overflowPunct/>
              <w:topLinePunct w:val="0"/>
              <w:autoSpaceDE/>
              <w:autoSpaceDN/>
              <w:bidi w:val="0"/>
              <w:adjustRightInd w:val="0"/>
              <w:snapToGrid w:val="0"/>
              <w:spacing w:beforeLines="0" w:afterLines="0" w:line="240" w:lineRule="auto"/>
              <w:ind w:left="0" w:firstLine="0" w:firstLineChars="0"/>
              <w:rPr>
                <w:rFonts w:ascii="Times New Roman" w:eastAsia="宋体"/>
                <w:color w:val="auto"/>
                <w:spacing w:val="0"/>
                <w:kern w:val="0"/>
                <w:sz w:val="21"/>
                <w:szCs w:val="21"/>
              </w:rPr>
            </w:pPr>
            <w:r>
              <w:rPr>
                <w:rFonts w:hint="eastAsia" w:ascii="Times New Roman" w:eastAsia="宋体"/>
                <w:color w:val="auto"/>
                <w:spacing w:val="0"/>
                <w:kern w:val="0"/>
                <w:sz w:val="21"/>
                <w:szCs w:val="21"/>
              </w:rPr>
              <w:t>有组织</w:t>
            </w:r>
          </w:p>
        </w:tc>
        <w:tc>
          <w:tcPr>
            <w:tcW w:w="559" w:type="pct"/>
            <w:tcBorders>
              <w:tl2br w:val="nil"/>
              <w:tr2bl w:val="nil"/>
            </w:tcBorders>
            <w:vAlign w:val="center"/>
          </w:tcPr>
          <w:p w14:paraId="31CE47EA">
            <w:pPr>
              <w:keepNext w:val="0"/>
              <w:keepLines w:val="0"/>
              <w:pageBreakBefore w:val="0"/>
              <w:kinsoku/>
              <w:wordWrap/>
              <w:overflowPunct/>
              <w:topLinePunct w:val="0"/>
              <w:autoSpaceDE/>
              <w:autoSpaceDN/>
              <w:bidi w:val="0"/>
              <w:adjustRightInd w:val="0"/>
              <w:snapToGrid w:val="0"/>
              <w:jc w:val="center"/>
              <w:rPr>
                <w:rFonts w:hint="eastAsia" w:eastAsia="宋体"/>
                <w:color w:val="auto"/>
                <w:spacing w:val="0"/>
                <w:kern w:val="0"/>
                <w:lang w:eastAsia="zh-CN"/>
              </w:rPr>
            </w:pPr>
            <w:r>
              <w:rPr>
                <w:color w:val="auto"/>
                <w:spacing w:val="0"/>
                <w:kern w:val="0"/>
              </w:rPr>
              <w:t>非甲烷总烃</w:t>
            </w:r>
            <w:r>
              <w:rPr>
                <w:rFonts w:hint="eastAsia"/>
                <w:color w:val="auto"/>
                <w:spacing w:val="0"/>
                <w:kern w:val="0"/>
                <w:lang w:eastAsia="zh-CN"/>
              </w:rPr>
              <w:t>（</w:t>
            </w:r>
            <w:r>
              <w:rPr>
                <w:rFonts w:hint="eastAsia"/>
                <w:color w:val="auto"/>
                <w:spacing w:val="0"/>
                <w:kern w:val="0"/>
                <w:lang w:val="en-US" w:eastAsia="zh-CN"/>
              </w:rPr>
              <w:t>含苯系物</w:t>
            </w:r>
            <w:r>
              <w:rPr>
                <w:rFonts w:hint="eastAsia"/>
                <w:color w:val="auto"/>
                <w:spacing w:val="0"/>
                <w:kern w:val="0"/>
                <w:lang w:eastAsia="zh-CN"/>
              </w:rPr>
              <w:t>）</w:t>
            </w:r>
          </w:p>
        </w:tc>
        <w:tc>
          <w:tcPr>
            <w:tcW w:w="398" w:type="pct"/>
            <w:tcBorders>
              <w:tl2br w:val="nil"/>
              <w:tr2bl w:val="nil"/>
            </w:tcBorders>
            <w:vAlign w:val="center"/>
          </w:tcPr>
          <w:p w14:paraId="21AA6A23">
            <w:pPr>
              <w:keepNext w:val="0"/>
              <w:keepLines w:val="0"/>
              <w:pageBreakBefore w:val="0"/>
              <w:widowControl/>
              <w:kinsoku/>
              <w:wordWrap/>
              <w:overflowPunct/>
              <w:topLinePunct w:val="0"/>
              <w:autoSpaceDE/>
              <w:autoSpaceDN/>
              <w:bidi w:val="0"/>
              <w:adjustRightInd w:val="0"/>
              <w:snapToGrid w:val="0"/>
              <w:jc w:val="center"/>
              <w:rPr>
                <w:color w:val="auto"/>
                <w:spacing w:val="0"/>
                <w:kern w:val="0"/>
              </w:rPr>
            </w:pPr>
            <w:r>
              <w:rPr>
                <w:color w:val="auto"/>
                <w:spacing w:val="0"/>
                <w:kern w:val="0"/>
              </w:rPr>
              <w:t>/</w:t>
            </w:r>
          </w:p>
        </w:tc>
        <w:tc>
          <w:tcPr>
            <w:tcW w:w="448" w:type="pct"/>
            <w:tcBorders>
              <w:tl2br w:val="nil"/>
              <w:tr2bl w:val="nil"/>
            </w:tcBorders>
            <w:vAlign w:val="center"/>
          </w:tcPr>
          <w:p w14:paraId="3EC3D80D">
            <w:pPr>
              <w:keepNext w:val="0"/>
              <w:keepLines w:val="0"/>
              <w:pageBreakBefore w:val="0"/>
              <w:widowControl/>
              <w:kinsoku/>
              <w:wordWrap/>
              <w:overflowPunct/>
              <w:topLinePunct w:val="0"/>
              <w:autoSpaceDE/>
              <w:autoSpaceDN/>
              <w:bidi w:val="0"/>
              <w:adjustRightInd w:val="0"/>
              <w:snapToGrid w:val="0"/>
              <w:jc w:val="center"/>
              <w:rPr>
                <w:color w:val="auto"/>
                <w:spacing w:val="0"/>
                <w:kern w:val="0"/>
              </w:rPr>
            </w:pPr>
            <w:r>
              <w:rPr>
                <w:color w:val="auto"/>
                <w:spacing w:val="0"/>
                <w:kern w:val="0"/>
              </w:rPr>
              <w:t>/</w:t>
            </w:r>
          </w:p>
        </w:tc>
        <w:tc>
          <w:tcPr>
            <w:tcW w:w="498" w:type="pct"/>
            <w:tcBorders>
              <w:tl2br w:val="nil"/>
              <w:tr2bl w:val="nil"/>
            </w:tcBorders>
            <w:vAlign w:val="center"/>
          </w:tcPr>
          <w:p w14:paraId="7A20F7DF">
            <w:pPr>
              <w:keepNext w:val="0"/>
              <w:keepLines w:val="0"/>
              <w:pageBreakBefore w:val="0"/>
              <w:widowControl/>
              <w:kinsoku/>
              <w:wordWrap/>
              <w:overflowPunct/>
              <w:topLinePunct w:val="0"/>
              <w:autoSpaceDE/>
              <w:autoSpaceDN/>
              <w:bidi w:val="0"/>
              <w:adjustRightInd w:val="0"/>
              <w:snapToGrid w:val="0"/>
              <w:jc w:val="center"/>
              <w:rPr>
                <w:color w:val="auto"/>
                <w:spacing w:val="0"/>
                <w:kern w:val="0"/>
              </w:rPr>
            </w:pPr>
            <w:r>
              <w:rPr>
                <w:color w:val="auto"/>
                <w:spacing w:val="0"/>
                <w:kern w:val="0"/>
              </w:rPr>
              <w:t>/</w:t>
            </w:r>
          </w:p>
        </w:tc>
        <w:tc>
          <w:tcPr>
            <w:tcW w:w="1730" w:type="dxa"/>
            <w:tcBorders>
              <w:tl2br w:val="nil"/>
              <w:tr2bl w:val="nil"/>
            </w:tcBorders>
            <w:vAlign w:val="center"/>
          </w:tcPr>
          <w:p w14:paraId="5326F95A">
            <w:pPr>
              <w:pStyle w:val="656"/>
              <w:snapToGrid w:val="0"/>
              <w:rPr>
                <w:rFonts w:hint="default" w:eastAsia="宋体"/>
                <w:color w:val="auto"/>
                <w:spacing w:val="0"/>
                <w:kern w:val="0"/>
                <w:sz w:val="21"/>
                <w:szCs w:val="21"/>
                <w:lang w:val="en-US" w:eastAsia="zh-CN"/>
              </w:rPr>
            </w:pPr>
            <w:r>
              <w:rPr>
                <w:rFonts w:hint="eastAsia" w:eastAsia="宋体"/>
                <w:color w:val="auto"/>
                <w:kern w:val="0"/>
                <w:sz w:val="21"/>
                <w:szCs w:val="21"/>
                <w:lang w:val="en-US" w:eastAsia="zh-CN" w:bidi="ar"/>
              </w:rPr>
              <w:t>0.11308</w:t>
            </w:r>
          </w:p>
        </w:tc>
        <w:tc>
          <w:tcPr>
            <w:tcW w:w="574" w:type="pct"/>
            <w:tcBorders>
              <w:tl2br w:val="nil"/>
              <w:tr2bl w:val="nil"/>
            </w:tcBorders>
            <w:vAlign w:val="center"/>
          </w:tcPr>
          <w:p w14:paraId="5BE8FC94">
            <w:pPr>
              <w:keepNext w:val="0"/>
              <w:keepLines w:val="0"/>
              <w:pageBreakBefore w:val="0"/>
              <w:widowControl/>
              <w:kinsoku/>
              <w:wordWrap/>
              <w:overflowPunct/>
              <w:topLinePunct w:val="0"/>
              <w:autoSpaceDE/>
              <w:autoSpaceDN/>
              <w:bidi w:val="0"/>
              <w:adjustRightInd w:val="0"/>
              <w:snapToGrid w:val="0"/>
              <w:jc w:val="center"/>
              <w:rPr>
                <w:color w:val="auto"/>
                <w:spacing w:val="0"/>
                <w:kern w:val="0"/>
              </w:rPr>
            </w:pPr>
            <w:r>
              <w:rPr>
                <w:color w:val="auto"/>
                <w:spacing w:val="0"/>
                <w:kern w:val="0"/>
              </w:rPr>
              <w:t>/</w:t>
            </w:r>
          </w:p>
        </w:tc>
        <w:tc>
          <w:tcPr>
            <w:tcW w:w="1772" w:type="dxa"/>
            <w:tcBorders>
              <w:tl2br w:val="nil"/>
              <w:tr2bl w:val="nil"/>
            </w:tcBorders>
            <w:vAlign w:val="center"/>
          </w:tcPr>
          <w:p w14:paraId="4BAA7D09">
            <w:pPr>
              <w:pStyle w:val="656"/>
              <w:snapToGrid w:val="0"/>
              <w:rPr>
                <w:rFonts w:hint="default" w:eastAsia="宋体"/>
                <w:color w:val="auto"/>
                <w:spacing w:val="0"/>
                <w:kern w:val="0"/>
                <w:sz w:val="21"/>
                <w:szCs w:val="21"/>
                <w:lang w:val="en-US" w:eastAsia="zh-CN"/>
              </w:rPr>
            </w:pPr>
            <w:r>
              <w:rPr>
                <w:rFonts w:hint="eastAsia" w:eastAsia="宋体"/>
                <w:color w:val="auto"/>
                <w:kern w:val="0"/>
                <w:sz w:val="21"/>
                <w:szCs w:val="21"/>
                <w:lang w:val="en-US" w:eastAsia="zh-CN" w:bidi="ar"/>
              </w:rPr>
              <w:t>0.11308</w:t>
            </w:r>
          </w:p>
        </w:tc>
        <w:tc>
          <w:tcPr>
            <w:tcW w:w="1228" w:type="dxa"/>
            <w:tcBorders>
              <w:tl2br w:val="nil"/>
              <w:tr2bl w:val="nil"/>
            </w:tcBorders>
            <w:vAlign w:val="center"/>
          </w:tcPr>
          <w:p w14:paraId="66873634">
            <w:pPr>
              <w:pStyle w:val="656"/>
              <w:snapToGrid w:val="0"/>
              <w:rPr>
                <w:rFonts w:hint="default" w:eastAsia="宋体"/>
                <w:color w:val="auto"/>
                <w:spacing w:val="0"/>
                <w:kern w:val="0"/>
                <w:sz w:val="21"/>
                <w:szCs w:val="21"/>
                <w:lang w:val="en-US" w:eastAsia="zh-CN"/>
              </w:rPr>
            </w:pPr>
            <w:r>
              <w:rPr>
                <w:rFonts w:hint="eastAsia" w:eastAsia="宋体"/>
                <w:color w:val="auto"/>
                <w:kern w:val="0"/>
                <w:sz w:val="21"/>
                <w:szCs w:val="21"/>
                <w:lang w:val="en-US" w:eastAsia="zh-CN" w:bidi="ar"/>
              </w:rPr>
              <w:t>+0.11308</w:t>
            </w:r>
          </w:p>
        </w:tc>
      </w:tr>
      <w:tr w14:paraId="5236485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jc w:val="center"/>
        </w:trPr>
        <w:tc>
          <w:tcPr>
            <w:tcW w:w="502" w:type="pct"/>
            <w:vMerge w:val="continue"/>
            <w:tcBorders>
              <w:tl2br w:val="nil"/>
              <w:tr2bl w:val="nil"/>
            </w:tcBorders>
            <w:vAlign w:val="center"/>
          </w:tcPr>
          <w:p w14:paraId="6AD38AC6">
            <w:pPr>
              <w:pStyle w:val="277"/>
              <w:keepNext w:val="0"/>
              <w:keepLines w:val="0"/>
              <w:pageBreakBefore w:val="0"/>
              <w:kinsoku/>
              <w:wordWrap/>
              <w:overflowPunct/>
              <w:topLinePunct w:val="0"/>
              <w:autoSpaceDE/>
              <w:autoSpaceDN/>
              <w:bidi w:val="0"/>
              <w:adjustRightInd w:val="0"/>
              <w:snapToGrid w:val="0"/>
              <w:spacing w:beforeLines="0" w:afterLines="0" w:line="240" w:lineRule="auto"/>
              <w:ind w:left="0" w:firstLine="0" w:firstLineChars="0"/>
              <w:rPr>
                <w:rFonts w:ascii="Times New Roman" w:eastAsia="宋体"/>
                <w:color w:val="auto"/>
                <w:spacing w:val="0"/>
                <w:kern w:val="0"/>
                <w:sz w:val="21"/>
                <w:szCs w:val="21"/>
              </w:rPr>
            </w:pPr>
          </w:p>
        </w:tc>
        <w:tc>
          <w:tcPr>
            <w:tcW w:w="330" w:type="pct"/>
            <w:vMerge w:val="continue"/>
            <w:tcBorders>
              <w:tl2br w:val="nil"/>
              <w:tr2bl w:val="nil"/>
            </w:tcBorders>
            <w:vAlign w:val="center"/>
          </w:tcPr>
          <w:p w14:paraId="171673C1">
            <w:pPr>
              <w:pStyle w:val="277"/>
              <w:keepNext w:val="0"/>
              <w:keepLines w:val="0"/>
              <w:pageBreakBefore w:val="0"/>
              <w:kinsoku/>
              <w:wordWrap/>
              <w:overflowPunct/>
              <w:topLinePunct w:val="0"/>
              <w:autoSpaceDE/>
              <w:autoSpaceDN/>
              <w:bidi w:val="0"/>
              <w:adjustRightInd w:val="0"/>
              <w:snapToGrid w:val="0"/>
              <w:spacing w:beforeLines="0" w:afterLines="0" w:line="240" w:lineRule="auto"/>
              <w:ind w:left="0" w:firstLine="0" w:firstLineChars="0"/>
              <w:rPr>
                <w:rFonts w:hint="eastAsia" w:ascii="Times New Roman" w:eastAsia="宋体"/>
                <w:color w:val="auto"/>
                <w:spacing w:val="0"/>
                <w:kern w:val="0"/>
                <w:sz w:val="21"/>
                <w:szCs w:val="21"/>
              </w:rPr>
            </w:pPr>
          </w:p>
        </w:tc>
        <w:tc>
          <w:tcPr>
            <w:tcW w:w="559" w:type="pct"/>
            <w:tcBorders>
              <w:tl2br w:val="nil"/>
              <w:tr2bl w:val="nil"/>
            </w:tcBorders>
            <w:vAlign w:val="center"/>
          </w:tcPr>
          <w:p w14:paraId="23109B1E">
            <w:pPr>
              <w:keepNext w:val="0"/>
              <w:keepLines w:val="0"/>
              <w:pageBreakBefore w:val="0"/>
              <w:kinsoku/>
              <w:wordWrap/>
              <w:overflowPunct/>
              <w:topLinePunct w:val="0"/>
              <w:autoSpaceDE/>
              <w:autoSpaceDN/>
              <w:bidi w:val="0"/>
              <w:adjustRightInd w:val="0"/>
              <w:snapToGrid w:val="0"/>
              <w:jc w:val="center"/>
              <w:rPr>
                <w:rFonts w:hint="eastAsia" w:eastAsia="宋体"/>
                <w:color w:val="auto"/>
                <w:spacing w:val="0"/>
                <w:kern w:val="0"/>
                <w:lang w:val="en-US" w:eastAsia="zh-CN"/>
              </w:rPr>
            </w:pPr>
            <w:r>
              <w:rPr>
                <w:rFonts w:hint="eastAsia"/>
                <w:color w:val="auto"/>
                <w:spacing w:val="0"/>
                <w:kern w:val="0"/>
                <w:lang w:val="en-US" w:eastAsia="zh-CN"/>
              </w:rPr>
              <w:t>颗粒物</w:t>
            </w:r>
          </w:p>
        </w:tc>
        <w:tc>
          <w:tcPr>
            <w:tcW w:w="398" w:type="pct"/>
            <w:tcBorders>
              <w:tl2br w:val="nil"/>
              <w:tr2bl w:val="nil"/>
            </w:tcBorders>
            <w:shd w:val="clear" w:color="auto" w:fill="auto"/>
            <w:vAlign w:val="center"/>
          </w:tcPr>
          <w:p w14:paraId="626F9CA9">
            <w:pPr>
              <w:keepNext w:val="0"/>
              <w:keepLines w:val="0"/>
              <w:pageBreakBefore w:val="0"/>
              <w:widowControl/>
              <w:kinsoku/>
              <w:wordWrap/>
              <w:overflowPunct/>
              <w:topLinePunct w:val="0"/>
              <w:autoSpaceDE/>
              <w:autoSpaceDN/>
              <w:bidi w:val="0"/>
              <w:adjustRightInd w:val="0"/>
              <w:snapToGrid w:val="0"/>
              <w:jc w:val="center"/>
              <w:rPr>
                <w:rFonts w:ascii="Times New Roman" w:hAnsi="Times New Roman" w:eastAsia="宋体" w:cs="Times New Roman"/>
                <w:snapToGrid w:val="0"/>
                <w:color w:val="auto"/>
                <w:spacing w:val="0"/>
                <w:kern w:val="0"/>
                <w:sz w:val="21"/>
                <w:szCs w:val="21"/>
                <w:lang w:val="en-US" w:eastAsia="zh-CN" w:bidi="ar-SA"/>
              </w:rPr>
            </w:pPr>
            <w:r>
              <w:rPr>
                <w:color w:val="auto"/>
                <w:spacing w:val="0"/>
                <w:kern w:val="0"/>
              </w:rPr>
              <w:t>/</w:t>
            </w:r>
          </w:p>
        </w:tc>
        <w:tc>
          <w:tcPr>
            <w:tcW w:w="448" w:type="pct"/>
            <w:tcBorders>
              <w:tl2br w:val="nil"/>
              <w:tr2bl w:val="nil"/>
            </w:tcBorders>
            <w:shd w:val="clear" w:color="auto" w:fill="auto"/>
            <w:vAlign w:val="center"/>
          </w:tcPr>
          <w:p w14:paraId="16E510E0">
            <w:pPr>
              <w:keepNext w:val="0"/>
              <w:keepLines w:val="0"/>
              <w:pageBreakBefore w:val="0"/>
              <w:widowControl/>
              <w:kinsoku/>
              <w:wordWrap/>
              <w:overflowPunct/>
              <w:topLinePunct w:val="0"/>
              <w:autoSpaceDE/>
              <w:autoSpaceDN/>
              <w:bidi w:val="0"/>
              <w:adjustRightInd w:val="0"/>
              <w:snapToGrid w:val="0"/>
              <w:jc w:val="center"/>
              <w:rPr>
                <w:rFonts w:ascii="Times New Roman" w:hAnsi="Times New Roman" w:eastAsia="宋体" w:cs="Times New Roman"/>
                <w:snapToGrid w:val="0"/>
                <w:color w:val="auto"/>
                <w:spacing w:val="0"/>
                <w:kern w:val="0"/>
                <w:sz w:val="21"/>
                <w:szCs w:val="21"/>
                <w:lang w:val="en-US" w:eastAsia="zh-CN" w:bidi="ar-SA"/>
              </w:rPr>
            </w:pPr>
            <w:r>
              <w:rPr>
                <w:color w:val="auto"/>
                <w:spacing w:val="0"/>
                <w:kern w:val="0"/>
              </w:rPr>
              <w:t>/</w:t>
            </w:r>
          </w:p>
        </w:tc>
        <w:tc>
          <w:tcPr>
            <w:tcW w:w="498" w:type="pct"/>
            <w:tcBorders>
              <w:tl2br w:val="nil"/>
              <w:tr2bl w:val="nil"/>
            </w:tcBorders>
            <w:shd w:val="clear" w:color="auto" w:fill="auto"/>
            <w:vAlign w:val="center"/>
          </w:tcPr>
          <w:p w14:paraId="267996C1">
            <w:pPr>
              <w:keepNext w:val="0"/>
              <w:keepLines w:val="0"/>
              <w:pageBreakBefore w:val="0"/>
              <w:widowControl/>
              <w:kinsoku/>
              <w:wordWrap/>
              <w:overflowPunct/>
              <w:topLinePunct w:val="0"/>
              <w:autoSpaceDE/>
              <w:autoSpaceDN/>
              <w:bidi w:val="0"/>
              <w:adjustRightInd w:val="0"/>
              <w:snapToGrid w:val="0"/>
              <w:jc w:val="center"/>
              <w:rPr>
                <w:rFonts w:ascii="Times New Roman" w:hAnsi="Times New Roman" w:eastAsia="宋体" w:cs="Times New Roman"/>
                <w:snapToGrid w:val="0"/>
                <w:color w:val="auto"/>
                <w:spacing w:val="0"/>
                <w:kern w:val="0"/>
                <w:sz w:val="21"/>
                <w:szCs w:val="21"/>
                <w:lang w:val="en-US" w:eastAsia="zh-CN" w:bidi="ar-SA"/>
              </w:rPr>
            </w:pPr>
            <w:r>
              <w:rPr>
                <w:color w:val="auto"/>
                <w:spacing w:val="0"/>
                <w:kern w:val="0"/>
              </w:rPr>
              <w:t>/</w:t>
            </w:r>
          </w:p>
        </w:tc>
        <w:tc>
          <w:tcPr>
            <w:tcW w:w="1730" w:type="dxa"/>
            <w:tcBorders>
              <w:tl2br w:val="nil"/>
              <w:tr2bl w:val="nil"/>
            </w:tcBorders>
            <w:vAlign w:val="center"/>
          </w:tcPr>
          <w:p w14:paraId="2B804187">
            <w:pPr>
              <w:pStyle w:val="656"/>
              <w:snapToGrid w:val="0"/>
              <w:rPr>
                <w:rFonts w:hint="default" w:eastAsia="宋体"/>
                <w:color w:val="auto"/>
                <w:spacing w:val="0"/>
                <w:kern w:val="0"/>
                <w:sz w:val="21"/>
                <w:szCs w:val="21"/>
                <w:lang w:val="en-US" w:eastAsia="zh-CN" w:bidi="ar"/>
              </w:rPr>
            </w:pPr>
            <w:r>
              <w:rPr>
                <w:rFonts w:hint="eastAsia" w:eastAsia="宋体"/>
                <w:color w:val="auto"/>
                <w:kern w:val="0"/>
                <w:sz w:val="21"/>
                <w:szCs w:val="21"/>
                <w:lang w:val="en-US" w:eastAsia="zh-CN" w:bidi="ar"/>
              </w:rPr>
              <w:t>0.16875</w:t>
            </w:r>
          </w:p>
        </w:tc>
        <w:tc>
          <w:tcPr>
            <w:tcW w:w="574" w:type="pct"/>
            <w:tcBorders>
              <w:tl2br w:val="nil"/>
              <w:tr2bl w:val="nil"/>
            </w:tcBorders>
            <w:vAlign w:val="center"/>
          </w:tcPr>
          <w:p w14:paraId="0B5DCA8B">
            <w:pPr>
              <w:keepNext w:val="0"/>
              <w:keepLines w:val="0"/>
              <w:pageBreakBefore w:val="0"/>
              <w:widowControl/>
              <w:kinsoku/>
              <w:wordWrap/>
              <w:overflowPunct/>
              <w:topLinePunct w:val="0"/>
              <w:autoSpaceDE/>
              <w:autoSpaceDN/>
              <w:bidi w:val="0"/>
              <w:adjustRightInd w:val="0"/>
              <w:snapToGrid w:val="0"/>
              <w:jc w:val="center"/>
              <w:rPr>
                <w:rFonts w:hint="eastAsia" w:eastAsia="宋体"/>
                <w:color w:val="auto"/>
                <w:spacing w:val="0"/>
                <w:kern w:val="0"/>
                <w:lang w:val="en-US" w:eastAsia="zh-CN"/>
              </w:rPr>
            </w:pPr>
            <w:r>
              <w:rPr>
                <w:rFonts w:hint="eastAsia"/>
                <w:color w:val="auto"/>
                <w:spacing w:val="0"/>
                <w:kern w:val="0"/>
                <w:lang w:val="en-US" w:eastAsia="zh-CN"/>
              </w:rPr>
              <w:t>/</w:t>
            </w:r>
          </w:p>
        </w:tc>
        <w:tc>
          <w:tcPr>
            <w:tcW w:w="1772" w:type="dxa"/>
            <w:tcBorders>
              <w:tl2br w:val="nil"/>
              <w:tr2bl w:val="nil"/>
            </w:tcBorders>
            <w:vAlign w:val="center"/>
          </w:tcPr>
          <w:p w14:paraId="55F3E873">
            <w:pPr>
              <w:pStyle w:val="656"/>
              <w:snapToGrid w:val="0"/>
              <w:rPr>
                <w:rFonts w:hint="default" w:eastAsia="宋体"/>
                <w:color w:val="auto"/>
                <w:spacing w:val="0"/>
                <w:kern w:val="0"/>
                <w:sz w:val="21"/>
                <w:szCs w:val="21"/>
                <w:lang w:val="en-US" w:eastAsia="zh-CN" w:bidi="ar"/>
              </w:rPr>
            </w:pPr>
            <w:r>
              <w:rPr>
                <w:rFonts w:hint="eastAsia" w:eastAsia="宋体"/>
                <w:color w:val="auto"/>
                <w:kern w:val="0"/>
                <w:sz w:val="21"/>
                <w:szCs w:val="21"/>
                <w:lang w:val="en-US" w:eastAsia="zh-CN" w:bidi="ar"/>
              </w:rPr>
              <w:t>0.16875</w:t>
            </w:r>
          </w:p>
        </w:tc>
        <w:tc>
          <w:tcPr>
            <w:tcW w:w="1228" w:type="dxa"/>
            <w:tcBorders>
              <w:tl2br w:val="nil"/>
              <w:tr2bl w:val="nil"/>
            </w:tcBorders>
            <w:vAlign w:val="center"/>
          </w:tcPr>
          <w:p w14:paraId="5E917DF5">
            <w:pPr>
              <w:pStyle w:val="656"/>
              <w:snapToGrid w:val="0"/>
              <w:rPr>
                <w:rFonts w:hint="default" w:eastAsia="宋体"/>
                <w:color w:val="auto"/>
                <w:spacing w:val="0"/>
                <w:kern w:val="0"/>
                <w:sz w:val="21"/>
                <w:szCs w:val="21"/>
                <w:lang w:val="en-US" w:eastAsia="zh-CN" w:bidi="ar"/>
              </w:rPr>
            </w:pPr>
            <w:r>
              <w:rPr>
                <w:rFonts w:hint="eastAsia" w:eastAsia="宋体"/>
                <w:color w:val="auto"/>
                <w:kern w:val="0"/>
                <w:sz w:val="21"/>
                <w:szCs w:val="21"/>
                <w:lang w:val="en-US" w:eastAsia="zh-CN" w:bidi="ar"/>
              </w:rPr>
              <w:t>+0.16875</w:t>
            </w:r>
          </w:p>
        </w:tc>
      </w:tr>
      <w:tr w14:paraId="592F8CF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jc w:val="center"/>
        </w:trPr>
        <w:tc>
          <w:tcPr>
            <w:tcW w:w="502" w:type="pct"/>
            <w:vMerge w:val="continue"/>
            <w:tcBorders>
              <w:tl2br w:val="nil"/>
              <w:tr2bl w:val="nil"/>
            </w:tcBorders>
            <w:vAlign w:val="center"/>
          </w:tcPr>
          <w:p w14:paraId="79BCA66E">
            <w:pPr>
              <w:pStyle w:val="277"/>
              <w:keepNext w:val="0"/>
              <w:keepLines w:val="0"/>
              <w:pageBreakBefore w:val="0"/>
              <w:kinsoku/>
              <w:wordWrap/>
              <w:overflowPunct/>
              <w:topLinePunct w:val="0"/>
              <w:autoSpaceDE/>
              <w:autoSpaceDN/>
              <w:bidi w:val="0"/>
              <w:adjustRightInd w:val="0"/>
              <w:snapToGrid w:val="0"/>
              <w:spacing w:beforeLines="0" w:afterLines="0" w:line="240" w:lineRule="auto"/>
              <w:ind w:left="0" w:firstLine="0" w:firstLineChars="0"/>
              <w:rPr>
                <w:rFonts w:ascii="Times New Roman" w:eastAsia="宋体"/>
                <w:color w:val="auto"/>
                <w:spacing w:val="0"/>
                <w:kern w:val="0"/>
                <w:sz w:val="21"/>
                <w:szCs w:val="21"/>
              </w:rPr>
            </w:pPr>
          </w:p>
        </w:tc>
        <w:tc>
          <w:tcPr>
            <w:tcW w:w="330" w:type="pct"/>
            <w:vMerge w:val="restart"/>
            <w:tcBorders>
              <w:tl2br w:val="nil"/>
              <w:tr2bl w:val="nil"/>
            </w:tcBorders>
            <w:vAlign w:val="center"/>
          </w:tcPr>
          <w:p w14:paraId="41F1B1B9">
            <w:pPr>
              <w:pStyle w:val="277"/>
              <w:keepNext w:val="0"/>
              <w:keepLines w:val="0"/>
              <w:pageBreakBefore w:val="0"/>
              <w:kinsoku/>
              <w:wordWrap/>
              <w:overflowPunct/>
              <w:topLinePunct w:val="0"/>
              <w:autoSpaceDE/>
              <w:autoSpaceDN/>
              <w:bidi w:val="0"/>
              <w:adjustRightInd w:val="0"/>
              <w:snapToGrid w:val="0"/>
              <w:spacing w:beforeLines="0" w:afterLines="0" w:line="240" w:lineRule="auto"/>
              <w:ind w:left="0" w:firstLine="0" w:firstLineChars="0"/>
              <w:rPr>
                <w:rFonts w:ascii="Times New Roman" w:eastAsia="宋体"/>
                <w:color w:val="auto"/>
                <w:spacing w:val="0"/>
                <w:kern w:val="0"/>
                <w:sz w:val="21"/>
                <w:szCs w:val="21"/>
              </w:rPr>
            </w:pPr>
            <w:r>
              <w:rPr>
                <w:rFonts w:ascii="Times New Roman" w:eastAsia="宋体"/>
                <w:color w:val="auto"/>
                <w:spacing w:val="0"/>
                <w:kern w:val="0"/>
                <w:sz w:val="21"/>
                <w:szCs w:val="21"/>
              </w:rPr>
              <w:t>无组织</w:t>
            </w:r>
          </w:p>
        </w:tc>
        <w:tc>
          <w:tcPr>
            <w:tcW w:w="559" w:type="pct"/>
            <w:tcBorders>
              <w:tl2br w:val="nil"/>
              <w:tr2bl w:val="nil"/>
            </w:tcBorders>
            <w:vAlign w:val="center"/>
          </w:tcPr>
          <w:p w14:paraId="56B849C2">
            <w:pPr>
              <w:keepNext w:val="0"/>
              <w:keepLines w:val="0"/>
              <w:pageBreakBefore w:val="0"/>
              <w:kinsoku/>
              <w:wordWrap/>
              <w:overflowPunct/>
              <w:topLinePunct w:val="0"/>
              <w:autoSpaceDE/>
              <w:autoSpaceDN/>
              <w:bidi w:val="0"/>
              <w:adjustRightInd w:val="0"/>
              <w:snapToGrid w:val="0"/>
              <w:jc w:val="center"/>
              <w:rPr>
                <w:rFonts w:hint="eastAsia" w:eastAsia="宋体"/>
                <w:color w:val="auto"/>
                <w:spacing w:val="0"/>
                <w:kern w:val="0"/>
                <w:lang w:eastAsia="zh-CN"/>
              </w:rPr>
            </w:pPr>
            <w:r>
              <w:rPr>
                <w:color w:val="auto"/>
                <w:spacing w:val="0"/>
                <w:kern w:val="0"/>
              </w:rPr>
              <w:t>非甲烷总烃</w:t>
            </w:r>
            <w:r>
              <w:rPr>
                <w:rFonts w:hint="eastAsia"/>
                <w:color w:val="auto"/>
                <w:spacing w:val="0"/>
                <w:kern w:val="0"/>
                <w:lang w:eastAsia="zh-CN"/>
              </w:rPr>
              <w:t>（</w:t>
            </w:r>
            <w:r>
              <w:rPr>
                <w:rFonts w:hint="eastAsia"/>
                <w:color w:val="auto"/>
                <w:spacing w:val="0"/>
                <w:kern w:val="0"/>
                <w:lang w:val="en-US" w:eastAsia="zh-CN"/>
              </w:rPr>
              <w:t>含苯系物</w:t>
            </w:r>
            <w:r>
              <w:rPr>
                <w:rFonts w:hint="eastAsia"/>
                <w:color w:val="auto"/>
                <w:spacing w:val="0"/>
                <w:kern w:val="0"/>
                <w:lang w:eastAsia="zh-CN"/>
              </w:rPr>
              <w:t>）</w:t>
            </w:r>
          </w:p>
        </w:tc>
        <w:tc>
          <w:tcPr>
            <w:tcW w:w="398" w:type="pct"/>
            <w:tcBorders>
              <w:tl2br w:val="nil"/>
              <w:tr2bl w:val="nil"/>
            </w:tcBorders>
            <w:vAlign w:val="center"/>
          </w:tcPr>
          <w:p w14:paraId="1DB52D9E">
            <w:pPr>
              <w:keepNext w:val="0"/>
              <w:keepLines w:val="0"/>
              <w:pageBreakBefore w:val="0"/>
              <w:widowControl/>
              <w:kinsoku/>
              <w:wordWrap/>
              <w:overflowPunct/>
              <w:topLinePunct w:val="0"/>
              <w:autoSpaceDE/>
              <w:autoSpaceDN/>
              <w:bidi w:val="0"/>
              <w:adjustRightInd w:val="0"/>
              <w:snapToGrid w:val="0"/>
              <w:jc w:val="center"/>
              <w:rPr>
                <w:color w:val="auto"/>
                <w:spacing w:val="0"/>
                <w:kern w:val="0"/>
              </w:rPr>
            </w:pPr>
            <w:r>
              <w:rPr>
                <w:color w:val="auto"/>
                <w:spacing w:val="0"/>
                <w:kern w:val="0"/>
              </w:rPr>
              <w:t>/</w:t>
            </w:r>
          </w:p>
        </w:tc>
        <w:tc>
          <w:tcPr>
            <w:tcW w:w="448" w:type="pct"/>
            <w:tcBorders>
              <w:tl2br w:val="nil"/>
              <w:tr2bl w:val="nil"/>
            </w:tcBorders>
            <w:vAlign w:val="center"/>
          </w:tcPr>
          <w:p w14:paraId="75934F74">
            <w:pPr>
              <w:keepNext w:val="0"/>
              <w:keepLines w:val="0"/>
              <w:pageBreakBefore w:val="0"/>
              <w:widowControl/>
              <w:kinsoku/>
              <w:wordWrap/>
              <w:overflowPunct/>
              <w:topLinePunct w:val="0"/>
              <w:autoSpaceDE/>
              <w:autoSpaceDN/>
              <w:bidi w:val="0"/>
              <w:adjustRightInd w:val="0"/>
              <w:snapToGrid w:val="0"/>
              <w:jc w:val="center"/>
              <w:rPr>
                <w:color w:val="auto"/>
                <w:spacing w:val="0"/>
                <w:kern w:val="0"/>
              </w:rPr>
            </w:pPr>
            <w:r>
              <w:rPr>
                <w:color w:val="auto"/>
                <w:spacing w:val="0"/>
                <w:kern w:val="0"/>
              </w:rPr>
              <w:t>/</w:t>
            </w:r>
          </w:p>
        </w:tc>
        <w:tc>
          <w:tcPr>
            <w:tcW w:w="498" w:type="pct"/>
            <w:tcBorders>
              <w:tl2br w:val="nil"/>
              <w:tr2bl w:val="nil"/>
            </w:tcBorders>
            <w:vAlign w:val="center"/>
          </w:tcPr>
          <w:p w14:paraId="4D02CF7F">
            <w:pPr>
              <w:keepNext w:val="0"/>
              <w:keepLines w:val="0"/>
              <w:pageBreakBefore w:val="0"/>
              <w:widowControl/>
              <w:kinsoku/>
              <w:wordWrap/>
              <w:overflowPunct/>
              <w:topLinePunct w:val="0"/>
              <w:autoSpaceDE/>
              <w:autoSpaceDN/>
              <w:bidi w:val="0"/>
              <w:adjustRightInd w:val="0"/>
              <w:snapToGrid w:val="0"/>
              <w:jc w:val="center"/>
              <w:rPr>
                <w:color w:val="auto"/>
                <w:spacing w:val="0"/>
                <w:kern w:val="0"/>
              </w:rPr>
            </w:pPr>
            <w:r>
              <w:rPr>
                <w:color w:val="auto"/>
                <w:spacing w:val="0"/>
                <w:kern w:val="0"/>
              </w:rPr>
              <w:t>/</w:t>
            </w:r>
          </w:p>
        </w:tc>
        <w:tc>
          <w:tcPr>
            <w:tcW w:w="1730" w:type="dxa"/>
            <w:tcBorders>
              <w:tl2br w:val="nil"/>
              <w:tr2bl w:val="nil"/>
            </w:tcBorders>
            <w:vAlign w:val="center"/>
          </w:tcPr>
          <w:p w14:paraId="2745FC4D">
            <w:pPr>
              <w:pStyle w:val="698"/>
              <w:rPr>
                <w:rFonts w:hint="default" w:eastAsia="宋体"/>
                <w:color w:val="auto"/>
                <w:spacing w:val="0"/>
                <w:kern w:val="0"/>
                <w:lang w:val="en-US" w:eastAsia="zh-CN"/>
              </w:rPr>
            </w:pPr>
            <w:r>
              <w:rPr>
                <w:rFonts w:hint="eastAsia" w:eastAsia="宋体"/>
                <w:color w:val="auto"/>
                <w:kern w:val="0"/>
                <w:lang w:val="en-US" w:eastAsia="zh-CN"/>
              </w:rPr>
              <w:t>0.0232</w:t>
            </w:r>
          </w:p>
        </w:tc>
        <w:tc>
          <w:tcPr>
            <w:tcW w:w="574" w:type="pct"/>
            <w:tcBorders>
              <w:tl2br w:val="nil"/>
              <w:tr2bl w:val="nil"/>
            </w:tcBorders>
            <w:vAlign w:val="center"/>
          </w:tcPr>
          <w:p w14:paraId="5F4BF394">
            <w:pPr>
              <w:keepNext w:val="0"/>
              <w:keepLines w:val="0"/>
              <w:pageBreakBefore w:val="0"/>
              <w:widowControl/>
              <w:kinsoku/>
              <w:wordWrap/>
              <w:overflowPunct/>
              <w:topLinePunct w:val="0"/>
              <w:autoSpaceDE/>
              <w:autoSpaceDN/>
              <w:bidi w:val="0"/>
              <w:adjustRightInd w:val="0"/>
              <w:snapToGrid w:val="0"/>
              <w:jc w:val="center"/>
              <w:rPr>
                <w:color w:val="auto"/>
                <w:spacing w:val="0"/>
                <w:kern w:val="0"/>
              </w:rPr>
            </w:pPr>
            <w:r>
              <w:rPr>
                <w:color w:val="auto"/>
                <w:spacing w:val="0"/>
                <w:kern w:val="0"/>
              </w:rPr>
              <w:t>/</w:t>
            </w:r>
          </w:p>
        </w:tc>
        <w:tc>
          <w:tcPr>
            <w:tcW w:w="1772" w:type="dxa"/>
            <w:tcBorders>
              <w:tl2br w:val="nil"/>
              <w:tr2bl w:val="nil"/>
            </w:tcBorders>
            <w:vAlign w:val="center"/>
          </w:tcPr>
          <w:p w14:paraId="2826E524">
            <w:pPr>
              <w:pStyle w:val="698"/>
              <w:rPr>
                <w:rFonts w:hint="default" w:eastAsia="宋体"/>
                <w:color w:val="auto"/>
                <w:spacing w:val="0"/>
                <w:kern w:val="0"/>
                <w:lang w:val="en-US" w:eastAsia="zh-CN"/>
              </w:rPr>
            </w:pPr>
            <w:r>
              <w:rPr>
                <w:rFonts w:hint="eastAsia" w:eastAsia="宋体"/>
                <w:color w:val="auto"/>
                <w:kern w:val="0"/>
                <w:lang w:val="en-US" w:eastAsia="zh-CN"/>
              </w:rPr>
              <w:t>0.0232</w:t>
            </w:r>
          </w:p>
        </w:tc>
        <w:tc>
          <w:tcPr>
            <w:tcW w:w="1228" w:type="dxa"/>
            <w:tcBorders>
              <w:tl2br w:val="nil"/>
              <w:tr2bl w:val="nil"/>
            </w:tcBorders>
            <w:vAlign w:val="center"/>
          </w:tcPr>
          <w:p w14:paraId="22600A4D">
            <w:pPr>
              <w:pStyle w:val="698"/>
              <w:rPr>
                <w:rFonts w:hint="default" w:eastAsia="宋体"/>
                <w:color w:val="auto"/>
                <w:spacing w:val="0"/>
                <w:kern w:val="0"/>
                <w:lang w:val="en-US"/>
              </w:rPr>
            </w:pPr>
            <w:r>
              <w:rPr>
                <w:rFonts w:hint="eastAsia" w:eastAsia="宋体"/>
                <w:color w:val="auto"/>
                <w:kern w:val="0"/>
                <w:lang w:val="en-US" w:eastAsia="zh-CN"/>
              </w:rPr>
              <w:t>+0.0232</w:t>
            </w:r>
          </w:p>
        </w:tc>
      </w:tr>
      <w:tr w14:paraId="6338170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jc w:val="center"/>
        </w:trPr>
        <w:tc>
          <w:tcPr>
            <w:tcW w:w="502" w:type="pct"/>
            <w:vMerge w:val="continue"/>
            <w:tcBorders>
              <w:tl2br w:val="nil"/>
              <w:tr2bl w:val="nil"/>
            </w:tcBorders>
            <w:vAlign w:val="center"/>
          </w:tcPr>
          <w:p w14:paraId="74C5BC9A">
            <w:pPr>
              <w:pStyle w:val="277"/>
              <w:keepNext w:val="0"/>
              <w:keepLines w:val="0"/>
              <w:pageBreakBefore w:val="0"/>
              <w:kinsoku/>
              <w:wordWrap/>
              <w:overflowPunct/>
              <w:topLinePunct w:val="0"/>
              <w:autoSpaceDE/>
              <w:autoSpaceDN/>
              <w:bidi w:val="0"/>
              <w:adjustRightInd w:val="0"/>
              <w:snapToGrid w:val="0"/>
              <w:spacing w:beforeLines="0" w:afterLines="0" w:line="240" w:lineRule="auto"/>
              <w:ind w:left="0" w:firstLine="0" w:firstLineChars="0"/>
              <w:rPr>
                <w:rFonts w:ascii="Times New Roman" w:eastAsia="宋体"/>
                <w:color w:val="auto"/>
                <w:spacing w:val="0"/>
                <w:kern w:val="0"/>
                <w:sz w:val="21"/>
                <w:szCs w:val="21"/>
              </w:rPr>
            </w:pPr>
          </w:p>
        </w:tc>
        <w:tc>
          <w:tcPr>
            <w:tcW w:w="330" w:type="pct"/>
            <w:vMerge w:val="continue"/>
            <w:tcBorders>
              <w:tl2br w:val="nil"/>
              <w:tr2bl w:val="nil"/>
            </w:tcBorders>
            <w:vAlign w:val="center"/>
          </w:tcPr>
          <w:p w14:paraId="7966EEB6">
            <w:pPr>
              <w:pStyle w:val="277"/>
              <w:keepNext w:val="0"/>
              <w:keepLines w:val="0"/>
              <w:pageBreakBefore w:val="0"/>
              <w:kinsoku/>
              <w:wordWrap/>
              <w:overflowPunct/>
              <w:topLinePunct w:val="0"/>
              <w:autoSpaceDE/>
              <w:autoSpaceDN/>
              <w:bidi w:val="0"/>
              <w:adjustRightInd w:val="0"/>
              <w:snapToGrid w:val="0"/>
              <w:spacing w:beforeLines="0" w:afterLines="0" w:line="240" w:lineRule="auto"/>
              <w:ind w:left="0" w:firstLine="0" w:firstLineChars="0"/>
              <w:rPr>
                <w:rFonts w:ascii="Times New Roman" w:eastAsia="宋体"/>
                <w:color w:val="auto"/>
                <w:spacing w:val="0"/>
                <w:kern w:val="0"/>
                <w:sz w:val="21"/>
                <w:szCs w:val="21"/>
              </w:rPr>
            </w:pPr>
          </w:p>
        </w:tc>
        <w:tc>
          <w:tcPr>
            <w:tcW w:w="559" w:type="pct"/>
            <w:tcBorders>
              <w:tl2br w:val="nil"/>
              <w:tr2bl w:val="nil"/>
            </w:tcBorders>
            <w:vAlign w:val="center"/>
          </w:tcPr>
          <w:p w14:paraId="759F067C">
            <w:pPr>
              <w:keepNext w:val="0"/>
              <w:keepLines w:val="0"/>
              <w:pageBreakBefore w:val="0"/>
              <w:kinsoku/>
              <w:wordWrap/>
              <w:overflowPunct/>
              <w:topLinePunct w:val="0"/>
              <w:autoSpaceDE/>
              <w:autoSpaceDN/>
              <w:bidi w:val="0"/>
              <w:adjustRightInd w:val="0"/>
              <w:snapToGrid w:val="0"/>
              <w:jc w:val="center"/>
              <w:rPr>
                <w:color w:val="auto"/>
                <w:spacing w:val="0"/>
                <w:kern w:val="0"/>
              </w:rPr>
            </w:pPr>
            <w:r>
              <w:rPr>
                <w:rFonts w:hint="eastAsia"/>
                <w:color w:val="auto"/>
                <w:spacing w:val="0"/>
                <w:kern w:val="0"/>
              </w:rPr>
              <w:t>颗粒物</w:t>
            </w:r>
          </w:p>
        </w:tc>
        <w:tc>
          <w:tcPr>
            <w:tcW w:w="398" w:type="pct"/>
            <w:tcBorders>
              <w:tl2br w:val="nil"/>
              <w:tr2bl w:val="nil"/>
            </w:tcBorders>
            <w:vAlign w:val="center"/>
          </w:tcPr>
          <w:p w14:paraId="2A1F9236">
            <w:pPr>
              <w:keepNext w:val="0"/>
              <w:keepLines w:val="0"/>
              <w:pageBreakBefore w:val="0"/>
              <w:widowControl/>
              <w:kinsoku/>
              <w:wordWrap/>
              <w:overflowPunct/>
              <w:topLinePunct w:val="0"/>
              <w:autoSpaceDE/>
              <w:autoSpaceDN/>
              <w:bidi w:val="0"/>
              <w:adjustRightInd w:val="0"/>
              <w:snapToGrid w:val="0"/>
              <w:jc w:val="center"/>
              <w:rPr>
                <w:color w:val="auto"/>
                <w:spacing w:val="0"/>
                <w:kern w:val="0"/>
              </w:rPr>
            </w:pPr>
            <w:r>
              <w:rPr>
                <w:color w:val="auto"/>
                <w:spacing w:val="0"/>
                <w:kern w:val="0"/>
              </w:rPr>
              <w:t>/</w:t>
            </w:r>
          </w:p>
        </w:tc>
        <w:tc>
          <w:tcPr>
            <w:tcW w:w="448" w:type="pct"/>
            <w:tcBorders>
              <w:tl2br w:val="nil"/>
              <w:tr2bl w:val="nil"/>
            </w:tcBorders>
            <w:vAlign w:val="center"/>
          </w:tcPr>
          <w:p w14:paraId="1DD061C3">
            <w:pPr>
              <w:keepNext w:val="0"/>
              <w:keepLines w:val="0"/>
              <w:pageBreakBefore w:val="0"/>
              <w:kinsoku/>
              <w:wordWrap/>
              <w:overflowPunct/>
              <w:topLinePunct w:val="0"/>
              <w:autoSpaceDE/>
              <w:autoSpaceDN/>
              <w:bidi w:val="0"/>
              <w:adjustRightInd w:val="0"/>
              <w:snapToGrid w:val="0"/>
              <w:jc w:val="center"/>
              <w:rPr>
                <w:color w:val="auto"/>
                <w:spacing w:val="0"/>
                <w:kern w:val="0"/>
              </w:rPr>
            </w:pPr>
            <w:r>
              <w:rPr>
                <w:color w:val="auto"/>
                <w:spacing w:val="0"/>
                <w:kern w:val="0"/>
              </w:rPr>
              <w:t>/</w:t>
            </w:r>
          </w:p>
        </w:tc>
        <w:tc>
          <w:tcPr>
            <w:tcW w:w="498" w:type="pct"/>
            <w:tcBorders>
              <w:tl2br w:val="nil"/>
              <w:tr2bl w:val="nil"/>
            </w:tcBorders>
            <w:vAlign w:val="center"/>
          </w:tcPr>
          <w:p w14:paraId="06FC3B4C">
            <w:pPr>
              <w:keepNext w:val="0"/>
              <w:keepLines w:val="0"/>
              <w:pageBreakBefore w:val="0"/>
              <w:widowControl/>
              <w:kinsoku/>
              <w:wordWrap/>
              <w:overflowPunct/>
              <w:topLinePunct w:val="0"/>
              <w:autoSpaceDE/>
              <w:autoSpaceDN/>
              <w:bidi w:val="0"/>
              <w:adjustRightInd w:val="0"/>
              <w:snapToGrid w:val="0"/>
              <w:jc w:val="center"/>
              <w:rPr>
                <w:color w:val="auto"/>
                <w:spacing w:val="0"/>
                <w:kern w:val="0"/>
              </w:rPr>
            </w:pPr>
            <w:r>
              <w:rPr>
                <w:color w:val="auto"/>
                <w:spacing w:val="0"/>
                <w:kern w:val="0"/>
              </w:rPr>
              <w:t>/</w:t>
            </w:r>
          </w:p>
        </w:tc>
        <w:tc>
          <w:tcPr>
            <w:tcW w:w="1730" w:type="dxa"/>
            <w:tcBorders>
              <w:tl2br w:val="nil"/>
              <w:tr2bl w:val="nil"/>
            </w:tcBorders>
            <w:vAlign w:val="center"/>
          </w:tcPr>
          <w:p w14:paraId="74833BDE">
            <w:pPr>
              <w:pStyle w:val="698"/>
              <w:rPr>
                <w:rFonts w:hint="default" w:eastAsia="宋体"/>
                <w:color w:val="auto"/>
                <w:spacing w:val="0"/>
                <w:kern w:val="0"/>
                <w:lang w:val="en-US" w:eastAsia="zh-CN"/>
              </w:rPr>
            </w:pPr>
            <w:r>
              <w:rPr>
                <w:rFonts w:hint="eastAsia" w:eastAsia="宋体"/>
                <w:color w:val="auto"/>
                <w:kern w:val="0"/>
                <w:lang w:val="en-US" w:eastAsia="zh-CN"/>
              </w:rPr>
              <w:t>0.039138</w:t>
            </w:r>
          </w:p>
        </w:tc>
        <w:tc>
          <w:tcPr>
            <w:tcW w:w="574" w:type="pct"/>
            <w:tcBorders>
              <w:tl2br w:val="nil"/>
              <w:tr2bl w:val="nil"/>
            </w:tcBorders>
            <w:vAlign w:val="center"/>
          </w:tcPr>
          <w:p w14:paraId="02A4605F">
            <w:pPr>
              <w:keepNext w:val="0"/>
              <w:keepLines w:val="0"/>
              <w:pageBreakBefore w:val="0"/>
              <w:widowControl/>
              <w:kinsoku/>
              <w:wordWrap/>
              <w:overflowPunct/>
              <w:topLinePunct w:val="0"/>
              <w:autoSpaceDE/>
              <w:autoSpaceDN/>
              <w:bidi w:val="0"/>
              <w:adjustRightInd w:val="0"/>
              <w:snapToGrid w:val="0"/>
              <w:jc w:val="center"/>
              <w:rPr>
                <w:color w:val="auto"/>
                <w:spacing w:val="0"/>
                <w:kern w:val="0"/>
              </w:rPr>
            </w:pPr>
            <w:r>
              <w:rPr>
                <w:color w:val="auto"/>
                <w:spacing w:val="0"/>
                <w:kern w:val="0"/>
              </w:rPr>
              <w:t>/</w:t>
            </w:r>
          </w:p>
        </w:tc>
        <w:tc>
          <w:tcPr>
            <w:tcW w:w="1772" w:type="dxa"/>
            <w:tcBorders>
              <w:tl2br w:val="nil"/>
              <w:tr2bl w:val="nil"/>
            </w:tcBorders>
            <w:vAlign w:val="center"/>
          </w:tcPr>
          <w:p w14:paraId="129B989B">
            <w:pPr>
              <w:pStyle w:val="698"/>
              <w:rPr>
                <w:rFonts w:hint="default" w:eastAsia="宋体"/>
                <w:color w:val="auto"/>
                <w:spacing w:val="0"/>
                <w:kern w:val="0"/>
                <w:lang w:val="en-US" w:eastAsia="zh-CN"/>
              </w:rPr>
            </w:pPr>
            <w:r>
              <w:rPr>
                <w:rFonts w:hint="eastAsia" w:eastAsia="宋体"/>
                <w:color w:val="auto"/>
                <w:kern w:val="0"/>
                <w:lang w:val="en-US" w:eastAsia="zh-CN"/>
              </w:rPr>
              <w:t>0.039138</w:t>
            </w:r>
          </w:p>
        </w:tc>
        <w:tc>
          <w:tcPr>
            <w:tcW w:w="1228" w:type="dxa"/>
            <w:tcBorders>
              <w:tl2br w:val="nil"/>
              <w:tr2bl w:val="nil"/>
            </w:tcBorders>
            <w:vAlign w:val="center"/>
          </w:tcPr>
          <w:p w14:paraId="56A47542">
            <w:pPr>
              <w:pStyle w:val="698"/>
              <w:rPr>
                <w:rFonts w:hint="default"/>
                <w:color w:val="auto"/>
                <w:spacing w:val="0"/>
                <w:kern w:val="0"/>
                <w:lang w:val="en-US"/>
              </w:rPr>
            </w:pPr>
            <w:r>
              <w:rPr>
                <w:rFonts w:hint="eastAsia" w:eastAsia="宋体"/>
                <w:color w:val="auto"/>
                <w:kern w:val="0"/>
                <w:lang w:val="en-US" w:eastAsia="zh-CN"/>
              </w:rPr>
              <w:t>+0.039138</w:t>
            </w:r>
          </w:p>
        </w:tc>
      </w:tr>
      <w:tr w14:paraId="0C18C98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jc w:val="center"/>
        </w:trPr>
        <w:tc>
          <w:tcPr>
            <w:tcW w:w="502" w:type="pct"/>
            <w:vMerge w:val="restart"/>
            <w:tcBorders>
              <w:tl2br w:val="nil"/>
              <w:tr2bl w:val="nil"/>
            </w:tcBorders>
            <w:vAlign w:val="center"/>
          </w:tcPr>
          <w:p w14:paraId="0E429475">
            <w:pPr>
              <w:pStyle w:val="277"/>
              <w:keepNext w:val="0"/>
              <w:keepLines w:val="0"/>
              <w:pageBreakBefore w:val="0"/>
              <w:kinsoku/>
              <w:wordWrap/>
              <w:overflowPunct/>
              <w:topLinePunct w:val="0"/>
              <w:autoSpaceDE/>
              <w:autoSpaceDN/>
              <w:bidi w:val="0"/>
              <w:adjustRightInd w:val="0"/>
              <w:snapToGrid w:val="0"/>
              <w:spacing w:beforeLines="0" w:afterLines="0" w:line="240" w:lineRule="auto"/>
              <w:ind w:left="0" w:firstLine="0" w:firstLineChars="0"/>
              <w:rPr>
                <w:rFonts w:ascii="Times New Roman" w:eastAsia="宋体"/>
                <w:color w:val="auto"/>
                <w:spacing w:val="0"/>
                <w:kern w:val="0"/>
                <w:sz w:val="21"/>
                <w:szCs w:val="21"/>
              </w:rPr>
            </w:pPr>
            <w:r>
              <w:rPr>
                <w:rFonts w:hint="eastAsia" w:ascii="Times New Roman" w:eastAsia="宋体"/>
                <w:color w:val="auto"/>
                <w:spacing w:val="0"/>
                <w:kern w:val="0"/>
                <w:sz w:val="21"/>
                <w:szCs w:val="21"/>
              </w:rPr>
              <w:t>废水</w:t>
            </w:r>
          </w:p>
        </w:tc>
        <w:tc>
          <w:tcPr>
            <w:tcW w:w="889" w:type="pct"/>
            <w:gridSpan w:val="2"/>
            <w:tcBorders>
              <w:tl2br w:val="nil"/>
              <w:tr2bl w:val="nil"/>
            </w:tcBorders>
            <w:vAlign w:val="center"/>
          </w:tcPr>
          <w:p w14:paraId="33E63A24">
            <w:pPr>
              <w:keepNext w:val="0"/>
              <w:keepLines w:val="0"/>
              <w:pageBreakBefore w:val="0"/>
              <w:widowControl/>
              <w:kinsoku/>
              <w:wordWrap/>
              <w:overflowPunct/>
              <w:topLinePunct w:val="0"/>
              <w:autoSpaceDE/>
              <w:autoSpaceDN/>
              <w:bidi w:val="0"/>
              <w:adjustRightInd w:val="0"/>
              <w:snapToGrid w:val="0"/>
              <w:jc w:val="center"/>
              <w:rPr>
                <w:color w:val="auto"/>
                <w:spacing w:val="0"/>
                <w:kern w:val="0"/>
              </w:rPr>
            </w:pPr>
            <w:r>
              <w:rPr>
                <w:rFonts w:hint="eastAsia"/>
                <w:color w:val="auto"/>
                <w:spacing w:val="0"/>
                <w:kern w:val="0"/>
              </w:rPr>
              <w:t>废水量</w:t>
            </w:r>
          </w:p>
        </w:tc>
        <w:tc>
          <w:tcPr>
            <w:tcW w:w="398" w:type="pct"/>
            <w:tcBorders>
              <w:tl2br w:val="nil"/>
              <w:tr2bl w:val="nil"/>
            </w:tcBorders>
            <w:vAlign w:val="center"/>
          </w:tcPr>
          <w:p w14:paraId="6A95EDF6">
            <w:pPr>
              <w:keepNext w:val="0"/>
              <w:keepLines w:val="0"/>
              <w:pageBreakBefore w:val="0"/>
              <w:widowControl/>
              <w:kinsoku/>
              <w:wordWrap/>
              <w:overflowPunct/>
              <w:topLinePunct w:val="0"/>
              <w:autoSpaceDE/>
              <w:autoSpaceDN/>
              <w:bidi w:val="0"/>
              <w:adjustRightInd w:val="0"/>
              <w:snapToGrid w:val="0"/>
              <w:jc w:val="center"/>
              <w:rPr>
                <w:color w:val="auto"/>
                <w:spacing w:val="0"/>
                <w:kern w:val="0"/>
              </w:rPr>
            </w:pPr>
            <w:r>
              <w:rPr>
                <w:color w:val="auto"/>
                <w:spacing w:val="0"/>
                <w:kern w:val="0"/>
              </w:rPr>
              <w:t>/</w:t>
            </w:r>
          </w:p>
        </w:tc>
        <w:tc>
          <w:tcPr>
            <w:tcW w:w="448" w:type="pct"/>
            <w:tcBorders>
              <w:tl2br w:val="nil"/>
              <w:tr2bl w:val="nil"/>
            </w:tcBorders>
            <w:vAlign w:val="center"/>
          </w:tcPr>
          <w:p w14:paraId="55B8A358">
            <w:pPr>
              <w:keepNext w:val="0"/>
              <w:keepLines w:val="0"/>
              <w:pageBreakBefore w:val="0"/>
              <w:widowControl/>
              <w:kinsoku/>
              <w:wordWrap/>
              <w:overflowPunct/>
              <w:topLinePunct w:val="0"/>
              <w:autoSpaceDE/>
              <w:autoSpaceDN/>
              <w:bidi w:val="0"/>
              <w:adjustRightInd w:val="0"/>
              <w:snapToGrid w:val="0"/>
              <w:jc w:val="center"/>
              <w:rPr>
                <w:color w:val="auto"/>
                <w:spacing w:val="0"/>
                <w:kern w:val="0"/>
              </w:rPr>
            </w:pPr>
            <w:r>
              <w:rPr>
                <w:color w:val="auto"/>
                <w:spacing w:val="0"/>
                <w:kern w:val="0"/>
              </w:rPr>
              <w:t>/</w:t>
            </w:r>
          </w:p>
        </w:tc>
        <w:tc>
          <w:tcPr>
            <w:tcW w:w="498" w:type="pct"/>
            <w:tcBorders>
              <w:tl2br w:val="nil"/>
              <w:tr2bl w:val="nil"/>
            </w:tcBorders>
            <w:vAlign w:val="center"/>
          </w:tcPr>
          <w:p w14:paraId="120BF15E">
            <w:pPr>
              <w:keepNext w:val="0"/>
              <w:keepLines w:val="0"/>
              <w:pageBreakBefore w:val="0"/>
              <w:widowControl/>
              <w:kinsoku/>
              <w:wordWrap/>
              <w:overflowPunct/>
              <w:topLinePunct w:val="0"/>
              <w:autoSpaceDE/>
              <w:autoSpaceDN/>
              <w:bidi w:val="0"/>
              <w:adjustRightInd w:val="0"/>
              <w:snapToGrid w:val="0"/>
              <w:jc w:val="center"/>
              <w:rPr>
                <w:color w:val="auto"/>
                <w:spacing w:val="0"/>
                <w:kern w:val="0"/>
              </w:rPr>
            </w:pPr>
            <w:r>
              <w:rPr>
                <w:color w:val="auto"/>
                <w:spacing w:val="0"/>
                <w:kern w:val="0"/>
              </w:rPr>
              <w:t>/</w:t>
            </w:r>
          </w:p>
        </w:tc>
        <w:tc>
          <w:tcPr>
            <w:tcW w:w="617" w:type="pct"/>
            <w:tcBorders>
              <w:tl2br w:val="nil"/>
              <w:tr2bl w:val="nil"/>
            </w:tcBorders>
            <w:vAlign w:val="center"/>
          </w:tcPr>
          <w:p w14:paraId="3CEA78DA">
            <w:pPr>
              <w:keepNext w:val="0"/>
              <w:keepLines w:val="0"/>
              <w:pageBreakBefore w:val="0"/>
              <w:widowControl/>
              <w:kinsoku/>
              <w:wordWrap/>
              <w:overflowPunct/>
              <w:topLinePunct w:val="0"/>
              <w:autoSpaceDE/>
              <w:autoSpaceDN/>
              <w:bidi w:val="0"/>
              <w:adjustRightInd w:val="0"/>
              <w:snapToGrid w:val="0"/>
              <w:jc w:val="center"/>
              <w:textAlignment w:val="center"/>
              <w:rPr>
                <w:color w:val="auto"/>
                <w:spacing w:val="0"/>
                <w:kern w:val="0"/>
              </w:rPr>
            </w:pPr>
            <w:r>
              <w:rPr>
                <w:rFonts w:hint="eastAsia"/>
                <w:color w:val="auto"/>
                <w:kern w:val="0"/>
                <w:lang w:val="en-US" w:eastAsia="zh-CN" w:bidi="ar"/>
              </w:rPr>
              <w:t>720</w:t>
            </w:r>
          </w:p>
        </w:tc>
        <w:tc>
          <w:tcPr>
            <w:tcW w:w="574" w:type="pct"/>
            <w:tcBorders>
              <w:tl2br w:val="nil"/>
              <w:tr2bl w:val="nil"/>
            </w:tcBorders>
            <w:vAlign w:val="center"/>
          </w:tcPr>
          <w:p w14:paraId="24D077D4">
            <w:pPr>
              <w:keepNext w:val="0"/>
              <w:keepLines w:val="0"/>
              <w:pageBreakBefore w:val="0"/>
              <w:widowControl/>
              <w:kinsoku/>
              <w:wordWrap/>
              <w:overflowPunct/>
              <w:topLinePunct w:val="0"/>
              <w:autoSpaceDE/>
              <w:autoSpaceDN/>
              <w:bidi w:val="0"/>
              <w:adjustRightInd w:val="0"/>
              <w:snapToGrid w:val="0"/>
              <w:jc w:val="center"/>
              <w:rPr>
                <w:color w:val="auto"/>
                <w:spacing w:val="0"/>
                <w:kern w:val="0"/>
              </w:rPr>
            </w:pPr>
            <w:r>
              <w:rPr>
                <w:color w:val="auto"/>
                <w:spacing w:val="0"/>
                <w:kern w:val="0"/>
              </w:rPr>
              <w:t>/</w:t>
            </w:r>
          </w:p>
        </w:tc>
        <w:tc>
          <w:tcPr>
            <w:tcW w:w="632" w:type="pct"/>
            <w:tcBorders>
              <w:tl2br w:val="nil"/>
              <w:tr2bl w:val="nil"/>
            </w:tcBorders>
            <w:vAlign w:val="center"/>
          </w:tcPr>
          <w:p w14:paraId="55E1BE60">
            <w:pPr>
              <w:keepNext w:val="0"/>
              <w:keepLines w:val="0"/>
              <w:pageBreakBefore w:val="0"/>
              <w:widowControl/>
              <w:kinsoku/>
              <w:wordWrap/>
              <w:overflowPunct/>
              <w:topLinePunct w:val="0"/>
              <w:autoSpaceDE/>
              <w:autoSpaceDN/>
              <w:bidi w:val="0"/>
              <w:adjustRightInd w:val="0"/>
              <w:snapToGrid w:val="0"/>
              <w:jc w:val="center"/>
              <w:textAlignment w:val="center"/>
              <w:rPr>
                <w:color w:val="auto"/>
                <w:spacing w:val="0"/>
                <w:kern w:val="0"/>
              </w:rPr>
            </w:pPr>
            <w:r>
              <w:rPr>
                <w:rFonts w:hint="eastAsia"/>
                <w:color w:val="auto"/>
                <w:kern w:val="0"/>
                <w:lang w:val="en-US" w:eastAsia="zh-CN" w:bidi="ar"/>
              </w:rPr>
              <w:t>720</w:t>
            </w:r>
          </w:p>
        </w:tc>
        <w:tc>
          <w:tcPr>
            <w:tcW w:w="438" w:type="pct"/>
            <w:tcBorders>
              <w:tl2br w:val="nil"/>
              <w:tr2bl w:val="nil"/>
            </w:tcBorders>
            <w:vAlign w:val="center"/>
          </w:tcPr>
          <w:p w14:paraId="3D572E7F">
            <w:pPr>
              <w:keepNext w:val="0"/>
              <w:keepLines w:val="0"/>
              <w:pageBreakBefore w:val="0"/>
              <w:widowControl/>
              <w:kinsoku/>
              <w:wordWrap/>
              <w:overflowPunct/>
              <w:topLinePunct w:val="0"/>
              <w:autoSpaceDE/>
              <w:autoSpaceDN/>
              <w:bidi w:val="0"/>
              <w:adjustRightInd w:val="0"/>
              <w:snapToGrid w:val="0"/>
              <w:jc w:val="center"/>
              <w:textAlignment w:val="center"/>
              <w:rPr>
                <w:color w:val="auto"/>
                <w:spacing w:val="0"/>
                <w:kern w:val="0"/>
              </w:rPr>
            </w:pPr>
            <w:r>
              <w:rPr>
                <w:rFonts w:hint="eastAsia"/>
                <w:color w:val="auto"/>
                <w:kern w:val="0"/>
                <w:lang w:val="en-US" w:eastAsia="zh-CN" w:bidi="ar"/>
              </w:rPr>
              <w:t>+720</w:t>
            </w:r>
          </w:p>
        </w:tc>
      </w:tr>
      <w:tr w14:paraId="61EBF7C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jc w:val="center"/>
        </w:trPr>
        <w:tc>
          <w:tcPr>
            <w:tcW w:w="502" w:type="pct"/>
            <w:vMerge w:val="continue"/>
            <w:tcBorders>
              <w:tl2br w:val="nil"/>
              <w:tr2bl w:val="nil"/>
            </w:tcBorders>
            <w:vAlign w:val="center"/>
          </w:tcPr>
          <w:p w14:paraId="7ADF39A4">
            <w:pPr>
              <w:pStyle w:val="277"/>
              <w:keepNext w:val="0"/>
              <w:keepLines w:val="0"/>
              <w:pageBreakBefore w:val="0"/>
              <w:kinsoku/>
              <w:wordWrap/>
              <w:overflowPunct/>
              <w:topLinePunct w:val="0"/>
              <w:autoSpaceDE/>
              <w:autoSpaceDN/>
              <w:bidi w:val="0"/>
              <w:adjustRightInd w:val="0"/>
              <w:snapToGrid w:val="0"/>
              <w:spacing w:beforeLines="0" w:afterLines="0" w:line="240" w:lineRule="auto"/>
              <w:ind w:left="0" w:firstLine="0" w:firstLineChars="0"/>
              <w:rPr>
                <w:rFonts w:ascii="Times New Roman" w:eastAsia="宋体"/>
                <w:color w:val="auto"/>
                <w:spacing w:val="0"/>
                <w:kern w:val="0"/>
                <w:sz w:val="21"/>
                <w:szCs w:val="21"/>
              </w:rPr>
            </w:pPr>
          </w:p>
        </w:tc>
        <w:tc>
          <w:tcPr>
            <w:tcW w:w="889" w:type="pct"/>
            <w:gridSpan w:val="2"/>
            <w:tcBorders>
              <w:tl2br w:val="nil"/>
              <w:tr2bl w:val="nil"/>
            </w:tcBorders>
            <w:vAlign w:val="center"/>
          </w:tcPr>
          <w:p w14:paraId="44EFBDB2">
            <w:pPr>
              <w:keepNext w:val="0"/>
              <w:keepLines w:val="0"/>
              <w:pageBreakBefore w:val="0"/>
              <w:widowControl/>
              <w:kinsoku/>
              <w:wordWrap/>
              <w:overflowPunct/>
              <w:topLinePunct w:val="0"/>
              <w:autoSpaceDE/>
              <w:autoSpaceDN/>
              <w:bidi w:val="0"/>
              <w:adjustRightInd w:val="0"/>
              <w:snapToGrid w:val="0"/>
              <w:jc w:val="center"/>
              <w:rPr>
                <w:color w:val="auto"/>
                <w:spacing w:val="0"/>
                <w:kern w:val="0"/>
              </w:rPr>
            </w:pPr>
            <w:r>
              <w:rPr>
                <w:color w:val="auto"/>
                <w:spacing w:val="0"/>
                <w:kern w:val="0"/>
              </w:rPr>
              <w:t>COD</w:t>
            </w:r>
          </w:p>
        </w:tc>
        <w:tc>
          <w:tcPr>
            <w:tcW w:w="398" w:type="pct"/>
            <w:tcBorders>
              <w:tl2br w:val="nil"/>
              <w:tr2bl w:val="nil"/>
            </w:tcBorders>
            <w:vAlign w:val="center"/>
          </w:tcPr>
          <w:p w14:paraId="2077435E">
            <w:pPr>
              <w:keepNext w:val="0"/>
              <w:keepLines w:val="0"/>
              <w:pageBreakBefore w:val="0"/>
              <w:widowControl/>
              <w:kinsoku/>
              <w:wordWrap/>
              <w:overflowPunct/>
              <w:topLinePunct w:val="0"/>
              <w:autoSpaceDE/>
              <w:autoSpaceDN/>
              <w:bidi w:val="0"/>
              <w:adjustRightInd w:val="0"/>
              <w:snapToGrid w:val="0"/>
              <w:jc w:val="center"/>
              <w:rPr>
                <w:color w:val="auto"/>
                <w:spacing w:val="0"/>
                <w:kern w:val="0"/>
              </w:rPr>
            </w:pPr>
            <w:r>
              <w:rPr>
                <w:color w:val="auto"/>
                <w:spacing w:val="0"/>
                <w:kern w:val="0"/>
              </w:rPr>
              <w:t>/</w:t>
            </w:r>
          </w:p>
        </w:tc>
        <w:tc>
          <w:tcPr>
            <w:tcW w:w="448" w:type="pct"/>
            <w:tcBorders>
              <w:tl2br w:val="nil"/>
              <w:tr2bl w:val="nil"/>
            </w:tcBorders>
            <w:vAlign w:val="center"/>
          </w:tcPr>
          <w:p w14:paraId="260C6ABD">
            <w:pPr>
              <w:keepNext w:val="0"/>
              <w:keepLines w:val="0"/>
              <w:pageBreakBefore w:val="0"/>
              <w:widowControl/>
              <w:kinsoku/>
              <w:wordWrap/>
              <w:overflowPunct/>
              <w:topLinePunct w:val="0"/>
              <w:autoSpaceDE/>
              <w:autoSpaceDN/>
              <w:bidi w:val="0"/>
              <w:adjustRightInd w:val="0"/>
              <w:snapToGrid w:val="0"/>
              <w:jc w:val="center"/>
              <w:rPr>
                <w:color w:val="auto"/>
                <w:spacing w:val="0"/>
                <w:kern w:val="0"/>
              </w:rPr>
            </w:pPr>
            <w:r>
              <w:rPr>
                <w:color w:val="auto"/>
                <w:spacing w:val="0"/>
                <w:kern w:val="0"/>
              </w:rPr>
              <w:t>/</w:t>
            </w:r>
          </w:p>
        </w:tc>
        <w:tc>
          <w:tcPr>
            <w:tcW w:w="498" w:type="pct"/>
            <w:tcBorders>
              <w:tl2br w:val="nil"/>
              <w:tr2bl w:val="nil"/>
            </w:tcBorders>
            <w:vAlign w:val="center"/>
          </w:tcPr>
          <w:p w14:paraId="30D52C16">
            <w:pPr>
              <w:keepNext w:val="0"/>
              <w:keepLines w:val="0"/>
              <w:pageBreakBefore w:val="0"/>
              <w:widowControl/>
              <w:kinsoku/>
              <w:wordWrap/>
              <w:overflowPunct/>
              <w:topLinePunct w:val="0"/>
              <w:autoSpaceDE/>
              <w:autoSpaceDN/>
              <w:bidi w:val="0"/>
              <w:adjustRightInd w:val="0"/>
              <w:snapToGrid w:val="0"/>
              <w:jc w:val="center"/>
              <w:rPr>
                <w:color w:val="auto"/>
                <w:spacing w:val="0"/>
                <w:kern w:val="0"/>
              </w:rPr>
            </w:pPr>
            <w:r>
              <w:rPr>
                <w:color w:val="auto"/>
                <w:spacing w:val="0"/>
                <w:kern w:val="0"/>
              </w:rPr>
              <w:t>/</w:t>
            </w:r>
          </w:p>
        </w:tc>
        <w:tc>
          <w:tcPr>
            <w:tcW w:w="617" w:type="pct"/>
            <w:tcBorders>
              <w:tl2br w:val="nil"/>
              <w:tr2bl w:val="nil"/>
            </w:tcBorders>
            <w:vAlign w:val="center"/>
          </w:tcPr>
          <w:p w14:paraId="2C56656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color w:val="auto"/>
                <w:spacing w:val="0"/>
                <w:kern w:val="0"/>
              </w:rPr>
            </w:pPr>
            <w:r>
              <w:rPr>
                <w:rFonts w:hint="default" w:ascii="Times New Roman" w:hAnsi="Times New Roman" w:eastAsia="宋体" w:cs="Times New Roman"/>
                <w:i w:val="0"/>
                <w:iCs w:val="0"/>
                <w:snapToGrid w:val="0"/>
                <w:color w:val="auto"/>
                <w:kern w:val="0"/>
                <w:sz w:val="21"/>
                <w:szCs w:val="21"/>
                <w:u w:val="none"/>
                <w:lang w:val="en-US" w:eastAsia="zh-CN" w:bidi="ar"/>
              </w:rPr>
              <w:t>0.36</w:t>
            </w:r>
          </w:p>
        </w:tc>
        <w:tc>
          <w:tcPr>
            <w:tcW w:w="574" w:type="pct"/>
            <w:tcBorders>
              <w:tl2br w:val="nil"/>
              <w:tr2bl w:val="nil"/>
            </w:tcBorders>
            <w:vAlign w:val="center"/>
          </w:tcPr>
          <w:p w14:paraId="339685EE">
            <w:pPr>
              <w:keepNext w:val="0"/>
              <w:keepLines w:val="0"/>
              <w:pageBreakBefore w:val="0"/>
              <w:widowControl/>
              <w:kinsoku/>
              <w:wordWrap/>
              <w:overflowPunct/>
              <w:topLinePunct w:val="0"/>
              <w:autoSpaceDE/>
              <w:autoSpaceDN/>
              <w:bidi w:val="0"/>
              <w:adjustRightInd w:val="0"/>
              <w:snapToGrid w:val="0"/>
              <w:jc w:val="center"/>
              <w:rPr>
                <w:color w:val="auto"/>
                <w:spacing w:val="0"/>
                <w:kern w:val="0"/>
              </w:rPr>
            </w:pPr>
            <w:r>
              <w:rPr>
                <w:color w:val="auto"/>
                <w:spacing w:val="0"/>
                <w:kern w:val="0"/>
              </w:rPr>
              <w:t>/</w:t>
            </w:r>
          </w:p>
        </w:tc>
        <w:tc>
          <w:tcPr>
            <w:tcW w:w="632" w:type="pct"/>
            <w:tcBorders>
              <w:tl2br w:val="nil"/>
              <w:tr2bl w:val="nil"/>
            </w:tcBorders>
            <w:vAlign w:val="center"/>
          </w:tcPr>
          <w:p w14:paraId="53EB18B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eastAsia="宋体"/>
                <w:color w:val="auto"/>
                <w:spacing w:val="0"/>
                <w:kern w:val="0"/>
                <w:lang w:val="en-US" w:eastAsia="zh-CN"/>
              </w:rPr>
            </w:pPr>
            <w:r>
              <w:rPr>
                <w:rFonts w:hint="default" w:ascii="Times New Roman" w:hAnsi="Times New Roman" w:eastAsia="宋体" w:cs="Times New Roman"/>
                <w:i w:val="0"/>
                <w:iCs w:val="0"/>
                <w:snapToGrid w:val="0"/>
                <w:color w:val="auto"/>
                <w:kern w:val="0"/>
                <w:sz w:val="21"/>
                <w:szCs w:val="21"/>
                <w:u w:val="none"/>
                <w:lang w:val="en-US" w:eastAsia="zh-CN" w:bidi="ar"/>
              </w:rPr>
              <w:t>0.36</w:t>
            </w:r>
          </w:p>
        </w:tc>
        <w:tc>
          <w:tcPr>
            <w:tcW w:w="438" w:type="pct"/>
            <w:tcBorders>
              <w:tl2br w:val="nil"/>
              <w:tr2bl w:val="nil"/>
            </w:tcBorders>
            <w:vAlign w:val="center"/>
          </w:tcPr>
          <w:p w14:paraId="034AC97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eastAsia="仿宋"/>
                <w:color w:val="auto"/>
                <w:spacing w:val="0"/>
                <w:kern w:val="0"/>
                <w:lang w:val="en-US" w:eastAsia="zh-CN"/>
              </w:rPr>
            </w:pPr>
            <w:r>
              <w:rPr>
                <w:rFonts w:hint="eastAsia" w:ascii="Times New Roman" w:hAnsi="Times New Roman" w:eastAsia="宋体" w:cs="Times New Roman"/>
                <w:i w:val="0"/>
                <w:iCs w:val="0"/>
                <w:snapToGrid w:val="0"/>
                <w:color w:val="auto"/>
                <w:kern w:val="0"/>
                <w:sz w:val="21"/>
                <w:szCs w:val="21"/>
                <w:u w:val="none"/>
                <w:lang w:val="en-US" w:eastAsia="zh-CN" w:bidi="ar"/>
              </w:rPr>
              <w:t>+</w:t>
            </w:r>
            <w:r>
              <w:rPr>
                <w:rFonts w:hint="default" w:ascii="Times New Roman" w:hAnsi="Times New Roman" w:eastAsia="宋体" w:cs="Times New Roman"/>
                <w:i w:val="0"/>
                <w:iCs w:val="0"/>
                <w:snapToGrid w:val="0"/>
                <w:color w:val="auto"/>
                <w:kern w:val="0"/>
                <w:sz w:val="21"/>
                <w:szCs w:val="21"/>
                <w:u w:val="none"/>
                <w:lang w:val="en-US" w:eastAsia="zh-CN" w:bidi="ar"/>
              </w:rPr>
              <w:t>0.36</w:t>
            </w:r>
          </w:p>
        </w:tc>
      </w:tr>
      <w:tr w14:paraId="0CD6833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jc w:val="center"/>
        </w:trPr>
        <w:tc>
          <w:tcPr>
            <w:tcW w:w="502" w:type="pct"/>
            <w:vMerge w:val="continue"/>
            <w:tcBorders>
              <w:tl2br w:val="nil"/>
              <w:tr2bl w:val="nil"/>
            </w:tcBorders>
            <w:vAlign w:val="center"/>
          </w:tcPr>
          <w:p w14:paraId="4359963C">
            <w:pPr>
              <w:pStyle w:val="277"/>
              <w:keepNext w:val="0"/>
              <w:keepLines w:val="0"/>
              <w:pageBreakBefore w:val="0"/>
              <w:kinsoku/>
              <w:wordWrap/>
              <w:overflowPunct/>
              <w:topLinePunct w:val="0"/>
              <w:autoSpaceDE/>
              <w:autoSpaceDN/>
              <w:bidi w:val="0"/>
              <w:adjustRightInd w:val="0"/>
              <w:snapToGrid w:val="0"/>
              <w:spacing w:beforeLines="0" w:afterLines="0" w:line="240" w:lineRule="auto"/>
              <w:ind w:left="0" w:firstLine="0" w:firstLineChars="0"/>
              <w:rPr>
                <w:rFonts w:ascii="Times New Roman" w:eastAsia="宋体"/>
                <w:color w:val="auto"/>
                <w:spacing w:val="0"/>
                <w:kern w:val="0"/>
                <w:sz w:val="21"/>
                <w:szCs w:val="21"/>
              </w:rPr>
            </w:pPr>
          </w:p>
        </w:tc>
        <w:tc>
          <w:tcPr>
            <w:tcW w:w="889" w:type="pct"/>
            <w:gridSpan w:val="2"/>
            <w:tcBorders>
              <w:tl2br w:val="nil"/>
              <w:tr2bl w:val="nil"/>
            </w:tcBorders>
            <w:vAlign w:val="center"/>
          </w:tcPr>
          <w:p w14:paraId="4BA3A824">
            <w:pPr>
              <w:keepNext w:val="0"/>
              <w:keepLines w:val="0"/>
              <w:pageBreakBefore w:val="0"/>
              <w:widowControl/>
              <w:kinsoku/>
              <w:wordWrap/>
              <w:overflowPunct/>
              <w:topLinePunct w:val="0"/>
              <w:autoSpaceDE/>
              <w:autoSpaceDN/>
              <w:bidi w:val="0"/>
              <w:adjustRightInd w:val="0"/>
              <w:snapToGrid w:val="0"/>
              <w:jc w:val="center"/>
              <w:rPr>
                <w:color w:val="auto"/>
                <w:spacing w:val="0"/>
                <w:kern w:val="0"/>
              </w:rPr>
            </w:pPr>
            <w:r>
              <w:rPr>
                <w:color w:val="auto"/>
                <w:spacing w:val="0"/>
                <w:kern w:val="0"/>
              </w:rPr>
              <w:t>SS</w:t>
            </w:r>
          </w:p>
        </w:tc>
        <w:tc>
          <w:tcPr>
            <w:tcW w:w="398" w:type="pct"/>
            <w:tcBorders>
              <w:tl2br w:val="nil"/>
              <w:tr2bl w:val="nil"/>
            </w:tcBorders>
            <w:vAlign w:val="center"/>
          </w:tcPr>
          <w:p w14:paraId="7281B1FB">
            <w:pPr>
              <w:keepNext w:val="0"/>
              <w:keepLines w:val="0"/>
              <w:pageBreakBefore w:val="0"/>
              <w:widowControl/>
              <w:kinsoku/>
              <w:wordWrap/>
              <w:overflowPunct/>
              <w:topLinePunct w:val="0"/>
              <w:autoSpaceDE/>
              <w:autoSpaceDN/>
              <w:bidi w:val="0"/>
              <w:adjustRightInd w:val="0"/>
              <w:snapToGrid w:val="0"/>
              <w:jc w:val="center"/>
              <w:rPr>
                <w:color w:val="auto"/>
                <w:spacing w:val="0"/>
                <w:kern w:val="0"/>
              </w:rPr>
            </w:pPr>
            <w:r>
              <w:rPr>
                <w:color w:val="auto"/>
                <w:spacing w:val="0"/>
                <w:kern w:val="0"/>
              </w:rPr>
              <w:t>/</w:t>
            </w:r>
          </w:p>
        </w:tc>
        <w:tc>
          <w:tcPr>
            <w:tcW w:w="448" w:type="pct"/>
            <w:tcBorders>
              <w:tl2br w:val="nil"/>
              <w:tr2bl w:val="nil"/>
            </w:tcBorders>
            <w:vAlign w:val="center"/>
          </w:tcPr>
          <w:p w14:paraId="2FEE1495">
            <w:pPr>
              <w:keepNext w:val="0"/>
              <w:keepLines w:val="0"/>
              <w:pageBreakBefore w:val="0"/>
              <w:widowControl/>
              <w:kinsoku/>
              <w:wordWrap/>
              <w:overflowPunct/>
              <w:topLinePunct w:val="0"/>
              <w:autoSpaceDE/>
              <w:autoSpaceDN/>
              <w:bidi w:val="0"/>
              <w:adjustRightInd w:val="0"/>
              <w:snapToGrid w:val="0"/>
              <w:jc w:val="center"/>
              <w:rPr>
                <w:color w:val="auto"/>
                <w:spacing w:val="0"/>
                <w:kern w:val="0"/>
              </w:rPr>
            </w:pPr>
            <w:r>
              <w:rPr>
                <w:color w:val="auto"/>
                <w:spacing w:val="0"/>
                <w:kern w:val="0"/>
              </w:rPr>
              <w:t>/</w:t>
            </w:r>
          </w:p>
        </w:tc>
        <w:tc>
          <w:tcPr>
            <w:tcW w:w="498" w:type="pct"/>
            <w:tcBorders>
              <w:tl2br w:val="nil"/>
              <w:tr2bl w:val="nil"/>
            </w:tcBorders>
            <w:vAlign w:val="center"/>
          </w:tcPr>
          <w:p w14:paraId="7ACA296A">
            <w:pPr>
              <w:keepNext w:val="0"/>
              <w:keepLines w:val="0"/>
              <w:pageBreakBefore w:val="0"/>
              <w:widowControl/>
              <w:kinsoku/>
              <w:wordWrap/>
              <w:overflowPunct/>
              <w:topLinePunct w:val="0"/>
              <w:autoSpaceDE/>
              <w:autoSpaceDN/>
              <w:bidi w:val="0"/>
              <w:adjustRightInd w:val="0"/>
              <w:snapToGrid w:val="0"/>
              <w:jc w:val="center"/>
              <w:rPr>
                <w:color w:val="auto"/>
                <w:spacing w:val="0"/>
                <w:kern w:val="0"/>
              </w:rPr>
            </w:pPr>
            <w:r>
              <w:rPr>
                <w:color w:val="auto"/>
                <w:spacing w:val="0"/>
                <w:kern w:val="0"/>
              </w:rPr>
              <w:t>/</w:t>
            </w:r>
          </w:p>
        </w:tc>
        <w:tc>
          <w:tcPr>
            <w:tcW w:w="617" w:type="pct"/>
            <w:tcBorders>
              <w:tl2br w:val="nil"/>
              <w:tr2bl w:val="nil"/>
            </w:tcBorders>
            <w:vAlign w:val="center"/>
          </w:tcPr>
          <w:p w14:paraId="11B6638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color w:val="auto"/>
                <w:spacing w:val="0"/>
                <w:kern w:val="0"/>
              </w:rPr>
            </w:pPr>
            <w:r>
              <w:rPr>
                <w:rFonts w:hint="default" w:ascii="Times New Roman" w:hAnsi="Times New Roman" w:eastAsia="宋体" w:cs="Times New Roman"/>
                <w:i w:val="0"/>
                <w:iCs w:val="0"/>
                <w:snapToGrid w:val="0"/>
                <w:color w:val="auto"/>
                <w:kern w:val="0"/>
                <w:sz w:val="21"/>
                <w:szCs w:val="21"/>
                <w:u w:val="none"/>
                <w:lang w:val="en-US" w:eastAsia="zh-CN" w:bidi="ar"/>
              </w:rPr>
              <w:t>0.18</w:t>
            </w:r>
          </w:p>
        </w:tc>
        <w:tc>
          <w:tcPr>
            <w:tcW w:w="574" w:type="pct"/>
            <w:tcBorders>
              <w:tl2br w:val="nil"/>
              <w:tr2bl w:val="nil"/>
            </w:tcBorders>
            <w:vAlign w:val="center"/>
          </w:tcPr>
          <w:p w14:paraId="0D0B987C">
            <w:pPr>
              <w:keepNext w:val="0"/>
              <w:keepLines w:val="0"/>
              <w:pageBreakBefore w:val="0"/>
              <w:widowControl/>
              <w:kinsoku/>
              <w:wordWrap/>
              <w:overflowPunct/>
              <w:topLinePunct w:val="0"/>
              <w:autoSpaceDE/>
              <w:autoSpaceDN/>
              <w:bidi w:val="0"/>
              <w:adjustRightInd w:val="0"/>
              <w:snapToGrid w:val="0"/>
              <w:jc w:val="center"/>
              <w:rPr>
                <w:color w:val="auto"/>
                <w:spacing w:val="0"/>
                <w:kern w:val="0"/>
              </w:rPr>
            </w:pPr>
            <w:r>
              <w:rPr>
                <w:color w:val="auto"/>
                <w:spacing w:val="0"/>
                <w:kern w:val="0"/>
              </w:rPr>
              <w:t>/</w:t>
            </w:r>
          </w:p>
        </w:tc>
        <w:tc>
          <w:tcPr>
            <w:tcW w:w="632" w:type="pct"/>
            <w:tcBorders>
              <w:tl2br w:val="nil"/>
              <w:tr2bl w:val="nil"/>
            </w:tcBorders>
            <w:vAlign w:val="center"/>
          </w:tcPr>
          <w:p w14:paraId="4B2F416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eastAsia="宋体"/>
                <w:color w:val="auto"/>
                <w:spacing w:val="0"/>
                <w:kern w:val="0"/>
                <w:lang w:val="en-US" w:eastAsia="zh-CN"/>
              </w:rPr>
            </w:pPr>
            <w:r>
              <w:rPr>
                <w:rFonts w:hint="default" w:ascii="Times New Roman" w:hAnsi="Times New Roman" w:eastAsia="宋体" w:cs="Times New Roman"/>
                <w:i w:val="0"/>
                <w:iCs w:val="0"/>
                <w:snapToGrid w:val="0"/>
                <w:color w:val="auto"/>
                <w:kern w:val="0"/>
                <w:sz w:val="21"/>
                <w:szCs w:val="21"/>
                <w:u w:val="none"/>
                <w:lang w:val="en-US" w:eastAsia="zh-CN" w:bidi="ar"/>
              </w:rPr>
              <w:t>0.18</w:t>
            </w:r>
          </w:p>
        </w:tc>
        <w:tc>
          <w:tcPr>
            <w:tcW w:w="438" w:type="pct"/>
            <w:tcBorders>
              <w:tl2br w:val="nil"/>
              <w:tr2bl w:val="nil"/>
            </w:tcBorders>
            <w:vAlign w:val="center"/>
          </w:tcPr>
          <w:p w14:paraId="737D443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eastAsia="仿宋"/>
                <w:color w:val="auto"/>
                <w:spacing w:val="0"/>
                <w:kern w:val="0"/>
                <w:lang w:val="en-US" w:eastAsia="zh-CN"/>
              </w:rPr>
            </w:pPr>
            <w:r>
              <w:rPr>
                <w:rFonts w:hint="eastAsia" w:ascii="Times New Roman" w:hAnsi="Times New Roman" w:eastAsia="宋体" w:cs="Times New Roman"/>
                <w:i w:val="0"/>
                <w:iCs w:val="0"/>
                <w:snapToGrid w:val="0"/>
                <w:color w:val="auto"/>
                <w:kern w:val="0"/>
                <w:sz w:val="21"/>
                <w:szCs w:val="21"/>
                <w:u w:val="none"/>
                <w:lang w:val="en-US" w:eastAsia="zh-CN" w:bidi="ar"/>
              </w:rPr>
              <w:t>+</w:t>
            </w:r>
            <w:r>
              <w:rPr>
                <w:rFonts w:hint="default" w:ascii="Times New Roman" w:hAnsi="Times New Roman" w:eastAsia="宋体" w:cs="Times New Roman"/>
                <w:i w:val="0"/>
                <w:iCs w:val="0"/>
                <w:snapToGrid w:val="0"/>
                <w:color w:val="auto"/>
                <w:kern w:val="0"/>
                <w:sz w:val="21"/>
                <w:szCs w:val="21"/>
                <w:u w:val="none"/>
                <w:lang w:val="en-US" w:eastAsia="zh-CN" w:bidi="ar"/>
              </w:rPr>
              <w:t>0.18</w:t>
            </w:r>
          </w:p>
        </w:tc>
      </w:tr>
      <w:tr w14:paraId="76ECE10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jc w:val="center"/>
        </w:trPr>
        <w:tc>
          <w:tcPr>
            <w:tcW w:w="502" w:type="pct"/>
            <w:vMerge w:val="continue"/>
            <w:tcBorders>
              <w:tl2br w:val="nil"/>
              <w:tr2bl w:val="nil"/>
            </w:tcBorders>
            <w:vAlign w:val="center"/>
          </w:tcPr>
          <w:p w14:paraId="50F9EA2C">
            <w:pPr>
              <w:pStyle w:val="277"/>
              <w:keepNext w:val="0"/>
              <w:keepLines w:val="0"/>
              <w:pageBreakBefore w:val="0"/>
              <w:kinsoku/>
              <w:wordWrap/>
              <w:overflowPunct/>
              <w:topLinePunct w:val="0"/>
              <w:autoSpaceDE/>
              <w:autoSpaceDN/>
              <w:bidi w:val="0"/>
              <w:adjustRightInd w:val="0"/>
              <w:snapToGrid w:val="0"/>
              <w:spacing w:beforeLines="0" w:afterLines="0" w:line="240" w:lineRule="auto"/>
              <w:ind w:left="0" w:firstLine="0" w:firstLineChars="0"/>
              <w:rPr>
                <w:rFonts w:ascii="Times New Roman" w:eastAsia="宋体"/>
                <w:color w:val="auto"/>
                <w:spacing w:val="0"/>
                <w:kern w:val="0"/>
                <w:sz w:val="21"/>
                <w:szCs w:val="21"/>
              </w:rPr>
            </w:pPr>
          </w:p>
        </w:tc>
        <w:tc>
          <w:tcPr>
            <w:tcW w:w="889" w:type="pct"/>
            <w:gridSpan w:val="2"/>
            <w:tcBorders>
              <w:tl2br w:val="nil"/>
              <w:tr2bl w:val="nil"/>
            </w:tcBorders>
            <w:vAlign w:val="center"/>
          </w:tcPr>
          <w:p w14:paraId="742D1A6C">
            <w:pPr>
              <w:keepNext w:val="0"/>
              <w:keepLines w:val="0"/>
              <w:pageBreakBefore w:val="0"/>
              <w:widowControl/>
              <w:kinsoku/>
              <w:wordWrap/>
              <w:overflowPunct/>
              <w:topLinePunct w:val="0"/>
              <w:autoSpaceDE/>
              <w:autoSpaceDN/>
              <w:bidi w:val="0"/>
              <w:adjustRightInd w:val="0"/>
              <w:snapToGrid w:val="0"/>
              <w:jc w:val="center"/>
              <w:rPr>
                <w:color w:val="auto"/>
                <w:spacing w:val="0"/>
                <w:kern w:val="0"/>
              </w:rPr>
            </w:pPr>
            <w:r>
              <w:rPr>
                <w:color w:val="auto"/>
                <w:spacing w:val="0"/>
                <w:kern w:val="0"/>
              </w:rPr>
              <w:t>NH</w:t>
            </w:r>
            <w:r>
              <w:rPr>
                <w:color w:val="auto"/>
                <w:spacing w:val="0"/>
                <w:kern w:val="0"/>
                <w:vertAlign w:val="subscript"/>
              </w:rPr>
              <w:t>3</w:t>
            </w:r>
            <w:r>
              <w:rPr>
                <w:color w:val="auto"/>
                <w:spacing w:val="0"/>
                <w:kern w:val="0"/>
              </w:rPr>
              <w:t>-N</w:t>
            </w:r>
          </w:p>
        </w:tc>
        <w:tc>
          <w:tcPr>
            <w:tcW w:w="398" w:type="pct"/>
            <w:tcBorders>
              <w:tl2br w:val="nil"/>
              <w:tr2bl w:val="nil"/>
            </w:tcBorders>
            <w:vAlign w:val="center"/>
          </w:tcPr>
          <w:p w14:paraId="092B953B">
            <w:pPr>
              <w:keepNext w:val="0"/>
              <w:keepLines w:val="0"/>
              <w:pageBreakBefore w:val="0"/>
              <w:widowControl/>
              <w:kinsoku/>
              <w:wordWrap/>
              <w:overflowPunct/>
              <w:topLinePunct w:val="0"/>
              <w:autoSpaceDE/>
              <w:autoSpaceDN/>
              <w:bidi w:val="0"/>
              <w:adjustRightInd w:val="0"/>
              <w:snapToGrid w:val="0"/>
              <w:jc w:val="center"/>
              <w:rPr>
                <w:color w:val="auto"/>
                <w:spacing w:val="0"/>
                <w:kern w:val="0"/>
              </w:rPr>
            </w:pPr>
          </w:p>
        </w:tc>
        <w:tc>
          <w:tcPr>
            <w:tcW w:w="448" w:type="pct"/>
            <w:tcBorders>
              <w:tl2br w:val="nil"/>
              <w:tr2bl w:val="nil"/>
            </w:tcBorders>
            <w:vAlign w:val="center"/>
          </w:tcPr>
          <w:p w14:paraId="3A0CAA74">
            <w:pPr>
              <w:keepNext w:val="0"/>
              <w:keepLines w:val="0"/>
              <w:pageBreakBefore w:val="0"/>
              <w:widowControl/>
              <w:kinsoku/>
              <w:wordWrap/>
              <w:overflowPunct/>
              <w:topLinePunct w:val="0"/>
              <w:autoSpaceDE/>
              <w:autoSpaceDN/>
              <w:bidi w:val="0"/>
              <w:adjustRightInd w:val="0"/>
              <w:snapToGrid w:val="0"/>
              <w:jc w:val="center"/>
              <w:rPr>
                <w:color w:val="auto"/>
                <w:spacing w:val="0"/>
                <w:kern w:val="0"/>
              </w:rPr>
            </w:pPr>
            <w:r>
              <w:rPr>
                <w:color w:val="auto"/>
                <w:spacing w:val="0"/>
                <w:kern w:val="0"/>
              </w:rPr>
              <w:t>/</w:t>
            </w:r>
          </w:p>
        </w:tc>
        <w:tc>
          <w:tcPr>
            <w:tcW w:w="498" w:type="pct"/>
            <w:tcBorders>
              <w:tl2br w:val="nil"/>
              <w:tr2bl w:val="nil"/>
            </w:tcBorders>
            <w:vAlign w:val="center"/>
          </w:tcPr>
          <w:p w14:paraId="49913210">
            <w:pPr>
              <w:keepNext w:val="0"/>
              <w:keepLines w:val="0"/>
              <w:pageBreakBefore w:val="0"/>
              <w:widowControl/>
              <w:kinsoku/>
              <w:wordWrap/>
              <w:overflowPunct/>
              <w:topLinePunct w:val="0"/>
              <w:autoSpaceDE/>
              <w:autoSpaceDN/>
              <w:bidi w:val="0"/>
              <w:adjustRightInd w:val="0"/>
              <w:snapToGrid w:val="0"/>
              <w:jc w:val="center"/>
              <w:rPr>
                <w:color w:val="auto"/>
                <w:spacing w:val="0"/>
                <w:kern w:val="0"/>
              </w:rPr>
            </w:pPr>
            <w:r>
              <w:rPr>
                <w:color w:val="auto"/>
                <w:spacing w:val="0"/>
                <w:kern w:val="0"/>
              </w:rPr>
              <w:t>/</w:t>
            </w:r>
          </w:p>
        </w:tc>
        <w:tc>
          <w:tcPr>
            <w:tcW w:w="617" w:type="pct"/>
            <w:tcBorders>
              <w:tl2br w:val="nil"/>
              <w:tr2bl w:val="nil"/>
            </w:tcBorders>
            <w:vAlign w:val="center"/>
          </w:tcPr>
          <w:p w14:paraId="1523EB4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color w:val="auto"/>
                <w:spacing w:val="0"/>
                <w:kern w:val="0"/>
              </w:rPr>
            </w:pPr>
            <w:r>
              <w:rPr>
                <w:rFonts w:hint="default" w:ascii="Times New Roman" w:hAnsi="Times New Roman" w:eastAsia="宋体" w:cs="Times New Roman"/>
                <w:i w:val="0"/>
                <w:iCs w:val="0"/>
                <w:snapToGrid w:val="0"/>
                <w:color w:val="auto"/>
                <w:kern w:val="0"/>
                <w:sz w:val="21"/>
                <w:szCs w:val="21"/>
                <w:u w:val="none"/>
                <w:lang w:val="en-US" w:eastAsia="zh-CN" w:bidi="ar"/>
              </w:rPr>
              <w:t>0.0252</w:t>
            </w:r>
          </w:p>
        </w:tc>
        <w:tc>
          <w:tcPr>
            <w:tcW w:w="574" w:type="pct"/>
            <w:tcBorders>
              <w:tl2br w:val="nil"/>
              <w:tr2bl w:val="nil"/>
            </w:tcBorders>
            <w:vAlign w:val="center"/>
          </w:tcPr>
          <w:p w14:paraId="5190BD6A">
            <w:pPr>
              <w:keepNext w:val="0"/>
              <w:keepLines w:val="0"/>
              <w:pageBreakBefore w:val="0"/>
              <w:widowControl/>
              <w:kinsoku/>
              <w:wordWrap/>
              <w:overflowPunct/>
              <w:topLinePunct w:val="0"/>
              <w:autoSpaceDE/>
              <w:autoSpaceDN/>
              <w:bidi w:val="0"/>
              <w:adjustRightInd w:val="0"/>
              <w:snapToGrid w:val="0"/>
              <w:jc w:val="center"/>
              <w:rPr>
                <w:color w:val="auto"/>
                <w:spacing w:val="0"/>
                <w:kern w:val="0"/>
              </w:rPr>
            </w:pPr>
            <w:r>
              <w:rPr>
                <w:color w:val="auto"/>
                <w:spacing w:val="0"/>
                <w:kern w:val="0"/>
              </w:rPr>
              <w:t>/</w:t>
            </w:r>
          </w:p>
        </w:tc>
        <w:tc>
          <w:tcPr>
            <w:tcW w:w="632" w:type="pct"/>
            <w:tcBorders>
              <w:tl2br w:val="nil"/>
              <w:tr2bl w:val="nil"/>
            </w:tcBorders>
            <w:vAlign w:val="center"/>
          </w:tcPr>
          <w:p w14:paraId="0456441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eastAsia="仿宋"/>
                <w:color w:val="auto"/>
                <w:spacing w:val="0"/>
                <w:kern w:val="0"/>
                <w:lang w:val="en-US" w:eastAsia="zh-CN"/>
              </w:rPr>
            </w:pPr>
            <w:r>
              <w:rPr>
                <w:rFonts w:hint="default" w:ascii="Times New Roman" w:hAnsi="Times New Roman" w:eastAsia="宋体" w:cs="Times New Roman"/>
                <w:i w:val="0"/>
                <w:iCs w:val="0"/>
                <w:snapToGrid w:val="0"/>
                <w:color w:val="auto"/>
                <w:kern w:val="0"/>
                <w:sz w:val="21"/>
                <w:szCs w:val="21"/>
                <w:u w:val="none"/>
                <w:lang w:val="en-US" w:eastAsia="zh-CN" w:bidi="ar"/>
              </w:rPr>
              <w:t>0.0252</w:t>
            </w:r>
          </w:p>
        </w:tc>
        <w:tc>
          <w:tcPr>
            <w:tcW w:w="438" w:type="pct"/>
            <w:tcBorders>
              <w:tl2br w:val="nil"/>
              <w:tr2bl w:val="nil"/>
            </w:tcBorders>
            <w:vAlign w:val="center"/>
          </w:tcPr>
          <w:p w14:paraId="4C6FEE9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eastAsia="仿宋"/>
                <w:color w:val="auto"/>
                <w:spacing w:val="0"/>
                <w:kern w:val="0"/>
                <w:lang w:val="en-US" w:eastAsia="zh-CN"/>
              </w:rPr>
            </w:pPr>
            <w:r>
              <w:rPr>
                <w:rFonts w:hint="eastAsia" w:ascii="Times New Roman" w:hAnsi="Times New Roman" w:eastAsia="宋体" w:cs="Times New Roman"/>
                <w:i w:val="0"/>
                <w:iCs w:val="0"/>
                <w:snapToGrid w:val="0"/>
                <w:color w:val="auto"/>
                <w:kern w:val="0"/>
                <w:sz w:val="21"/>
                <w:szCs w:val="21"/>
                <w:u w:val="none"/>
                <w:lang w:val="en-US" w:eastAsia="zh-CN" w:bidi="ar"/>
              </w:rPr>
              <w:t>+</w:t>
            </w:r>
            <w:r>
              <w:rPr>
                <w:rFonts w:hint="default" w:ascii="Times New Roman" w:hAnsi="Times New Roman" w:eastAsia="宋体" w:cs="Times New Roman"/>
                <w:i w:val="0"/>
                <w:iCs w:val="0"/>
                <w:snapToGrid w:val="0"/>
                <w:color w:val="auto"/>
                <w:kern w:val="0"/>
                <w:sz w:val="21"/>
                <w:szCs w:val="21"/>
                <w:u w:val="none"/>
                <w:lang w:val="en-US" w:eastAsia="zh-CN" w:bidi="ar"/>
              </w:rPr>
              <w:t>0.0252</w:t>
            </w:r>
          </w:p>
        </w:tc>
      </w:tr>
      <w:tr w14:paraId="4E2670A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jc w:val="center"/>
        </w:trPr>
        <w:tc>
          <w:tcPr>
            <w:tcW w:w="502" w:type="pct"/>
            <w:vMerge w:val="continue"/>
            <w:tcBorders>
              <w:tl2br w:val="nil"/>
              <w:tr2bl w:val="nil"/>
            </w:tcBorders>
            <w:vAlign w:val="center"/>
          </w:tcPr>
          <w:p w14:paraId="74B5EE05">
            <w:pPr>
              <w:pStyle w:val="277"/>
              <w:keepNext w:val="0"/>
              <w:keepLines w:val="0"/>
              <w:pageBreakBefore w:val="0"/>
              <w:kinsoku/>
              <w:wordWrap/>
              <w:overflowPunct/>
              <w:topLinePunct w:val="0"/>
              <w:autoSpaceDE/>
              <w:autoSpaceDN/>
              <w:bidi w:val="0"/>
              <w:adjustRightInd w:val="0"/>
              <w:snapToGrid w:val="0"/>
              <w:spacing w:beforeLines="0" w:afterLines="0" w:line="240" w:lineRule="auto"/>
              <w:ind w:left="0" w:firstLine="0" w:firstLineChars="0"/>
              <w:rPr>
                <w:rFonts w:ascii="Times New Roman" w:eastAsia="宋体"/>
                <w:color w:val="auto"/>
                <w:spacing w:val="0"/>
                <w:kern w:val="0"/>
                <w:sz w:val="21"/>
                <w:szCs w:val="21"/>
              </w:rPr>
            </w:pPr>
          </w:p>
        </w:tc>
        <w:tc>
          <w:tcPr>
            <w:tcW w:w="889" w:type="pct"/>
            <w:gridSpan w:val="2"/>
            <w:tcBorders>
              <w:tl2br w:val="nil"/>
              <w:tr2bl w:val="nil"/>
            </w:tcBorders>
            <w:vAlign w:val="center"/>
          </w:tcPr>
          <w:p w14:paraId="33653F6B">
            <w:pPr>
              <w:keepNext w:val="0"/>
              <w:keepLines w:val="0"/>
              <w:pageBreakBefore w:val="0"/>
              <w:kinsoku/>
              <w:wordWrap/>
              <w:overflowPunct/>
              <w:topLinePunct w:val="0"/>
              <w:autoSpaceDE/>
              <w:autoSpaceDN/>
              <w:bidi w:val="0"/>
              <w:adjustRightInd w:val="0"/>
              <w:snapToGrid w:val="0"/>
              <w:jc w:val="center"/>
              <w:textAlignment w:val="center"/>
              <w:rPr>
                <w:color w:val="auto"/>
                <w:spacing w:val="0"/>
                <w:kern w:val="0"/>
              </w:rPr>
            </w:pPr>
            <w:r>
              <w:rPr>
                <w:color w:val="auto"/>
                <w:spacing w:val="0"/>
                <w:kern w:val="0"/>
              </w:rPr>
              <w:t>TP</w:t>
            </w:r>
          </w:p>
        </w:tc>
        <w:tc>
          <w:tcPr>
            <w:tcW w:w="398" w:type="pct"/>
            <w:tcBorders>
              <w:tl2br w:val="nil"/>
              <w:tr2bl w:val="nil"/>
            </w:tcBorders>
            <w:vAlign w:val="center"/>
          </w:tcPr>
          <w:p w14:paraId="0414223C">
            <w:pPr>
              <w:keepNext w:val="0"/>
              <w:keepLines w:val="0"/>
              <w:pageBreakBefore w:val="0"/>
              <w:widowControl/>
              <w:kinsoku/>
              <w:wordWrap/>
              <w:overflowPunct/>
              <w:topLinePunct w:val="0"/>
              <w:autoSpaceDE/>
              <w:autoSpaceDN/>
              <w:bidi w:val="0"/>
              <w:adjustRightInd w:val="0"/>
              <w:snapToGrid w:val="0"/>
              <w:jc w:val="center"/>
              <w:rPr>
                <w:color w:val="auto"/>
                <w:spacing w:val="0"/>
                <w:kern w:val="0"/>
              </w:rPr>
            </w:pPr>
            <w:r>
              <w:rPr>
                <w:color w:val="auto"/>
                <w:spacing w:val="0"/>
                <w:kern w:val="0"/>
              </w:rPr>
              <w:t>/</w:t>
            </w:r>
          </w:p>
        </w:tc>
        <w:tc>
          <w:tcPr>
            <w:tcW w:w="448" w:type="pct"/>
            <w:tcBorders>
              <w:tl2br w:val="nil"/>
              <w:tr2bl w:val="nil"/>
            </w:tcBorders>
            <w:vAlign w:val="center"/>
          </w:tcPr>
          <w:p w14:paraId="324566CC">
            <w:pPr>
              <w:keepNext w:val="0"/>
              <w:keepLines w:val="0"/>
              <w:pageBreakBefore w:val="0"/>
              <w:widowControl/>
              <w:kinsoku/>
              <w:wordWrap/>
              <w:overflowPunct/>
              <w:topLinePunct w:val="0"/>
              <w:autoSpaceDE/>
              <w:autoSpaceDN/>
              <w:bidi w:val="0"/>
              <w:adjustRightInd w:val="0"/>
              <w:snapToGrid w:val="0"/>
              <w:jc w:val="center"/>
              <w:rPr>
                <w:color w:val="auto"/>
                <w:spacing w:val="0"/>
                <w:kern w:val="0"/>
              </w:rPr>
            </w:pPr>
            <w:r>
              <w:rPr>
                <w:color w:val="auto"/>
                <w:spacing w:val="0"/>
                <w:kern w:val="0"/>
              </w:rPr>
              <w:t>/</w:t>
            </w:r>
          </w:p>
        </w:tc>
        <w:tc>
          <w:tcPr>
            <w:tcW w:w="498" w:type="pct"/>
            <w:tcBorders>
              <w:tl2br w:val="nil"/>
              <w:tr2bl w:val="nil"/>
            </w:tcBorders>
            <w:vAlign w:val="center"/>
          </w:tcPr>
          <w:p w14:paraId="28B00D4C">
            <w:pPr>
              <w:keepNext w:val="0"/>
              <w:keepLines w:val="0"/>
              <w:pageBreakBefore w:val="0"/>
              <w:widowControl/>
              <w:kinsoku/>
              <w:wordWrap/>
              <w:overflowPunct/>
              <w:topLinePunct w:val="0"/>
              <w:autoSpaceDE/>
              <w:autoSpaceDN/>
              <w:bidi w:val="0"/>
              <w:adjustRightInd w:val="0"/>
              <w:snapToGrid w:val="0"/>
              <w:jc w:val="center"/>
              <w:rPr>
                <w:color w:val="auto"/>
                <w:spacing w:val="0"/>
                <w:kern w:val="0"/>
              </w:rPr>
            </w:pPr>
            <w:r>
              <w:rPr>
                <w:color w:val="auto"/>
                <w:spacing w:val="0"/>
                <w:kern w:val="0"/>
              </w:rPr>
              <w:t>/</w:t>
            </w:r>
          </w:p>
        </w:tc>
        <w:tc>
          <w:tcPr>
            <w:tcW w:w="617" w:type="pct"/>
            <w:tcBorders>
              <w:tl2br w:val="nil"/>
              <w:tr2bl w:val="nil"/>
            </w:tcBorders>
            <w:vAlign w:val="center"/>
          </w:tcPr>
          <w:p w14:paraId="3C2A6FD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color w:val="auto"/>
                <w:spacing w:val="0"/>
                <w:kern w:val="0"/>
              </w:rPr>
            </w:pPr>
            <w:r>
              <w:rPr>
                <w:rFonts w:hint="default" w:ascii="Times New Roman" w:hAnsi="Times New Roman" w:eastAsia="宋体" w:cs="Times New Roman"/>
                <w:i w:val="0"/>
                <w:iCs w:val="0"/>
                <w:snapToGrid w:val="0"/>
                <w:color w:val="auto"/>
                <w:kern w:val="0"/>
                <w:sz w:val="21"/>
                <w:szCs w:val="21"/>
                <w:u w:val="none"/>
                <w:lang w:val="en-US" w:eastAsia="zh-CN" w:bidi="ar"/>
              </w:rPr>
              <w:t>0.00216</w:t>
            </w:r>
          </w:p>
        </w:tc>
        <w:tc>
          <w:tcPr>
            <w:tcW w:w="574" w:type="pct"/>
            <w:tcBorders>
              <w:tl2br w:val="nil"/>
              <w:tr2bl w:val="nil"/>
            </w:tcBorders>
            <w:vAlign w:val="center"/>
          </w:tcPr>
          <w:p w14:paraId="0FDEB68E">
            <w:pPr>
              <w:keepNext w:val="0"/>
              <w:keepLines w:val="0"/>
              <w:pageBreakBefore w:val="0"/>
              <w:widowControl/>
              <w:kinsoku/>
              <w:wordWrap/>
              <w:overflowPunct/>
              <w:topLinePunct w:val="0"/>
              <w:autoSpaceDE/>
              <w:autoSpaceDN/>
              <w:bidi w:val="0"/>
              <w:adjustRightInd w:val="0"/>
              <w:snapToGrid w:val="0"/>
              <w:jc w:val="center"/>
              <w:rPr>
                <w:color w:val="auto"/>
                <w:spacing w:val="0"/>
                <w:kern w:val="0"/>
              </w:rPr>
            </w:pPr>
            <w:r>
              <w:rPr>
                <w:color w:val="auto"/>
                <w:spacing w:val="0"/>
                <w:kern w:val="0"/>
              </w:rPr>
              <w:t>/</w:t>
            </w:r>
          </w:p>
        </w:tc>
        <w:tc>
          <w:tcPr>
            <w:tcW w:w="632" w:type="pct"/>
            <w:tcBorders>
              <w:tl2br w:val="nil"/>
              <w:tr2bl w:val="nil"/>
            </w:tcBorders>
            <w:vAlign w:val="center"/>
          </w:tcPr>
          <w:p w14:paraId="7A9FA57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eastAsia="仿宋"/>
                <w:color w:val="auto"/>
                <w:spacing w:val="0"/>
                <w:kern w:val="0"/>
                <w:lang w:val="en-US" w:eastAsia="zh-CN"/>
              </w:rPr>
            </w:pPr>
            <w:r>
              <w:rPr>
                <w:rFonts w:hint="default" w:ascii="Times New Roman" w:hAnsi="Times New Roman" w:eastAsia="宋体" w:cs="Times New Roman"/>
                <w:i w:val="0"/>
                <w:iCs w:val="0"/>
                <w:snapToGrid w:val="0"/>
                <w:color w:val="auto"/>
                <w:kern w:val="0"/>
                <w:sz w:val="21"/>
                <w:szCs w:val="21"/>
                <w:u w:val="none"/>
                <w:lang w:val="en-US" w:eastAsia="zh-CN" w:bidi="ar"/>
              </w:rPr>
              <w:t>0.00216</w:t>
            </w:r>
          </w:p>
        </w:tc>
        <w:tc>
          <w:tcPr>
            <w:tcW w:w="438" w:type="pct"/>
            <w:tcBorders>
              <w:tl2br w:val="nil"/>
              <w:tr2bl w:val="nil"/>
            </w:tcBorders>
            <w:vAlign w:val="center"/>
          </w:tcPr>
          <w:p w14:paraId="2E127A3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eastAsia="仿宋"/>
                <w:color w:val="auto"/>
                <w:spacing w:val="0"/>
                <w:kern w:val="0"/>
                <w:lang w:val="en-US" w:eastAsia="zh-CN"/>
              </w:rPr>
            </w:pPr>
            <w:r>
              <w:rPr>
                <w:rFonts w:hint="eastAsia" w:ascii="Times New Roman" w:hAnsi="Times New Roman" w:eastAsia="宋体" w:cs="Times New Roman"/>
                <w:i w:val="0"/>
                <w:iCs w:val="0"/>
                <w:snapToGrid w:val="0"/>
                <w:color w:val="auto"/>
                <w:kern w:val="0"/>
                <w:sz w:val="21"/>
                <w:szCs w:val="21"/>
                <w:u w:val="none"/>
                <w:lang w:val="en-US" w:eastAsia="zh-CN" w:bidi="ar"/>
              </w:rPr>
              <w:t>+</w:t>
            </w:r>
            <w:r>
              <w:rPr>
                <w:rFonts w:hint="default" w:ascii="Times New Roman" w:hAnsi="Times New Roman" w:eastAsia="宋体" w:cs="Times New Roman"/>
                <w:i w:val="0"/>
                <w:iCs w:val="0"/>
                <w:snapToGrid w:val="0"/>
                <w:color w:val="auto"/>
                <w:kern w:val="0"/>
                <w:sz w:val="21"/>
                <w:szCs w:val="21"/>
                <w:u w:val="none"/>
                <w:lang w:val="en-US" w:eastAsia="zh-CN" w:bidi="ar"/>
              </w:rPr>
              <w:t>0.00216</w:t>
            </w:r>
          </w:p>
        </w:tc>
      </w:tr>
      <w:tr w14:paraId="353A3D7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jc w:val="center"/>
        </w:trPr>
        <w:tc>
          <w:tcPr>
            <w:tcW w:w="502" w:type="pct"/>
            <w:vMerge w:val="continue"/>
            <w:tcBorders>
              <w:tl2br w:val="nil"/>
              <w:tr2bl w:val="nil"/>
            </w:tcBorders>
            <w:vAlign w:val="center"/>
          </w:tcPr>
          <w:p w14:paraId="31C77BC0">
            <w:pPr>
              <w:pStyle w:val="277"/>
              <w:keepNext w:val="0"/>
              <w:keepLines w:val="0"/>
              <w:pageBreakBefore w:val="0"/>
              <w:kinsoku/>
              <w:wordWrap/>
              <w:overflowPunct/>
              <w:topLinePunct w:val="0"/>
              <w:autoSpaceDE/>
              <w:autoSpaceDN/>
              <w:bidi w:val="0"/>
              <w:adjustRightInd w:val="0"/>
              <w:snapToGrid w:val="0"/>
              <w:spacing w:beforeLines="0" w:afterLines="0" w:line="240" w:lineRule="auto"/>
              <w:ind w:left="0" w:firstLine="0" w:firstLineChars="0"/>
              <w:rPr>
                <w:rFonts w:ascii="Times New Roman" w:eastAsia="宋体"/>
                <w:color w:val="auto"/>
                <w:spacing w:val="0"/>
                <w:kern w:val="0"/>
                <w:sz w:val="21"/>
                <w:szCs w:val="21"/>
              </w:rPr>
            </w:pPr>
          </w:p>
        </w:tc>
        <w:tc>
          <w:tcPr>
            <w:tcW w:w="889" w:type="pct"/>
            <w:gridSpan w:val="2"/>
            <w:tcBorders>
              <w:tl2br w:val="nil"/>
              <w:tr2bl w:val="nil"/>
            </w:tcBorders>
            <w:vAlign w:val="center"/>
          </w:tcPr>
          <w:p w14:paraId="10F16888">
            <w:pPr>
              <w:keepNext w:val="0"/>
              <w:keepLines w:val="0"/>
              <w:pageBreakBefore w:val="0"/>
              <w:kinsoku/>
              <w:wordWrap/>
              <w:overflowPunct/>
              <w:topLinePunct w:val="0"/>
              <w:autoSpaceDE/>
              <w:autoSpaceDN/>
              <w:bidi w:val="0"/>
              <w:adjustRightInd w:val="0"/>
              <w:snapToGrid w:val="0"/>
              <w:jc w:val="center"/>
              <w:textAlignment w:val="center"/>
              <w:rPr>
                <w:color w:val="auto"/>
                <w:spacing w:val="0"/>
                <w:kern w:val="0"/>
              </w:rPr>
            </w:pPr>
            <w:r>
              <w:rPr>
                <w:color w:val="auto"/>
                <w:spacing w:val="0"/>
                <w:kern w:val="0"/>
              </w:rPr>
              <w:t>TN</w:t>
            </w:r>
          </w:p>
        </w:tc>
        <w:tc>
          <w:tcPr>
            <w:tcW w:w="398" w:type="pct"/>
            <w:tcBorders>
              <w:tl2br w:val="nil"/>
              <w:tr2bl w:val="nil"/>
            </w:tcBorders>
            <w:vAlign w:val="center"/>
          </w:tcPr>
          <w:p w14:paraId="4E42FA37">
            <w:pPr>
              <w:keepNext w:val="0"/>
              <w:keepLines w:val="0"/>
              <w:pageBreakBefore w:val="0"/>
              <w:widowControl/>
              <w:kinsoku/>
              <w:wordWrap/>
              <w:overflowPunct/>
              <w:topLinePunct w:val="0"/>
              <w:autoSpaceDE/>
              <w:autoSpaceDN/>
              <w:bidi w:val="0"/>
              <w:adjustRightInd w:val="0"/>
              <w:snapToGrid w:val="0"/>
              <w:jc w:val="center"/>
              <w:rPr>
                <w:color w:val="auto"/>
                <w:spacing w:val="0"/>
                <w:kern w:val="0"/>
              </w:rPr>
            </w:pPr>
            <w:r>
              <w:rPr>
                <w:color w:val="auto"/>
                <w:spacing w:val="0"/>
                <w:kern w:val="0"/>
              </w:rPr>
              <w:t>/</w:t>
            </w:r>
          </w:p>
        </w:tc>
        <w:tc>
          <w:tcPr>
            <w:tcW w:w="448" w:type="pct"/>
            <w:tcBorders>
              <w:tl2br w:val="nil"/>
              <w:tr2bl w:val="nil"/>
            </w:tcBorders>
            <w:vAlign w:val="center"/>
          </w:tcPr>
          <w:p w14:paraId="3EAF9A62">
            <w:pPr>
              <w:keepNext w:val="0"/>
              <w:keepLines w:val="0"/>
              <w:pageBreakBefore w:val="0"/>
              <w:widowControl/>
              <w:kinsoku/>
              <w:wordWrap/>
              <w:overflowPunct/>
              <w:topLinePunct w:val="0"/>
              <w:autoSpaceDE/>
              <w:autoSpaceDN/>
              <w:bidi w:val="0"/>
              <w:adjustRightInd w:val="0"/>
              <w:snapToGrid w:val="0"/>
              <w:jc w:val="center"/>
              <w:rPr>
                <w:color w:val="auto"/>
                <w:spacing w:val="0"/>
                <w:kern w:val="0"/>
              </w:rPr>
            </w:pPr>
            <w:r>
              <w:rPr>
                <w:color w:val="auto"/>
                <w:spacing w:val="0"/>
                <w:kern w:val="0"/>
              </w:rPr>
              <w:t>/</w:t>
            </w:r>
          </w:p>
        </w:tc>
        <w:tc>
          <w:tcPr>
            <w:tcW w:w="498" w:type="pct"/>
            <w:tcBorders>
              <w:tl2br w:val="nil"/>
              <w:tr2bl w:val="nil"/>
            </w:tcBorders>
            <w:vAlign w:val="center"/>
          </w:tcPr>
          <w:p w14:paraId="41C13A1C">
            <w:pPr>
              <w:keepNext w:val="0"/>
              <w:keepLines w:val="0"/>
              <w:pageBreakBefore w:val="0"/>
              <w:widowControl/>
              <w:kinsoku/>
              <w:wordWrap/>
              <w:overflowPunct/>
              <w:topLinePunct w:val="0"/>
              <w:autoSpaceDE/>
              <w:autoSpaceDN/>
              <w:bidi w:val="0"/>
              <w:adjustRightInd w:val="0"/>
              <w:snapToGrid w:val="0"/>
              <w:jc w:val="center"/>
              <w:rPr>
                <w:color w:val="auto"/>
                <w:spacing w:val="0"/>
                <w:kern w:val="0"/>
              </w:rPr>
            </w:pPr>
            <w:r>
              <w:rPr>
                <w:color w:val="auto"/>
                <w:spacing w:val="0"/>
                <w:kern w:val="0"/>
              </w:rPr>
              <w:t>/</w:t>
            </w:r>
          </w:p>
        </w:tc>
        <w:tc>
          <w:tcPr>
            <w:tcW w:w="617" w:type="pct"/>
            <w:tcBorders>
              <w:tl2br w:val="nil"/>
              <w:tr2bl w:val="nil"/>
            </w:tcBorders>
            <w:vAlign w:val="center"/>
          </w:tcPr>
          <w:p w14:paraId="100B836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color w:val="auto"/>
                <w:spacing w:val="0"/>
                <w:kern w:val="0"/>
              </w:rPr>
            </w:pPr>
            <w:r>
              <w:rPr>
                <w:rFonts w:hint="default" w:ascii="Times New Roman" w:hAnsi="Times New Roman" w:eastAsia="宋体" w:cs="Times New Roman"/>
                <w:i w:val="0"/>
                <w:iCs w:val="0"/>
                <w:snapToGrid w:val="0"/>
                <w:color w:val="auto"/>
                <w:kern w:val="0"/>
                <w:sz w:val="21"/>
                <w:szCs w:val="21"/>
                <w:u w:val="none"/>
                <w:lang w:val="en-US" w:eastAsia="zh-CN" w:bidi="ar"/>
              </w:rPr>
              <w:t>0.036</w:t>
            </w:r>
          </w:p>
        </w:tc>
        <w:tc>
          <w:tcPr>
            <w:tcW w:w="574" w:type="pct"/>
            <w:tcBorders>
              <w:tl2br w:val="nil"/>
              <w:tr2bl w:val="nil"/>
            </w:tcBorders>
            <w:vAlign w:val="center"/>
          </w:tcPr>
          <w:p w14:paraId="5BCFD555">
            <w:pPr>
              <w:keepNext w:val="0"/>
              <w:keepLines w:val="0"/>
              <w:pageBreakBefore w:val="0"/>
              <w:widowControl/>
              <w:kinsoku/>
              <w:wordWrap/>
              <w:overflowPunct/>
              <w:topLinePunct w:val="0"/>
              <w:autoSpaceDE/>
              <w:autoSpaceDN/>
              <w:bidi w:val="0"/>
              <w:adjustRightInd w:val="0"/>
              <w:snapToGrid w:val="0"/>
              <w:jc w:val="center"/>
              <w:rPr>
                <w:color w:val="auto"/>
                <w:spacing w:val="0"/>
                <w:kern w:val="0"/>
              </w:rPr>
            </w:pPr>
            <w:r>
              <w:rPr>
                <w:color w:val="auto"/>
                <w:spacing w:val="0"/>
                <w:kern w:val="0"/>
              </w:rPr>
              <w:t>/</w:t>
            </w:r>
          </w:p>
        </w:tc>
        <w:tc>
          <w:tcPr>
            <w:tcW w:w="632" w:type="pct"/>
            <w:tcBorders>
              <w:tl2br w:val="nil"/>
              <w:tr2bl w:val="nil"/>
            </w:tcBorders>
            <w:vAlign w:val="center"/>
          </w:tcPr>
          <w:p w14:paraId="4246DDA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eastAsia="仿宋"/>
                <w:color w:val="auto"/>
                <w:spacing w:val="0"/>
                <w:kern w:val="0"/>
                <w:lang w:val="en-US" w:eastAsia="zh-CN"/>
              </w:rPr>
            </w:pPr>
            <w:r>
              <w:rPr>
                <w:rFonts w:hint="default" w:ascii="Times New Roman" w:hAnsi="Times New Roman" w:eastAsia="宋体" w:cs="Times New Roman"/>
                <w:i w:val="0"/>
                <w:iCs w:val="0"/>
                <w:snapToGrid w:val="0"/>
                <w:color w:val="auto"/>
                <w:kern w:val="0"/>
                <w:sz w:val="21"/>
                <w:szCs w:val="21"/>
                <w:u w:val="none"/>
                <w:lang w:val="en-US" w:eastAsia="zh-CN" w:bidi="ar"/>
              </w:rPr>
              <w:t>0.036</w:t>
            </w:r>
          </w:p>
        </w:tc>
        <w:tc>
          <w:tcPr>
            <w:tcW w:w="438" w:type="pct"/>
            <w:tcBorders>
              <w:tl2br w:val="nil"/>
              <w:tr2bl w:val="nil"/>
            </w:tcBorders>
            <w:vAlign w:val="center"/>
          </w:tcPr>
          <w:p w14:paraId="2EDC125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eastAsia="仿宋"/>
                <w:color w:val="auto"/>
                <w:spacing w:val="0"/>
                <w:kern w:val="0"/>
                <w:lang w:val="en-US" w:eastAsia="zh-CN"/>
              </w:rPr>
            </w:pPr>
            <w:r>
              <w:rPr>
                <w:rFonts w:hint="eastAsia" w:ascii="Times New Roman" w:hAnsi="Times New Roman" w:eastAsia="宋体" w:cs="Times New Roman"/>
                <w:i w:val="0"/>
                <w:iCs w:val="0"/>
                <w:snapToGrid w:val="0"/>
                <w:color w:val="auto"/>
                <w:kern w:val="0"/>
                <w:sz w:val="21"/>
                <w:szCs w:val="21"/>
                <w:u w:val="none"/>
                <w:lang w:val="en-US" w:eastAsia="zh-CN" w:bidi="ar"/>
              </w:rPr>
              <w:t>+</w:t>
            </w:r>
            <w:r>
              <w:rPr>
                <w:rFonts w:hint="default" w:ascii="Times New Roman" w:hAnsi="Times New Roman" w:eastAsia="宋体" w:cs="Times New Roman"/>
                <w:i w:val="0"/>
                <w:iCs w:val="0"/>
                <w:snapToGrid w:val="0"/>
                <w:color w:val="auto"/>
                <w:kern w:val="0"/>
                <w:sz w:val="21"/>
                <w:szCs w:val="21"/>
                <w:u w:val="none"/>
                <w:lang w:val="en-US" w:eastAsia="zh-CN" w:bidi="ar"/>
              </w:rPr>
              <w:t>0.036</w:t>
            </w:r>
          </w:p>
        </w:tc>
      </w:tr>
      <w:tr w14:paraId="6E9C870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jc w:val="center"/>
        </w:trPr>
        <w:tc>
          <w:tcPr>
            <w:tcW w:w="502" w:type="pct"/>
            <w:vMerge w:val="restart"/>
            <w:tcBorders>
              <w:tl2br w:val="nil"/>
              <w:tr2bl w:val="nil"/>
            </w:tcBorders>
            <w:vAlign w:val="center"/>
          </w:tcPr>
          <w:p w14:paraId="3D4F8967">
            <w:pPr>
              <w:pStyle w:val="277"/>
              <w:keepNext w:val="0"/>
              <w:keepLines w:val="0"/>
              <w:pageBreakBefore w:val="0"/>
              <w:kinsoku/>
              <w:wordWrap/>
              <w:overflowPunct/>
              <w:topLinePunct w:val="0"/>
              <w:autoSpaceDE/>
              <w:autoSpaceDN/>
              <w:bidi w:val="0"/>
              <w:adjustRightInd w:val="0"/>
              <w:snapToGrid w:val="0"/>
              <w:spacing w:beforeLines="0" w:afterLines="0" w:line="240" w:lineRule="auto"/>
              <w:ind w:left="0" w:firstLine="0" w:firstLineChars="0"/>
              <w:rPr>
                <w:rFonts w:ascii="Times New Roman" w:eastAsia="宋体"/>
                <w:color w:val="auto"/>
                <w:spacing w:val="0"/>
                <w:kern w:val="0"/>
                <w:sz w:val="21"/>
                <w:szCs w:val="21"/>
              </w:rPr>
            </w:pPr>
            <w:r>
              <w:rPr>
                <w:rFonts w:ascii="Times New Roman" w:eastAsia="宋体"/>
                <w:color w:val="auto"/>
                <w:spacing w:val="0"/>
                <w:kern w:val="0"/>
                <w:sz w:val="21"/>
                <w:szCs w:val="21"/>
              </w:rPr>
              <w:t>一般工业</w:t>
            </w:r>
          </w:p>
          <w:p w14:paraId="400DEF31">
            <w:pPr>
              <w:pStyle w:val="277"/>
              <w:keepNext w:val="0"/>
              <w:keepLines w:val="0"/>
              <w:pageBreakBefore w:val="0"/>
              <w:kinsoku/>
              <w:wordWrap/>
              <w:overflowPunct/>
              <w:topLinePunct w:val="0"/>
              <w:autoSpaceDE/>
              <w:autoSpaceDN/>
              <w:bidi w:val="0"/>
              <w:adjustRightInd w:val="0"/>
              <w:snapToGrid w:val="0"/>
              <w:spacing w:beforeLines="0" w:afterLines="0" w:line="240" w:lineRule="auto"/>
              <w:ind w:left="0" w:firstLine="0" w:firstLineChars="0"/>
              <w:rPr>
                <w:rFonts w:ascii="Times New Roman" w:eastAsia="宋体"/>
                <w:color w:val="auto"/>
                <w:spacing w:val="0"/>
                <w:kern w:val="0"/>
                <w:sz w:val="21"/>
                <w:szCs w:val="21"/>
              </w:rPr>
            </w:pPr>
            <w:r>
              <w:rPr>
                <w:rFonts w:ascii="Times New Roman" w:eastAsia="宋体"/>
                <w:color w:val="auto"/>
                <w:spacing w:val="0"/>
                <w:kern w:val="0"/>
                <w:sz w:val="21"/>
                <w:szCs w:val="21"/>
              </w:rPr>
              <w:t>固体废物</w:t>
            </w:r>
          </w:p>
        </w:tc>
        <w:tc>
          <w:tcPr>
            <w:tcW w:w="889" w:type="pct"/>
            <w:gridSpan w:val="2"/>
            <w:tcBorders>
              <w:tl2br w:val="nil"/>
              <w:tr2bl w:val="nil"/>
            </w:tcBorders>
            <w:vAlign w:val="center"/>
          </w:tcPr>
          <w:p w14:paraId="0EB82203">
            <w:pPr>
              <w:pStyle w:val="5"/>
              <w:keepNext w:val="0"/>
              <w:keepLines w:val="0"/>
              <w:pageBreakBefore w:val="0"/>
              <w:kinsoku/>
              <w:wordWrap/>
              <w:overflowPunct/>
              <w:topLinePunct w:val="0"/>
              <w:autoSpaceDE/>
              <w:autoSpaceDN/>
              <w:bidi w:val="0"/>
              <w:adjustRightInd w:val="0"/>
              <w:snapToGrid w:val="0"/>
              <w:ind w:firstLine="0" w:firstLineChars="0"/>
              <w:jc w:val="center"/>
              <w:rPr>
                <w:color w:val="auto"/>
                <w:spacing w:val="0"/>
                <w:kern w:val="0"/>
                <w:szCs w:val="21"/>
              </w:rPr>
            </w:pPr>
            <w:r>
              <w:rPr>
                <w:rFonts w:hint="eastAsia"/>
                <w:bCs/>
                <w:color w:val="auto"/>
                <w:kern w:val="0"/>
                <w:szCs w:val="21"/>
                <w:lang w:val="en-US" w:eastAsia="zh-CN"/>
              </w:rPr>
              <w:t>废金属屑</w:t>
            </w:r>
          </w:p>
        </w:tc>
        <w:tc>
          <w:tcPr>
            <w:tcW w:w="398" w:type="pct"/>
            <w:tcBorders>
              <w:tl2br w:val="nil"/>
              <w:tr2bl w:val="nil"/>
            </w:tcBorders>
            <w:vAlign w:val="center"/>
          </w:tcPr>
          <w:p w14:paraId="162B4429">
            <w:pPr>
              <w:keepNext w:val="0"/>
              <w:keepLines w:val="0"/>
              <w:pageBreakBefore w:val="0"/>
              <w:widowControl/>
              <w:kinsoku/>
              <w:wordWrap/>
              <w:overflowPunct/>
              <w:topLinePunct w:val="0"/>
              <w:autoSpaceDE/>
              <w:autoSpaceDN/>
              <w:bidi w:val="0"/>
              <w:adjustRightInd w:val="0"/>
              <w:snapToGrid w:val="0"/>
              <w:jc w:val="center"/>
              <w:rPr>
                <w:color w:val="auto"/>
                <w:spacing w:val="0"/>
                <w:kern w:val="0"/>
              </w:rPr>
            </w:pPr>
            <w:r>
              <w:rPr>
                <w:color w:val="auto"/>
                <w:spacing w:val="0"/>
                <w:kern w:val="0"/>
              </w:rPr>
              <w:t>/</w:t>
            </w:r>
          </w:p>
        </w:tc>
        <w:tc>
          <w:tcPr>
            <w:tcW w:w="448" w:type="pct"/>
            <w:tcBorders>
              <w:tl2br w:val="nil"/>
              <w:tr2bl w:val="nil"/>
            </w:tcBorders>
            <w:vAlign w:val="center"/>
          </w:tcPr>
          <w:p w14:paraId="0E70B023">
            <w:pPr>
              <w:keepNext w:val="0"/>
              <w:keepLines w:val="0"/>
              <w:pageBreakBefore w:val="0"/>
              <w:widowControl/>
              <w:kinsoku/>
              <w:wordWrap/>
              <w:overflowPunct/>
              <w:topLinePunct w:val="0"/>
              <w:autoSpaceDE/>
              <w:autoSpaceDN/>
              <w:bidi w:val="0"/>
              <w:adjustRightInd w:val="0"/>
              <w:snapToGrid w:val="0"/>
              <w:jc w:val="center"/>
              <w:rPr>
                <w:color w:val="auto"/>
                <w:spacing w:val="0"/>
                <w:kern w:val="0"/>
              </w:rPr>
            </w:pPr>
            <w:r>
              <w:rPr>
                <w:color w:val="auto"/>
                <w:spacing w:val="0"/>
                <w:kern w:val="0"/>
              </w:rPr>
              <w:t>/</w:t>
            </w:r>
          </w:p>
        </w:tc>
        <w:tc>
          <w:tcPr>
            <w:tcW w:w="498" w:type="pct"/>
            <w:tcBorders>
              <w:tl2br w:val="nil"/>
              <w:tr2bl w:val="nil"/>
            </w:tcBorders>
            <w:vAlign w:val="center"/>
          </w:tcPr>
          <w:p w14:paraId="751AFAF3">
            <w:pPr>
              <w:keepNext w:val="0"/>
              <w:keepLines w:val="0"/>
              <w:pageBreakBefore w:val="0"/>
              <w:widowControl/>
              <w:kinsoku/>
              <w:wordWrap/>
              <w:overflowPunct/>
              <w:topLinePunct w:val="0"/>
              <w:autoSpaceDE/>
              <w:autoSpaceDN/>
              <w:bidi w:val="0"/>
              <w:adjustRightInd w:val="0"/>
              <w:snapToGrid w:val="0"/>
              <w:jc w:val="center"/>
              <w:rPr>
                <w:color w:val="auto"/>
                <w:spacing w:val="0"/>
                <w:kern w:val="0"/>
              </w:rPr>
            </w:pPr>
            <w:r>
              <w:rPr>
                <w:color w:val="auto"/>
                <w:spacing w:val="0"/>
                <w:kern w:val="0"/>
              </w:rPr>
              <w:t>/</w:t>
            </w:r>
          </w:p>
        </w:tc>
        <w:tc>
          <w:tcPr>
            <w:tcW w:w="617" w:type="pct"/>
            <w:tcBorders>
              <w:tl2br w:val="nil"/>
              <w:tr2bl w:val="nil"/>
            </w:tcBorders>
            <w:vAlign w:val="center"/>
          </w:tcPr>
          <w:p w14:paraId="640E6BE8">
            <w:pPr>
              <w:pStyle w:val="5"/>
              <w:keepNext w:val="0"/>
              <w:keepLines w:val="0"/>
              <w:pageBreakBefore w:val="0"/>
              <w:kinsoku/>
              <w:wordWrap/>
              <w:overflowPunct/>
              <w:topLinePunct w:val="0"/>
              <w:autoSpaceDE/>
              <w:autoSpaceDN/>
              <w:bidi w:val="0"/>
              <w:adjustRightInd w:val="0"/>
              <w:snapToGrid w:val="0"/>
              <w:ind w:firstLine="0" w:firstLineChars="0"/>
              <w:jc w:val="center"/>
              <w:rPr>
                <w:color w:val="auto"/>
                <w:spacing w:val="0"/>
                <w:kern w:val="0"/>
              </w:rPr>
            </w:pPr>
            <w:r>
              <w:rPr>
                <w:rFonts w:hint="eastAsia"/>
                <w:color w:val="auto"/>
                <w:kern w:val="0"/>
                <w:szCs w:val="21"/>
                <w:lang w:val="en-US" w:eastAsia="zh-CN"/>
              </w:rPr>
              <w:t>2</w:t>
            </w:r>
          </w:p>
        </w:tc>
        <w:tc>
          <w:tcPr>
            <w:tcW w:w="574" w:type="pct"/>
            <w:tcBorders>
              <w:tl2br w:val="nil"/>
              <w:tr2bl w:val="nil"/>
            </w:tcBorders>
            <w:vAlign w:val="center"/>
          </w:tcPr>
          <w:p w14:paraId="1147FD76">
            <w:pPr>
              <w:keepNext w:val="0"/>
              <w:keepLines w:val="0"/>
              <w:pageBreakBefore w:val="0"/>
              <w:widowControl/>
              <w:kinsoku/>
              <w:wordWrap/>
              <w:overflowPunct/>
              <w:topLinePunct w:val="0"/>
              <w:autoSpaceDE/>
              <w:autoSpaceDN/>
              <w:bidi w:val="0"/>
              <w:adjustRightInd w:val="0"/>
              <w:snapToGrid w:val="0"/>
              <w:jc w:val="center"/>
              <w:rPr>
                <w:color w:val="auto"/>
                <w:spacing w:val="0"/>
                <w:kern w:val="0"/>
              </w:rPr>
            </w:pPr>
            <w:r>
              <w:rPr>
                <w:color w:val="auto"/>
                <w:spacing w:val="0"/>
                <w:kern w:val="0"/>
              </w:rPr>
              <w:t>/</w:t>
            </w:r>
          </w:p>
        </w:tc>
        <w:tc>
          <w:tcPr>
            <w:tcW w:w="632" w:type="pct"/>
            <w:tcBorders>
              <w:tl2br w:val="nil"/>
              <w:tr2bl w:val="nil"/>
            </w:tcBorders>
            <w:vAlign w:val="center"/>
          </w:tcPr>
          <w:p w14:paraId="18550AF3">
            <w:pPr>
              <w:pStyle w:val="5"/>
              <w:keepNext w:val="0"/>
              <w:keepLines w:val="0"/>
              <w:pageBreakBefore w:val="0"/>
              <w:kinsoku/>
              <w:wordWrap/>
              <w:overflowPunct/>
              <w:topLinePunct w:val="0"/>
              <w:autoSpaceDE/>
              <w:autoSpaceDN/>
              <w:bidi w:val="0"/>
              <w:adjustRightInd w:val="0"/>
              <w:snapToGrid w:val="0"/>
              <w:ind w:firstLine="0" w:firstLineChars="0"/>
              <w:jc w:val="center"/>
              <w:rPr>
                <w:color w:val="auto"/>
                <w:spacing w:val="0"/>
                <w:kern w:val="0"/>
              </w:rPr>
            </w:pPr>
            <w:r>
              <w:rPr>
                <w:rFonts w:hint="eastAsia"/>
                <w:color w:val="auto"/>
                <w:kern w:val="0"/>
                <w:szCs w:val="21"/>
                <w:lang w:val="en-US" w:eastAsia="zh-CN"/>
              </w:rPr>
              <w:t>2</w:t>
            </w:r>
          </w:p>
        </w:tc>
        <w:tc>
          <w:tcPr>
            <w:tcW w:w="438" w:type="pct"/>
            <w:tcBorders>
              <w:tl2br w:val="nil"/>
              <w:tr2bl w:val="nil"/>
            </w:tcBorders>
            <w:vAlign w:val="center"/>
          </w:tcPr>
          <w:p w14:paraId="4181935B">
            <w:pPr>
              <w:pStyle w:val="5"/>
              <w:keepNext w:val="0"/>
              <w:keepLines w:val="0"/>
              <w:pageBreakBefore w:val="0"/>
              <w:kinsoku/>
              <w:wordWrap/>
              <w:overflowPunct/>
              <w:topLinePunct w:val="0"/>
              <w:autoSpaceDE/>
              <w:autoSpaceDN/>
              <w:bidi w:val="0"/>
              <w:adjustRightInd w:val="0"/>
              <w:snapToGrid w:val="0"/>
              <w:ind w:firstLine="0" w:firstLineChars="0"/>
              <w:jc w:val="center"/>
              <w:rPr>
                <w:color w:val="auto"/>
                <w:spacing w:val="0"/>
                <w:kern w:val="0"/>
              </w:rPr>
            </w:pPr>
            <w:r>
              <w:rPr>
                <w:rFonts w:hint="eastAsia"/>
                <w:color w:val="auto"/>
                <w:kern w:val="0"/>
                <w:szCs w:val="21"/>
                <w:lang w:val="en-US" w:eastAsia="zh-CN"/>
              </w:rPr>
              <w:t>+2</w:t>
            </w:r>
          </w:p>
        </w:tc>
      </w:tr>
      <w:tr w14:paraId="7DFD6B1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jc w:val="center"/>
        </w:trPr>
        <w:tc>
          <w:tcPr>
            <w:tcW w:w="502" w:type="pct"/>
            <w:vMerge w:val="continue"/>
            <w:tcBorders>
              <w:tl2br w:val="nil"/>
              <w:tr2bl w:val="nil"/>
            </w:tcBorders>
            <w:vAlign w:val="center"/>
          </w:tcPr>
          <w:p w14:paraId="3BBD6C24">
            <w:pPr>
              <w:pStyle w:val="277"/>
              <w:keepNext w:val="0"/>
              <w:keepLines w:val="0"/>
              <w:pageBreakBefore w:val="0"/>
              <w:kinsoku/>
              <w:wordWrap/>
              <w:overflowPunct/>
              <w:topLinePunct w:val="0"/>
              <w:autoSpaceDE/>
              <w:autoSpaceDN/>
              <w:bidi w:val="0"/>
              <w:adjustRightInd w:val="0"/>
              <w:snapToGrid w:val="0"/>
              <w:spacing w:beforeLines="0" w:afterLines="0" w:line="240" w:lineRule="auto"/>
              <w:ind w:left="0" w:firstLine="0" w:firstLineChars="0"/>
              <w:rPr>
                <w:rFonts w:ascii="Times New Roman" w:eastAsia="宋体"/>
                <w:color w:val="auto"/>
                <w:spacing w:val="0"/>
                <w:kern w:val="0"/>
                <w:sz w:val="21"/>
                <w:szCs w:val="21"/>
              </w:rPr>
            </w:pPr>
          </w:p>
        </w:tc>
        <w:tc>
          <w:tcPr>
            <w:tcW w:w="889" w:type="pct"/>
            <w:gridSpan w:val="2"/>
            <w:tcBorders>
              <w:tl2br w:val="nil"/>
              <w:tr2bl w:val="nil"/>
            </w:tcBorders>
            <w:vAlign w:val="center"/>
          </w:tcPr>
          <w:p w14:paraId="54F5513C">
            <w:pPr>
              <w:pStyle w:val="5"/>
              <w:keepNext w:val="0"/>
              <w:keepLines w:val="0"/>
              <w:pageBreakBefore w:val="0"/>
              <w:kinsoku/>
              <w:wordWrap/>
              <w:overflowPunct/>
              <w:topLinePunct w:val="0"/>
              <w:autoSpaceDE/>
              <w:autoSpaceDN/>
              <w:bidi w:val="0"/>
              <w:adjustRightInd w:val="0"/>
              <w:snapToGrid w:val="0"/>
              <w:ind w:firstLine="0" w:firstLineChars="0"/>
              <w:jc w:val="center"/>
              <w:rPr>
                <w:bCs/>
                <w:color w:val="auto"/>
                <w:spacing w:val="0"/>
                <w:kern w:val="0"/>
                <w:szCs w:val="21"/>
              </w:rPr>
            </w:pPr>
            <w:r>
              <w:rPr>
                <w:rFonts w:hint="eastAsia"/>
                <w:bCs/>
                <w:color w:val="auto"/>
                <w:kern w:val="0"/>
                <w:szCs w:val="21"/>
                <w:lang w:val="en-US" w:eastAsia="zh-CN"/>
              </w:rPr>
              <w:t>一般废包材</w:t>
            </w:r>
          </w:p>
        </w:tc>
        <w:tc>
          <w:tcPr>
            <w:tcW w:w="398" w:type="pct"/>
            <w:tcBorders>
              <w:tl2br w:val="nil"/>
              <w:tr2bl w:val="nil"/>
            </w:tcBorders>
            <w:vAlign w:val="center"/>
          </w:tcPr>
          <w:p w14:paraId="645C93E6">
            <w:pPr>
              <w:keepNext w:val="0"/>
              <w:keepLines w:val="0"/>
              <w:pageBreakBefore w:val="0"/>
              <w:widowControl/>
              <w:kinsoku/>
              <w:wordWrap/>
              <w:overflowPunct/>
              <w:topLinePunct w:val="0"/>
              <w:autoSpaceDE/>
              <w:autoSpaceDN/>
              <w:bidi w:val="0"/>
              <w:adjustRightInd w:val="0"/>
              <w:snapToGrid w:val="0"/>
              <w:jc w:val="center"/>
              <w:rPr>
                <w:color w:val="auto"/>
                <w:spacing w:val="0"/>
                <w:kern w:val="0"/>
              </w:rPr>
            </w:pPr>
            <w:r>
              <w:rPr>
                <w:color w:val="auto"/>
                <w:spacing w:val="0"/>
                <w:kern w:val="0"/>
              </w:rPr>
              <w:t>/</w:t>
            </w:r>
          </w:p>
        </w:tc>
        <w:tc>
          <w:tcPr>
            <w:tcW w:w="448" w:type="pct"/>
            <w:tcBorders>
              <w:tl2br w:val="nil"/>
              <w:tr2bl w:val="nil"/>
            </w:tcBorders>
            <w:vAlign w:val="center"/>
          </w:tcPr>
          <w:p w14:paraId="52D3E869">
            <w:pPr>
              <w:keepNext w:val="0"/>
              <w:keepLines w:val="0"/>
              <w:pageBreakBefore w:val="0"/>
              <w:widowControl/>
              <w:kinsoku/>
              <w:wordWrap/>
              <w:overflowPunct/>
              <w:topLinePunct w:val="0"/>
              <w:autoSpaceDE/>
              <w:autoSpaceDN/>
              <w:bidi w:val="0"/>
              <w:adjustRightInd w:val="0"/>
              <w:snapToGrid w:val="0"/>
              <w:jc w:val="center"/>
              <w:rPr>
                <w:color w:val="auto"/>
                <w:spacing w:val="0"/>
                <w:kern w:val="0"/>
              </w:rPr>
            </w:pPr>
            <w:r>
              <w:rPr>
                <w:color w:val="auto"/>
                <w:spacing w:val="0"/>
                <w:kern w:val="0"/>
              </w:rPr>
              <w:t>/</w:t>
            </w:r>
          </w:p>
        </w:tc>
        <w:tc>
          <w:tcPr>
            <w:tcW w:w="498" w:type="pct"/>
            <w:tcBorders>
              <w:tl2br w:val="nil"/>
              <w:tr2bl w:val="nil"/>
            </w:tcBorders>
            <w:vAlign w:val="center"/>
          </w:tcPr>
          <w:p w14:paraId="6BCADEBC">
            <w:pPr>
              <w:keepNext w:val="0"/>
              <w:keepLines w:val="0"/>
              <w:pageBreakBefore w:val="0"/>
              <w:widowControl/>
              <w:kinsoku/>
              <w:wordWrap/>
              <w:overflowPunct/>
              <w:topLinePunct w:val="0"/>
              <w:autoSpaceDE/>
              <w:autoSpaceDN/>
              <w:bidi w:val="0"/>
              <w:adjustRightInd w:val="0"/>
              <w:snapToGrid w:val="0"/>
              <w:jc w:val="center"/>
              <w:rPr>
                <w:color w:val="auto"/>
                <w:spacing w:val="0"/>
                <w:kern w:val="0"/>
              </w:rPr>
            </w:pPr>
            <w:r>
              <w:rPr>
                <w:color w:val="auto"/>
                <w:spacing w:val="0"/>
                <w:kern w:val="0"/>
              </w:rPr>
              <w:t>/</w:t>
            </w:r>
          </w:p>
        </w:tc>
        <w:tc>
          <w:tcPr>
            <w:tcW w:w="617" w:type="pct"/>
            <w:tcBorders>
              <w:tl2br w:val="nil"/>
              <w:tr2bl w:val="nil"/>
            </w:tcBorders>
            <w:vAlign w:val="center"/>
          </w:tcPr>
          <w:p w14:paraId="026B7632">
            <w:pPr>
              <w:pStyle w:val="5"/>
              <w:keepNext w:val="0"/>
              <w:keepLines w:val="0"/>
              <w:pageBreakBefore w:val="0"/>
              <w:kinsoku/>
              <w:wordWrap/>
              <w:overflowPunct/>
              <w:topLinePunct w:val="0"/>
              <w:autoSpaceDE/>
              <w:autoSpaceDN/>
              <w:bidi w:val="0"/>
              <w:adjustRightInd w:val="0"/>
              <w:snapToGrid w:val="0"/>
              <w:ind w:firstLine="0" w:firstLineChars="0"/>
              <w:jc w:val="center"/>
              <w:rPr>
                <w:color w:val="auto"/>
                <w:spacing w:val="0"/>
                <w:kern w:val="0"/>
              </w:rPr>
            </w:pPr>
            <w:r>
              <w:rPr>
                <w:rFonts w:hint="eastAsia"/>
                <w:color w:val="auto"/>
                <w:kern w:val="0"/>
                <w:szCs w:val="21"/>
                <w:lang w:val="en-US" w:eastAsia="zh-CN"/>
              </w:rPr>
              <w:t>1</w:t>
            </w:r>
          </w:p>
        </w:tc>
        <w:tc>
          <w:tcPr>
            <w:tcW w:w="574" w:type="pct"/>
            <w:tcBorders>
              <w:tl2br w:val="nil"/>
              <w:tr2bl w:val="nil"/>
            </w:tcBorders>
            <w:vAlign w:val="center"/>
          </w:tcPr>
          <w:p w14:paraId="68D658AA">
            <w:pPr>
              <w:keepNext w:val="0"/>
              <w:keepLines w:val="0"/>
              <w:pageBreakBefore w:val="0"/>
              <w:widowControl/>
              <w:kinsoku/>
              <w:wordWrap/>
              <w:overflowPunct/>
              <w:topLinePunct w:val="0"/>
              <w:autoSpaceDE/>
              <w:autoSpaceDN/>
              <w:bidi w:val="0"/>
              <w:adjustRightInd w:val="0"/>
              <w:snapToGrid w:val="0"/>
              <w:jc w:val="center"/>
              <w:rPr>
                <w:color w:val="auto"/>
                <w:spacing w:val="0"/>
                <w:kern w:val="0"/>
              </w:rPr>
            </w:pPr>
            <w:r>
              <w:rPr>
                <w:color w:val="auto"/>
                <w:spacing w:val="0"/>
                <w:kern w:val="0"/>
              </w:rPr>
              <w:t>/</w:t>
            </w:r>
          </w:p>
        </w:tc>
        <w:tc>
          <w:tcPr>
            <w:tcW w:w="632" w:type="pct"/>
            <w:tcBorders>
              <w:tl2br w:val="nil"/>
              <w:tr2bl w:val="nil"/>
            </w:tcBorders>
            <w:vAlign w:val="center"/>
          </w:tcPr>
          <w:p w14:paraId="70604B8F">
            <w:pPr>
              <w:pStyle w:val="5"/>
              <w:keepNext w:val="0"/>
              <w:keepLines w:val="0"/>
              <w:pageBreakBefore w:val="0"/>
              <w:kinsoku/>
              <w:wordWrap/>
              <w:overflowPunct/>
              <w:topLinePunct w:val="0"/>
              <w:autoSpaceDE/>
              <w:autoSpaceDN/>
              <w:bidi w:val="0"/>
              <w:adjustRightInd w:val="0"/>
              <w:snapToGrid w:val="0"/>
              <w:ind w:firstLine="0" w:firstLineChars="0"/>
              <w:jc w:val="center"/>
              <w:rPr>
                <w:color w:val="auto"/>
                <w:spacing w:val="0"/>
                <w:kern w:val="0"/>
              </w:rPr>
            </w:pPr>
            <w:r>
              <w:rPr>
                <w:rFonts w:hint="eastAsia"/>
                <w:color w:val="auto"/>
                <w:kern w:val="0"/>
                <w:szCs w:val="21"/>
                <w:lang w:val="en-US" w:eastAsia="zh-CN"/>
              </w:rPr>
              <w:t>1</w:t>
            </w:r>
          </w:p>
        </w:tc>
        <w:tc>
          <w:tcPr>
            <w:tcW w:w="438" w:type="pct"/>
            <w:tcBorders>
              <w:tl2br w:val="nil"/>
              <w:tr2bl w:val="nil"/>
            </w:tcBorders>
            <w:vAlign w:val="center"/>
          </w:tcPr>
          <w:p w14:paraId="7D0B5E62">
            <w:pPr>
              <w:pStyle w:val="5"/>
              <w:keepNext w:val="0"/>
              <w:keepLines w:val="0"/>
              <w:pageBreakBefore w:val="0"/>
              <w:kinsoku/>
              <w:wordWrap/>
              <w:overflowPunct/>
              <w:topLinePunct w:val="0"/>
              <w:autoSpaceDE/>
              <w:autoSpaceDN/>
              <w:bidi w:val="0"/>
              <w:adjustRightInd w:val="0"/>
              <w:snapToGrid w:val="0"/>
              <w:ind w:firstLine="0" w:firstLineChars="0"/>
              <w:jc w:val="center"/>
              <w:rPr>
                <w:color w:val="auto"/>
                <w:spacing w:val="0"/>
                <w:kern w:val="0"/>
              </w:rPr>
            </w:pPr>
            <w:r>
              <w:rPr>
                <w:rFonts w:hint="eastAsia"/>
                <w:color w:val="auto"/>
                <w:kern w:val="0"/>
                <w:szCs w:val="21"/>
                <w:lang w:val="en-US" w:eastAsia="zh-CN"/>
              </w:rPr>
              <w:t>+1</w:t>
            </w:r>
          </w:p>
        </w:tc>
      </w:tr>
      <w:tr w14:paraId="015A473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jc w:val="center"/>
        </w:trPr>
        <w:tc>
          <w:tcPr>
            <w:tcW w:w="502" w:type="pct"/>
            <w:vMerge w:val="restart"/>
            <w:tcBorders>
              <w:tl2br w:val="nil"/>
              <w:tr2bl w:val="nil"/>
            </w:tcBorders>
            <w:vAlign w:val="center"/>
          </w:tcPr>
          <w:p w14:paraId="783A360A">
            <w:pPr>
              <w:pStyle w:val="277"/>
              <w:keepNext w:val="0"/>
              <w:keepLines w:val="0"/>
              <w:pageBreakBefore w:val="0"/>
              <w:kinsoku/>
              <w:wordWrap/>
              <w:overflowPunct/>
              <w:topLinePunct w:val="0"/>
              <w:autoSpaceDE/>
              <w:autoSpaceDN/>
              <w:bidi w:val="0"/>
              <w:adjustRightInd w:val="0"/>
              <w:snapToGrid w:val="0"/>
              <w:spacing w:beforeLines="0" w:afterLines="0" w:line="240" w:lineRule="auto"/>
              <w:ind w:left="0" w:firstLine="0" w:firstLineChars="0"/>
              <w:rPr>
                <w:rFonts w:ascii="Times New Roman" w:eastAsia="宋体"/>
                <w:color w:val="auto"/>
                <w:spacing w:val="0"/>
                <w:kern w:val="0"/>
                <w:sz w:val="21"/>
                <w:szCs w:val="21"/>
              </w:rPr>
            </w:pPr>
            <w:r>
              <w:rPr>
                <w:rFonts w:ascii="Times New Roman" w:eastAsia="宋体"/>
                <w:color w:val="auto"/>
                <w:spacing w:val="0"/>
                <w:kern w:val="0"/>
                <w:sz w:val="21"/>
                <w:szCs w:val="21"/>
              </w:rPr>
              <w:t>危险废物</w:t>
            </w:r>
          </w:p>
        </w:tc>
        <w:tc>
          <w:tcPr>
            <w:tcW w:w="889" w:type="pct"/>
            <w:gridSpan w:val="2"/>
            <w:tcBorders>
              <w:tl2br w:val="nil"/>
              <w:tr2bl w:val="nil"/>
            </w:tcBorders>
            <w:vAlign w:val="center"/>
          </w:tcPr>
          <w:p w14:paraId="329F8BE6">
            <w:pPr>
              <w:pStyle w:val="5"/>
              <w:keepNext w:val="0"/>
              <w:keepLines w:val="0"/>
              <w:pageBreakBefore w:val="0"/>
              <w:kinsoku/>
              <w:wordWrap/>
              <w:overflowPunct/>
              <w:topLinePunct w:val="0"/>
              <w:autoSpaceDE/>
              <w:autoSpaceDN/>
              <w:bidi w:val="0"/>
              <w:adjustRightInd w:val="0"/>
              <w:snapToGrid w:val="0"/>
              <w:ind w:firstLine="0" w:firstLineChars="0"/>
              <w:jc w:val="center"/>
              <w:rPr>
                <w:color w:val="auto"/>
                <w:spacing w:val="0"/>
                <w:kern w:val="0"/>
                <w:szCs w:val="21"/>
              </w:rPr>
            </w:pPr>
            <w:r>
              <w:rPr>
                <w:rFonts w:hint="eastAsia"/>
                <w:bCs/>
                <w:color w:val="auto"/>
                <w:kern w:val="0"/>
                <w:szCs w:val="21"/>
                <w:lang w:val="en-US" w:eastAsia="zh-CN"/>
              </w:rPr>
              <w:t>废切削液</w:t>
            </w:r>
          </w:p>
        </w:tc>
        <w:tc>
          <w:tcPr>
            <w:tcW w:w="398" w:type="pct"/>
            <w:tcBorders>
              <w:tl2br w:val="nil"/>
              <w:tr2bl w:val="nil"/>
            </w:tcBorders>
            <w:vAlign w:val="center"/>
          </w:tcPr>
          <w:p w14:paraId="4265106D">
            <w:pPr>
              <w:keepNext w:val="0"/>
              <w:keepLines w:val="0"/>
              <w:pageBreakBefore w:val="0"/>
              <w:widowControl/>
              <w:kinsoku/>
              <w:wordWrap/>
              <w:overflowPunct/>
              <w:topLinePunct w:val="0"/>
              <w:autoSpaceDE/>
              <w:autoSpaceDN/>
              <w:bidi w:val="0"/>
              <w:adjustRightInd w:val="0"/>
              <w:snapToGrid w:val="0"/>
              <w:jc w:val="center"/>
              <w:rPr>
                <w:color w:val="auto"/>
                <w:spacing w:val="0"/>
                <w:kern w:val="0"/>
              </w:rPr>
            </w:pPr>
            <w:r>
              <w:rPr>
                <w:color w:val="auto"/>
                <w:spacing w:val="0"/>
                <w:kern w:val="0"/>
              </w:rPr>
              <w:t>/</w:t>
            </w:r>
          </w:p>
        </w:tc>
        <w:tc>
          <w:tcPr>
            <w:tcW w:w="448" w:type="pct"/>
            <w:tcBorders>
              <w:tl2br w:val="nil"/>
              <w:tr2bl w:val="nil"/>
            </w:tcBorders>
            <w:vAlign w:val="center"/>
          </w:tcPr>
          <w:p w14:paraId="2D5954B7">
            <w:pPr>
              <w:keepNext w:val="0"/>
              <w:keepLines w:val="0"/>
              <w:pageBreakBefore w:val="0"/>
              <w:widowControl/>
              <w:kinsoku/>
              <w:wordWrap/>
              <w:overflowPunct/>
              <w:topLinePunct w:val="0"/>
              <w:autoSpaceDE/>
              <w:autoSpaceDN/>
              <w:bidi w:val="0"/>
              <w:adjustRightInd w:val="0"/>
              <w:snapToGrid w:val="0"/>
              <w:jc w:val="center"/>
              <w:rPr>
                <w:color w:val="auto"/>
                <w:spacing w:val="0"/>
                <w:kern w:val="0"/>
              </w:rPr>
            </w:pPr>
            <w:r>
              <w:rPr>
                <w:color w:val="auto"/>
                <w:spacing w:val="0"/>
                <w:kern w:val="0"/>
              </w:rPr>
              <w:t>/</w:t>
            </w:r>
          </w:p>
        </w:tc>
        <w:tc>
          <w:tcPr>
            <w:tcW w:w="498" w:type="pct"/>
            <w:tcBorders>
              <w:tl2br w:val="nil"/>
              <w:tr2bl w:val="nil"/>
            </w:tcBorders>
            <w:vAlign w:val="center"/>
          </w:tcPr>
          <w:p w14:paraId="339AF585">
            <w:pPr>
              <w:keepNext w:val="0"/>
              <w:keepLines w:val="0"/>
              <w:pageBreakBefore w:val="0"/>
              <w:widowControl/>
              <w:kinsoku/>
              <w:wordWrap/>
              <w:overflowPunct/>
              <w:topLinePunct w:val="0"/>
              <w:autoSpaceDE/>
              <w:autoSpaceDN/>
              <w:bidi w:val="0"/>
              <w:adjustRightInd w:val="0"/>
              <w:snapToGrid w:val="0"/>
              <w:jc w:val="center"/>
              <w:rPr>
                <w:color w:val="auto"/>
                <w:spacing w:val="0"/>
                <w:kern w:val="0"/>
              </w:rPr>
            </w:pPr>
            <w:r>
              <w:rPr>
                <w:color w:val="auto"/>
                <w:spacing w:val="0"/>
                <w:kern w:val="0"/>
              </w:rPr>
              <w:t>/</w:t>
            </w:r>
          </w:p>
        </w:tc>
        <w:tc>
          <w:tcPr>
            <w:tcW w:w="617" w:type="pct"/>
            <w:tcBorders>
              <w:tl2br w:val="nil"/>
              <w:tr2bl w:val="nil"/>
            </w:tcBorders>
            <w:vAlign w:val="center"/>
          </w:tcPr>
          <w:p w14:paraId="2327F6BE">
            <w:pPr>
              <w:pStyle w:val="5"/>
              <w:keepNext w:val="0"/>
              <w:keepLines w:val="0"/>
              <w:pageBreakBefore w:val="0"/>
              <w:kinsoku/>
              <w:wordWrap/>
              <w:overflowPunct/>
              <w:topLinePunct w:val="0"/>
              <w:autoSpaceDE/>
              <w:autoSpaceDN/>
              <w:bidi w:val="0"/>
              <w:adjustRightInd w:val="0"/>
              <w:snapToGrid w:val="0"/>
              <w:ind w:firstLine="0" w:firstLineChars="0"/>
              <w:jc w:val="center"/>
              <w:rPr>
                <w:rFonts w:hint="default" w:eastAsia="宋体"/>
                <w:color w:val="auto"/>
                <w:spacing w:val="0"/>
                <w:kern w:val="0"/>
                <w:lang w:val="en-US" w:eastAsia="zh-CN"/>
              </w:rPr>
            </w:pPr>
            <w:r>
              <w:rPr>
                <w:rFonts w:hint="eastAsia"/>
                <w:color w:val="auto"/>
                <w:kern w:val="0"/>
                <w:szCs w:val="21"/>
                <w:lang w:val="en-US" w:eastAsia="zh-CN"/>
              </w:rPr>
              <w:t>0.88</w:t>
            </w:r>
          </w:p>
        </w:tc>
        <w:tc>
          <w:tcPr>
            <w:tcW w:w="574" w:type="pct"/>
            <w:tcBorders>
              <w:tl2br w:val="nil"/>
              <w:tr2bl w:val="nil"/>
            </w:tcBorders>
            <w:vAlign w:val="center"/>
          </w:tcPr>
          <w:p w14:paraId="42B1E1A7">
            <w:pPr>
              <w:keepNext w:val="0"/>
              <w:keepLines w:val="0"/>
              <w:pageBreakBefore w:val="0"/>
              <w:widowControl/>
              <w:kinsoku/>
              <w:wordWrap/>
              <w:overflowPunct/>
              <w:topLinePunct w:val="0"/>
              <w:autoSpaceDE/>
              <w:autoSpaceDN/>
              <w:bidi w:val="0"/>
              <w:adjustRightInd w:val="0"/>
              <w:snapToGrid w:val="0"/>
              <w:jc w:val="center"/>
              <w:rPr>
                <w:color w:val="auto"/>
                <w:spacing w:val="0"/>
                <w:kern w:val="0"/>
              </w:rPr>
            </w:pPr>
            <w:r>
              <w:rPr>
                <w:color w:val="auto"/>
                <w:spacing w:val="0"/>
                <w:kern w:val="0"/>
              </w:rPr>
              <w:t>/</w:t>
            </w:r>
          </w:p>
        </w:tc>
        <w:tc>
          <w:tcPr>
            <w:tcW w:w="632" w:type="pct"/>
            <w:tcBorders>
              <w:tl2br w:val="nil"/>
              <w:tr2bl w:val="nil"/>
            </w:tcBorders>
            <w:vAlign w:val="center"/>
          </w:tcPr>
          <w:p w14:paraId="457F4819">
            <w:pPr>
              <w:pStyle w:val="5"/>
              <w:keepNext w:val="0"/>
              <w:keepLines w:val="0"/>
              <w:pageBreakBefore w:val="0"/>
              <w:kinsoku/>
              <w:wordWrap/>
              <w:overflowPunct/>
              <w:topLinePunct w:val="0"/>
              <w:autoSpaceDE/>
              <w:autoSpaceDN/>
              <w:bidi w:val="0"/>
              <w:adjustRightInd w:val="0"/>
              <w:snapToGrid w:val="0"/>
              <w:ind w:firstLine="0" w:firstLineChars="0"/>
              <w:jc w:val="center"/>
              <w:rPr>
                <w:rFonts w:hint="default" w:eastAsia="宋体"/>
                <w:color w:val="auto"/>
                <w:spacing w:val="0"/>
                <w:kern w:val="0"/>
                <w:lang w:val="en-US" w:eastAsia="zh-CN"/>
              </w:rPr>
            </w:pPr>
            <w:r>
              <w:rPr>
                <w:rFonts w:hint="eastAsia"/>
                <w:color w:val="auto"/>
                <w:kern w:val="0"/>
                <w:szCs w:val="21"/>
                <w:lang w:val="en-US" w:eastAsia="zh-CN"/>
              </w:rPr>
              <w:t>0.88</w:t>
            </w:r>
          </w:p>
        </w:tc>
        <w:tc>
          <w:tcPr>
            <w:tcW w:w="438" w:type="pct"/>
            <w:tcBorders>
              <w:tl2br w:val="nil"/>
              <w:tr2bl w:val="nil"/>
            </w:tcBorders>
            <w:vAlign w:val="center"/>
          </w:tcPr>
          <w:p w14:paraId="7C67CF36">
            <w:pPr>
              <w:pStyle w:val="5"/>
              <w:keepNext w:val="0"/>
              <w:keepLines w:val="0"/>
              <w:pageBreakBefore w:val="0"/>
              <w:kinsoku/>
              <w:wordWrap/>
              <w:overflowPunct/>
              <w:topLinePunct w:val="0"/>
              <w:autoSpaceDE/>
              <w:autoSpaceDN/>
              <w:bidi w:val="0"/>
              <w:adjustRightInd w:val="0"/>
              <w:snapToGrid w:val="0"/>
              <w:ind w:firstLine="0" w:firstLineChars="0"/>
              <w:jc w:val="center"/>
              <w:rPr>
                <w:rFonts w:hint="default" w:eastAsia="宋体"/>
                <w:color w:val="auto"/>
                <w:spacing w:val="0"/>
                <w:kern w:val="0"/>
                <w:lang w:val="en-US" w:eastAsia="zh-CN"/>
              </w:rPr>
            </w:pPr>
            <w:r>
              <w:rPr>
                <w:rFonts w:hint="eastAsia"/>
                <w:color w:val="auto"/>
                <w:kern w:val="0"/>
                <w:szCs w:val="21"/>
                <w:lang w:val="en-US" w:eastAsia="zh-CN"/>
              </w:rPr>
              <w:t>+0.88</w:t>
            </w:r>
          </w:p>
        </w:tc>
      </w:tr>
      <w:tr w14:paraId="3F66678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jc w:val="center"/>
        </w:trPr>
        <w:tc>
          <w:tcPr>
            <w:tcW w:w="502" w:type="pct"/>
            <w:vMerge w:val="continue"/>
            <w:tcBorders>
              <w:tl2br w:val="nil"/>
              <w:tr2bl w:val="nil"/>
            </w:tcBorders>
            <w:vAlign w:val="center"/>
          </w:tcPr>
          <w:p w14:paraId="00909CD3">
            <w:pPr>
              <w:pStyle w:val="277"/>
              <w:keepNext w:val="0"/>
              <w:keepLines w:val="0"/>
              <w:pageBreakBefore w:val="0"/>
              <w:kinsoku/>
              <w:wordWrap/>
              <w:overflowPunct/>
              <w:topLinePunct w:val="0"/>
              <w:autoSpaceDE/>
              <w:autoSpaceDN/>
              <w:bidi w:val="0"/>
              <w:adjustRightInd w:val="0"/>
              <w:snapToGrid w:val="0"/>
              <w:spacing w:beforeLines="0" w:afterLines="0" w:line="240" w:lineRule="auto"/>
              <w:ind w:left="0" w:firstLine="0" w:firstLineChars="0"/>
              <w:rPr>
                <w:rFonts w:ascii="Times New Roman" w:eastAsia="宋体"/>
                <w:color w:val="auto"/>
                <w:spacing w:val="0"/>
                <w:kern w:val="0"/>
                <w:sz w:val="21"/>
                <w:szCs w:val="21"/>
              </w:rPr>
            </w:pPr>
          </w:p>
        </w:tc>
        <w:tc>
          <w:tcPr>
            <w:tcW w:w="889" w:type="pct"/>
            <w:gridSpan w:val="2"/>
            <w:tcBorders>
              <w:tl2br w:val="nil"/>
              <w:tr2bl w:val="nil"/>
            </w:tcBorders>
            <w:vAlign w:val="center"/>
          </w:tcPr>
          <w:p w14:paraId="591C4636">
            <w:pPr>
              <w:pStyle w:val="5"/>
              <w:keepNext w:val="0"/>
              <w:keepLines w:val="0"/>
              <w:pageBreakBefore w:val="0"/>
              <w:kinsoku/>
              <w:wordWrap/>
              <w:overflowPunct/>
              <w:topLinePunct w:val="0"/>
              <w:autoSpaceDE/>
              <w:autoSpaceDN/>
              <w:bidi w:val="0"/>
              <w:adjustRightInd w:val="0"/>
              <w:snapToGrid w:val="0"/>
              <w:ind w:firstLine="0" w:firstLineChars="0"/>
              <w:jc w:val="center"/>
              <w:rPr>
                <w:bCs/>
                <w:color w:val="auto"/>
                <w:spacing w:val="0"/>
                <w:kern w:val="0"/>
                <w:szCs w:val="18"/>
              </w:rPr>
            </w:pPr>
            <w:r>
              <w:rPr>
                <w:rFonts w:hint="eastAsia"/>
                <w:bCs/>
                <w:color w:val="auto"/>
                <w:kern w:val="0"/>
                <w:szCs w:val="21"/>
                <w:lang w:val="en-US" w:eastAsia="zh-CN"/>
              </w:rPr>
              <w:t>清洗废液</w:t>
            </w:r>
          </w:p>
        </w:tc>
        <w:tc>
          <w:tcPr>
            <w:tcW w:w="398" w:type="pct"/>
            <w:tcBorders>
              <w:tl2br w:val="nil"/>
              <w:tr2bl w:val="nil"/>
            </w:tcBorders>
            <w:vAlign w:val="center"/>
          </w:tcPr>
          <w:p w14:paraId="1E28E3F5">
            <w:pPr>
              <w:keepNext w:val="0"/>
              <w:keepLines w:val="0"/>
              <w:pageBreakBefore w:val="0"/>
              <w:widowControl/>
              <w:kinsoku/>
              <w:wordWrap/>
              <w:overflowPunct/>
              <w:topLinePunct w:val="0"/>
              <w:autoSpaceDE/>
              <w:autoSpaceDN/>
              <w:bidi w:val="0"/>
              <w:adjustRightInd w:val="0"/>
              <w:snapToGrid w:val="0"/>
              <w:jc w:val="center"/>
              <w:rPr>
                <w:color w:val="auto"/>
                <w:spacing w:val="0"/>
                <w:kern w:val="0"/>
              </w:rPr>
            </w:pPr>
            <w:r>
              <w:rPr>
                <w:color w:val="auto"/>
                <w:spacing w:val="0"/>
                <w:kern w:val="0"/>
              </w:rPr>
              <w:t>/</w:t>
            </w:r>
          </w:p>
        </w:tc>
        <w:tc>
          <w:tcPr>
            <w:tcW w:w="448" w:type="pct"/>
            <w:tcBorders>
              <w:tl2br w:val="nil"/>
              <w:tr2bl w:val="nil"/>
            </w:tcBorders>
            <w:vAlign w:val="center"/>
          </w:tcPr>
          <w:p w14:paraId="611F7A9D">
            <w:pPr>
              <w:keepNext w:val="0"/>
              <w:keepLines w:val="0"/>
              <w:pageBreakBefore w:val="0"/>
              <w:widowControl/>
              <w:kinsoku/>
              <w:wordWrap/>
              <w:overflowPunct/>
              <w:topLinePunct w:val="0"/>
              <w:autoSpaceDE/>
              <w:autoSpaceDN/>
              <w:bidi w:val="0"/>
              <w:adjustRightInd w:val="0"/>
              <w:snapToGrid w:val="0"/>
              <w:jc w:val="center"/>
              <w:rPr>
                <w:color w:val="auto"/>
                <w:spacing w:val="0"/>
                <w:kern w:val="0"/>
                <w:szCs w:val="18"/>
              </w:rPr>
            </w:pPr>
            <w:r>
              <w:rPr>
                <w:color w:val="auto"/>
                <w:spacing w:val="0"/>
                <w:kern w:val="0"/>
              </w:rPr>
              <w:t>/</w:t>
            </w:r>
          </w:p>
        </w:tc>
        <w:tc>
          <w:tcPr>
            <w:tcW w:w="498" w:type="pct"/>
            <w:tcBorders>
              <w:tl2br w:val="nil"/>
              <w:tr2bl w:val="nil"/>
            </w:tcBorders>
            <w:vAlign w:val="center"/>
          </w:tcPr>
          <w:p w14:paraId="429198E5">
            <w:pPr>
              <w:keepNext w:val="0"/>
              <w:keepLines w:val="0"/>
              <w:pageBreakBefore w:val="0"/>
              <w:widowControl/>
              <w:kinsoku/>
              <w:wordWrap/>
              <w:overflowPunct/>
              <w:topLinePunct w:val="0"/>
              <w:autoSpaceDE/>
              <w:autoSpaceDN/>
              <w:bidi w:val="0"/>
              <w:adjustRightInd w:val="0"/>
              <w:snapToGrid w:val="0"/>
              <w:jc w:val="center"/>
              <w:rPr>
                <w:color w:val="auto"/>
                <w:spacing w:val="0"/>
                <w:kern w:val="0"/>
              </w:rPr>
            </w:pPr>
            <w:r>
              <w:rPr>
                <w:color w:val="auto"/>
                <w:spacing w:val="0"/>
                <w:kern w:val="0"/>
              </w:rPr>
              <w:t>/</w:t>
            </w:r>
          </w:p>
        </w:tc>
        <w:tc>
          <w:tcPr>
            <w:tcW w:w="617" w:type="pct"/>
            <w:tcBorders>
              <w:tl2br w:val="nil"/>
              <w:tr2bl w:val="nil"/>
            </w:tcBorders>
            <w:vAlign w:val="center"/>
          </w:tcPr>
          <w:p w14:paraId="099BFC42">
            <w:pPr>
              <w:pStyle w:val="5"/>
              <w:keepNext w:val="0"/>
              <w:keepLines w:val="0"/>
              <w:pageBreakBefore w:val="0"/>
              <w:kinsoku/>
              <w:wordWrap/>
              <w:overflowPunct/>
              <w:topLinePunct w:val="0"/>
              <w:autoSpaceDE/>
              <w:autoSpaceDN/>
              <w:bidi w:val="0"/>
              <w:adjustRightInd w:val="0"/>
              <w:snapToGrid w:val="0"/>
              <w:ind w:firstLine="0" w:firstLineChars="0"/>
              <w:jc w:val="center"/>
              <w:rPr>
                <w:rFonts w:hint="default"/>
                <w:color w:val="auto"/>
                <w:spacing w:val="0"/>
                <w:kern w:val="0"/>
                <w:szCs w:val="21"/>
                <w:lang w:val="en-US"/>
              </w:rPr>
            </w:pPr>
            <w:r>
              <w:rPr>
                <w:rFonts w:hint="eastAsia"/>
                <w:color w:val="auto"/>
                <w:kern w:val="0"/>
                <w:szCs w:val="21"/>
                <w:lang w:val="en-US" w:eastAsia="zh-CN"/>
              </w:rPr>
              <w:t>1.8</w:t>
            </w:r>
          </w:p>
        </w:tc>
        <w:tc>
          <w:tcPr>
            <w:tcW w:w="574" w:type="pct"/>
            <w:tcBorders>
              <w:tl2br w:val="nil"/>
              <w:tr2bl w:val="nil"/>
            </w:tcBorders>
            <w:vAlign w:val="center"/>
          </w:tcPr>
          <w:p w14:paraId="4E8F924B">
            <w:pPr>
              <w:keepNext w:val="0"/>
              <w:keepLines w:val="0"/>
              <w:pageBreakBefore w:val="0"/>
              <w:widowControl/>
              <w:kinsoku/>
              <w:wordWrap/>
              <w:overflowPunct/>
              <w:topLinePunct w:val="0"/>
              <w:autoSpaceDE/>
              <w:autoSpaceDN/>
              <w:bidi w:val="0"/>
              <w:adjustRightInd w:val="0"/>
              <w:snapToGrid w:val="0"/>
              <w:jc w:val="center"/>
              <w:rPr>
                <w:color w:val="auto"/>
                <w:spacing w:val="0"/>
                <w:kern w:val="0"/>
              </w:rPr>
            </w:pPr>
            <w:r>
              <w:rPr>
                <w:color w:val="auto"/>
                <w:spacing w:val="0"/>
                <w:kern w:val="0"/>
              </w:rPr>
              <w:t>/</w:t>
            </w:r>
          </w:p>
        </w:tc>
        <w:tc>
          <w:tcPr>
            <w:tcW w:w="632" w:type="pct"/>
            <w:tcBorders>
              <w:tl2br w:val="nil"/>
              <w:tr2bl w:val="nil"/>
            </w:tcBorders>
            <w:vAlign w:val="center"/>
          </w:tcPr>
          <w:p w14:paraId="7AE99A22">
            <w:pPr>
              <w:pStyle w:val="5"/>
              <w:keepNext w:val="0"/>
              <w:keepLines w:val="0"/>
              <w:pageBreakBefore w:val="0"/>
              <w:kinsoku/>
              <w:wordWrap/>
              <w:overflowPunct/>
              <w:topLinePunct w:val="0"/>
              <w:autoSpaceDE/>
              <w:autoSpaceDN/>
              <w:bidi w:val="0"/>
              <w:adjustRightInd w:val="0"/>
              <w:snapToGrid w:val="0"/>
              <w:ind w:firstLine="0" w:firstLineChars="0"/>
              <w:jc w:val="center"/>
              <w:rPr>
                <w:rFonts w:hint="default"/>
                <w:color w:val="auto"/>
                <w:spacing w:val="0"/>
                <w:kern w:val="0"/>
                <w:szCs w:val="21"/>
                <w:lang w:val="en-US"/>
              </w:rPr>
            </w:pPr>
            <w:r>
              <w:rPr>
                <w:rFonts w:hint="eastAsia"/>
                <w:color w:val="auto"/>
                <w:kern w:val="0"/>
                <w:szCs w:val="21"/>
                <w:lang w:val="en-US" w:eastAsia="zh-CN"/>
              </w:rPr>
              <w:t>1.8</w:t>
            </w:r>
          </w:p>
        </w:tc>
        <w:tc>
          <w:tcPr>
            <w:tcW w:w="438" w:type="pct"/>
            <w:tcBorders>
              <w:tl2br w:val="nil"/>
              <w:tr2bl w:val="nil"/>
            </w:tcBorders>
            <w:vAlign w:val="center"/>
          </w:tcPr>
          <w:p w14:paraId="76C563AF">
            <w:pPr>
              <w:pStyle w:val="5"/>
              <w:keepNext w:val="0"/>
              <w:keepLines w:val="0"/>
              <w:pageBreakBefore w:val="0"/>
              <w:kinsoku/>
              <w:wordWrap/>
              <w:overflowPunct/>
              <w:topLinePunct w:val="0"/>
              <w:autoSpaceDE/>
              <w:autoSpaceDN/>
              <w:bidi w:val="0"/>
              <w:adjustRightInd w:val="0"/>
              <w:snapToGrid w:val="0"/>
              <w:ind w:firstLine="0" w:firstLineChars="0"/>
              <w:jc w:val="center"/>
              <w:rPr>
                <w:rFonts w:hint="default"/>
                <w:color w:val="auto"/>
                <w:spacing w:val="0"/>
                <w:kern w:val="0"/>
                <w:szCs w:val="21"/>
                <w:lang w:val="en-US"/>
              </w:rPr>
            </w:pPr>
            <w:r>
              <w:rPr>
                <w:rFonts w:hint="eastAsia"/>
                <w:color w:val="auto"/>
                <w:kern w:val="0"/>
                <w:szCs w:val="21"/>
                <w:lang w:val="en-US" w:eastAsia="zh-CN"/>
              </w:rPr>
              <w:t>+1.8</w:t>
            </w:r>
          </w:p>
        </w:tc>
      </w:tr>
      <w:tr w14:paraId="5336375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jc w:val="center"/>
        </w:trPr>
        <w:tc>
          <w:tcPr>
            <w:tcW w:w="502" w:type="pct"/>
            <w:vMerge w:val="continue"/>
            <w:tcBorders>
              <w:tl2br w:val="nil"/>
              <w:tr2bl w:val="nil"/>
            </w:tcBorders>
            <w:vAlign w:val="center"/>
          </w:tcPr>
          <w:p w14:paraId="2621A340">
            <w:pPr>
              <w:pStyle w:val="277"/>
              <w:keepNext w:val="0"/>
              <w:keepLines w:val="0"/>
              <w:pageBreakBefore w:val="0"/>
              <w:kinsoku/>
              <w:wordWrap/>
              <w:overflowPunct/>
              <w:topLinePunct w:val="0"/>
              <w:autoSpaceDE/>
              <w:autoSpaceDN/>
              <w:bidi w:val="0"/>
              <w:adjustRightInd w:val="0"/>
              <w:snapToGrid w:val="0"/>
              <w:spacing w:beforeLines="0" w:afterLines="0" w:line="240" w:lineRule="auto"/>
              <w:ind w:left="0" w:firstLine="0" w:firstLineChars="0"/>
              <w:rPr>
                <w:rFonts w:ascii="Times New Roman" w:eastAsia="宋体"/>
                <w:color w:val="auto"/>
                <w:spacing w:val="0"/>
                <w:kern w:val="0"/>
                <w:sz w:val="21"/>
                <w:szCs w:val="21"/>
              </w:rPr>
            </w:pPr>
          </w:p>
        </w:tc>
        <w:tc>
          <w:tcPr>
            <w:tcW w:w="889" w:type="pct"/>
            <w:gridSpan w:val="2"/>
            <w:tcBorders>
              <w:tl2br w:val="nil"/>
              <w:tr2bl w:val="nil"/>
            </w:tcBorders>
            <w:vAlign w:val="center"/>
          </w:tcPr>
          <w:p w14:paraId="79EAECD4">
            <w:pPr>
              <w:pStyle w:val="5"/>
              <w:keepNext w:val="0"/>
              <w:keepLines w:val="0"/>
              <w:pageBreakBefore w:val="0"/>
              <w:kinsoku/>
              <w:wordWrap/>
              <w:overflowPunct/>
              <w:topLinePunct w:val="0"/>
              <w:autoSpaceDE/>
              <w:autoSpaceDN/>
              <w:bidi w:val="0"/>
              <w:adjustRightInd w:val="0"/>
              <w:snapToGrid w:val="0"/>
              <w:ind w:firstLine="0" w:firstLineChars="0"/>
              <w:jc w:val="center"/>
              <w:rPr>
                <w:bCs/>
                <w:color w:val="auto"/>
                <w:spacing w:val="0"/>
                <w:kern w:val="0"/>
                <w:szCs w:val="18"/>
              </w:rPr>
            </w:pPr>
            <w:r>
              <w:rPr>
                <w:rFonts w:hint="eastAsia"/>
                <w:bCs/>
                <w:color w:val="auto"/>
                <w:kern w:val="0"/>
                <w:szCs w:val="21"/>
                <w:lang w:val="en-US" w:eastAsia="zh-CN"/>
              </w:rPr>
              <w:t>洗枪废液</w:t>
            </w:r>
          </w:p>
        </w:tc>
        <w:tc>
          <w:tcPr>
            <w:tcW w:w="398" w:type="pct"/>
            <w:tcBorders>
              <w:tl2br w:val="nil"/>
              <w:tr2bl w:val="nil"/>
            </w:tcBorders>
            <w:vAlign w:val="center"/>
          </w:tcPr>
          <w:p w14:paraId="492AF7F4">
            <w:pPr>
              <w:keepNext w:val="0"/>
              <w:keepLines w:val="0"/>
              <w:pageBreakBefore w:val="0"/>
              <w:widowControl/>
              <w:kinsoku/>
              <w:wordWrap/>
              <w:overflowPunct/>
              <w:topLinePunct w:val="0"/>
              <w:autoSpaceDE/>
              <w:autoSpaceDN/>
              <w:bidi w:val="0"/>
              <w:adjustRightInd w:val="0"/>
              <w:snapToGrid w:val="0"/>
              <w:jc w:val="center"/>
              <w:rPr>
                <w:color w:val="auto"/>
                <w:spacing w:val="0"/>
                <w:kern w:val="0"/>
              </w:rPr>
            </w:pPr>
            <w:r>
              <w:rPr>
                <w:color w:val="auto"/>
                <w:spacing w:val="0"/>
                <w:kern w:val="0"/>
              </w:rPr>
              <w:t>/</w:t>
            </w:r>
          </w:p>
        </w:tc>
        <w:tc>
          <w:tcPr>
            <w:tcW w:w="448" w:type="pct"/>
            <w:tcBorders>
              <w:tl2br w:val="nil"/>
              <w:tr2bl w:val="nil"/>
            </w:tcBorders>
            <w:vAlign w:val="center"/>
          </w:tcPr>
          <w:p w14:paraId="206262F0">
            <w:pPr>
              <w:keepNext w:val="0"/>
              <w:keepLines w:val="0"/>
              <w:pageBreakBefore w:val="0"/>
              <w:widowControl/>
              <w:kinsoku/>
              <w:wordWrap/>
              <w:overflowPunct/>
              <w:topLinePunct w:val="0"/>
              <w:autoSpaceDE/>
              <w:autoSpaceDN/>
              <w:bidi w:val="0"/>
              <w:adjustRightInd w:val="0"/>
              <w:snapToGrid w:val="0"/>
              <w:jc w:val="center"/>
              <w:rPr>
                <w:color w:val="auto"/>
                <w:spacing w:val="0"/>
                <w:kern w:val="0"/>
                <w:szCs w:val="18"/>
              </w:rPr>
            </w:pPr>
            <w:r>
              <w:rPr>
                <w:color w:val="auto"/>
                <w:spacing w:val="0"/>
                <w:kern w:val="0"/>
              </w:rPr>
              <w:t>/</w:t>
            </w:r>
          </w:p>
        </w:tc>
        <w:tc>
          <w:tcPr>
            <w:tcW w:w="498" w:type="pct"/>
            <w:tcBorders>
              <w:tl2br w:val="nil"/>
              <w:tr2bl w:val="nil"/>
            </w:tcBorders>
            <w:vAlign w:val="center"/>
          </w:tcPr>
          <w:p w14:paraId="10BF10CE">
            <w:pPr>
              <w:keepNext w:val="0"/>
              <w:keepLines w:val="0"/>
              <w:pageBreakBefore w:val="0"/>
              <w:widowControl/>
              <w:kinsoku/>
              <w:wordWrap/>
              <w:overflowPunct/>
              <w:topLinePunct w:val="0"/>
              <w:autoSpaceDE/>
              <w:autoSpaceDN/>
              <w:bidi w:val="0"/>
              <w:adjustRightInd w:val="0"/>
              <w:snapToGrid w:val="0"/>
              <w:jc w:val="center"/>
              <w:rPr>
                <w:color w:val="auto"/>
                <w:spacing w:val="0"/>
                <w:kern w:val="0"/>
              </w:rPr>
            </w:pPr>
            <w:r>
              <w:rPr>
                <w:color w:val="auto"/>
                <w:spacing w:val="0"/>
                <w:kern w:val="0"/>
              </w:rPr>
              <w:t>/</w:t>
            </w:r>
          </w:p>
        </w:tc>
        <w:tc>
          <w:tcPr>
            <w:tcW w:w="617" w:type="pct"/>
            <w:tcBorders>
              <w:tl2br w:val="nil"/>
              <w:tr2bl w:val="nil"/>
            </w:tcBorders>
            <w:vAlign w:val="center"/>
          </w:tcPr>
          <w:p w14:paraId="4FC90A23">
            <w:pPr>
              <w:pStyle w:val="5"/>
              <w:keepNext w:val="0"/>
              <w:keepLines w:val="0"/>
              <w:pageBreakBefore w:val="0"/>
              <w:kinsoku/>
              <w:wordWrap/>
              <w:overflowPunct/>
              <w:topLinePunct w:val="0"/>
              <w:autoSpaceDE/>
              <w:autoSpaceDN/>
              <w:bidi w:val="0"/>
              <w:adjustRightInd w:val="0"/>
              <w:snapToGrid w:val="0"/>
              <w:ind w:firstLine="0" w:firstLineChars="0"/>
              <w:jc w:val="center"/>
              <w:rPr>
                <w:color w:val="auto"/>
                <w:spacing w:val="0"/>
                <w:kern w:val="0"/>
                <w:szCs w:val="21"/>
              </w:rPr>
            </w:pPr>
            <w:r>
              <w:rPr>
                <w:rFonts w:hint="eastAsia"/>
                <w:color w:val="auto"/>
                <w:kern w:val="0"/>
                <w:szCs w:val="21"/>
                <w:lang w:val="en-US" w:eastAsia="zh-CN"/>
              </w:rPr>
              <w:t>0.1</w:t>
            </w:r>
          </w:p>
        </w:tc>
        <w:tc>
          <w:tcPr>
            <w:tcW w:w="574" w:type="pct"/>
            <w:tcBorders>
              <w:tl2br w:val="nil"/>
              <w:tr2bl w:val="nil"/>
            </w:tcBorders>
            <w:vAlign w:val="center"/>
          </w:tcPr>
          <w:p w14:paraId="39D20F6D">
            <w:pPr>
              <w:keepNext w:val="0"/>
              <w:keepLines w:val="0"/>
              <w:pageBreakBefore w:val="0"/>
              <w:widowControl/>
              <w:kinsoku/>
              <w:wordWrap/>
              <w:overflowPunct/>
              <w:topLinePunct w:val="0"/>
              <w:autoSpaceDE/>
              <w:autoSpaceDN/>
              <w:bidi w:val="0"/>
              <w:adjustRightInd w:val="0"/>
              <w:snapToGrid w:val="0"/>
              <w:jc w:val="center"/>
              <w:rPr>
                <w:color w:val="auto"/>
                <w:spacing w:val="0"/>
                <w:kern w:val="0"/>
              </w:rPr>
            </w:pPr>
            <w:r>
              <w:rPr>
                <w:color w:val="auto"/>
                <w:spacing w:val="0"/>
                <w:kern w:val="0"/>
              </w:rPr>
              <w:t>/</w:t>
            </w:r>
          </w:p>
        </w:tc>
        <w:tc>
          <w:tcPr>
            <w:tcW w:w="632" w:type="pct"/>
            <w:tcBorders>
              <w:tl2br w:val="nil"/>
              <w:tr2bl w:val="nil"/>
            </w:tcBorders>
            <w:vAlign w:val="center"/>
          </w:tcPr>
          <w:p w14:paraId="7F18ACBA">
            <w:pPr>
              <w:pStyle w:val="5"/>
              <w:keepNext w:val="0"/>
              <w:keepLines w:val="0"/>
              <w:pageBreakBefore w:val="0"/>
              <w:kinsoku/>
              <w:wordWrap/>
              <w:overflowPunct/>
              <w:topLinePunct w:val="0"/>
              <w:autoSpaceDE/>
              <w:autoSpaceDN/>
              <w:bidi w:val="0"/>
              <w:adjustRightInd w:val="0"/>
              <w:snapToGrid w:val="0"/>
              <w:ind w:firstLine="0" w:firstLineChars="0"/>
              <w:jc w:val="center"/>
              <w:rPr>
                <w:color w:val="auto"/>
                <w:spacing w:val="0"/>
                <w:kern w:val="0"/>
                <w:szCs w:val="21"/>
              </w:rPr>
            </w:pPr>
            <w:r>
              <w:rPr>
                <w:rFonts w:hint="eastAsia"/>
                <w:color w:val="auto"/>
                <w:kern w:val="0"/>
                <w:szCs w:val="21"/>
                <w:lang w:val="en-US" w:eastAsia="zh-CN"/>
              </w:rPr>
              <w:t>0.1</w:t>
            </w:r>
          </w:p>
        </w:tc>
        <w:tc>
          <w:tcPr>
            <w:tcW w:w="438" w:type="pct"/>
            <w:tcBorders>
              <w:tl2br w:val="nil"/>
              <w:tr2bl w:val="nil"/>
            </w:tcBorders>
            <w:vAlign w:val="center"/>
          </w:tcPr>
          <w:p w14:paraId="623FB1E8">
            <w:pPr>
              <w:pStyle w:val="5"/>
              <w:keepNext w:val="0"/>
              <w:keepLines w:val="0"/>
              <w:pageBreakBefore w:val="0"/>
              <w:kinsoku/>
              <w:wordWrap/>
              <w:overflowPunct/>
              <w:topLinePunct w:val="0"/>
              <w:autoSpaceDE/>
              <w:autoSpaceDN/>
              <w:bidi w:val="0"/>
              <w:adjustRightInd w:val="0"/>
              <w:snapToGrid w:val="0"/>
              <w:ind w:firstLine="0" w:firstLineChars="0"/>
              <w:jc w:val="center"/>
              <w:rPr>
                <w:color w:val="auto"/>
                <w:spacing w:val="0"/>
                <w:kern w:val="0"/>
                <w:szCs w:val="21"/>
              </w:rPr>
            </w:pPr>
            <w:r>
              <w:rPr>
                <w:rFonts w:hint="eastAsia"/>
                <w:color w:val="auto"/>
                <w:kern w:val="0"/>
                <w:szCs w:val="21"/>
                <w:lang w:val="en-US" w:eastAsia="zh-CN"/>
              </w:rPr>
              <w:t>+0.1</w:t>
            </w:r>
          </w:p>
        </w:tc>
      </w:tr>
      <w:tr w14:paraId="71FF2B5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jc w:val="center"/>
        </w:trPr>
        <w:tc>
          <w:tcPr>
            <w:tcW w:w="502" w:type="pct"/>
            <w:vMerge w:val="continue"/>
            <w:tcBorders>
              <w:tl2br w:val="nil"/>
              <w:tr2bl w:val="nil"/>
            </w:tcBorders>
            <w:vAlign w:val="center"/>
          </w:tcPr>
          <w:p w14:paraId="35C10D51">
            <w:pPr>
              <w:pStyle w:val="277"/>
              <w:keepNext w:val="0"/>
              <w:keepLines w:val="0"/>
              <w:pageBreakBefore w:val="0"/>
              <w:kinsoku/>
              <w:wordWrap/>
              <w:overflowPunct/>
              <w:topLinePunct w:val="0"/>
              <w:autoSpaceDE/>
              <w:autoSpaceDN/>
              <w:bidi w:val="0"/>
              <w:adjustRightInd w:val="0"/>
              <w:snapToGrid w:val="0"/>
              <w:spacing w:beforeLines="0" w:afterLines="0" w:line="240" w:lineRule="auto"/>
              <w:ind w:left="0" w:firstLine="0" w:firstLineChars="0"/>
              <w:rPr>
                <w:rFonts w:ascii="Times New Roman" w:eastAsia="宋体"/>
                <w:color w:val="auto"/>
                <w:spacing w:val="0"/>
                <w:kern w:val="0"/>
                <w:sz w:val="21"/>
                <w:szCs w:val="21"/>
              </w:rPr>
            </w:pPr>
          </w:p>
        </w:tc>
        <w:tc>
          <w:tcPr>
            <w:tcW w:w="889" w:type="pct"/>
            <w:gridSpan w:val="2"/>
            <w:tcBorders>
              <w:tl2br w:val="nil"/>
              <w:tr2bl w:val="nil"/>
            </w:tcBorders>
            <w:vAlign w:val="center"/>
          </w:tcPr>
          <w:p w14:paraId="5FD076A1">
            <w:pPr>
              <w:pStyle w:val="5"/>
              <w:keepNext w:val="0"/>
              <w:keepLines w:val="0"/>
              <w:pageBreakBefore w:val="0"/>
              <w:kinsoku/>
              <w:wordWrap/>
              <w:overflowPunct/>
              <w:topLinePunct w:val="0"/>
              <w:autoSpaceDE/>
              <w:autoSpaceDN/>
              <w:bidi w:val="0"/>
              <w:adjustRightInd w:val="0"/>
              <w:snapToGrid w:val="0"/>
              <w:ind w:firstLine="0" w:firstLineChars="0"/>
              <w:jc w:val="center"/>
              <w:rPr>
                <w:rFonts w:hint="default"/>
                <w:bCs/>
                <w:color w:val="auto"/>
                <w:spacing w:val="0"/>
                <w:kern w:val="0"/>
                <w:szCs w:val="21"/>
                <w:lang w:val="en-US" w:eastAsia="zh-CN"/>
              </w:rPr>
            </w:pPr>
            <w:r>
              <w:rPr>
                <w:rFonts w:hint="eastAsia"/>
                <w:bCs/>
                <w:color w:val="auto"/>
                <w:kern w:val="0"/>
                <w:szCs w:val="21"/>
                <w:lang w:val="en-US" w:eastAsia="zh-CN"/>
              </w:rPr>
              <w:t>漆渣</w:t>
            </w:r>
          </w:p>
        </w:tc>
        <w:tc>
          <w:tcPr>
            <w:tcW w:w="398" w:type="pct"/>
            <w:tcBorders>
              <w:tl2br w:val="nil"/>
              <w:tr2bl w:val="nil"/>
            </w:tcBorders>
            <w:shd w:val="clear" w:color="auto" w:fill="auto"/>
            <w:vAlign w:val="center"/>
          </w:tcPr>
          <w:p w14:paraId="02162772">
            <w:pPr>
              <w:keepNext w:val="0"/>
              <w:keepLines w:val="0"/>
              <w:pageBreakBefore w:val="0"/>
              <w:widowControl/>
              <w:kinsoku/>
              <w:wordWrap/>
              <w:overflowPunct/>
              <w:topLinePunct w:val="0"/>
              <w:autoSpaceDE/>
              <w:autoSpaceDN/>
              <w:bidi w:val="0"/>
              <w:adjustRightInd w:val="0"/>
              <w:snapToGrid w:val="0"/>
              <w:jc w:val="center"/>
              <w:rPr>
                <w:rFonts w:ascii="Times New Roman" w:hAnsi="Times New Roman" w:eastAsia="宋体" w:cs="Times New Roman"/>
                <w:snapToGrid w:val="0"/>
                <w:color w:val="auto"/>
                <w:spacing w:val="0"/>
                <w:kern w:val="0"/>
                <w:sz w:val="21"/>
                <w:szCs w:val="21"/>
                <w:lang w:val="en-US" w:eastAsia="zh-CN" w:bidi="ar-SA"/>
              </w:rPr>
            </w:pPr>
            <w:r>
              <w:rPr>
                <w:color w:val="auto"/>
                <w:spacing w:val="0"/>
                <w:kern w:val="0"/>
              </w:rPr>
              <w:t>/</w:t>
            </w:r>
          </w:p>
        </w:tc>
        <w:tc>
          <w:tcPr>
            <w:tcW w:w="448" w:type="pct"/>
            <w:tcBorders>
              <w:tl2br w:val="nil"/>
              <w:tr2bl w:val="nil"/>
            </w:tcBorders>
            <w:shd w:val="clear" w:color="auto" w:fill="auto"/>
            <w:vAlign w:val="center"/>
          </w:tcPr>
          <w:p w14:paraId="3B6896A9">
            <w:pPr>
              <w:keepNext w:val="0"/>
              <w:keepLines w:val="0"/>
              <w:pageBreakBefore w:val="0"/>
              <w:widowControl/>
              <w:kinsoku/>
              <w:wordWrap/>
              <w:overflowPunct/>
              <w:topLinePunct w:val="0"/>
              <w:autoSpaceDE/>
              <w:autoSpaceDN/>
              <w:bidi w:val="0"/>
              <w:adjustRightInd w:val="0"/>
              <w:snapToGrid w:val="0"/>
              <w:jc w:val="center"/>
              <w:rPr>
                <w:rFonts w:ascii="Times New Roman" w:hAnsi="Times New Roman" w:eastAsia="宋体" w:cs="Times New Roman"/>
                <w:snapToGrid w:val="0"/>
                <w:color w:val="auto"/>
                <w:spacing w:val="0"/>
                <w:kern w:val="0"/>
                <w:sz w:val="21"/>
                <w:szCs w:val="18"/>
                <w:lang w:val="en-US" w:eastAsia="zh-CN" w:bidi="ar-SA"/>
              </w:rPr>
            </w:pPr>
            <w:r>
              <w:rPr>
                <w:color w:val="auto"/>
                <w:spacing w:val="0"/>
                <w:kern w:val="0"/>
              </w:rPr>
              <w:t>/</w:t>
            </w:r>
          </w:p>
        </w:tc>
        <w:tc>
          <w:tcPr>
            <w:tcW w:w="498" w:type="pct"/>
            <w:tcBorders>
              <w:tl2br w:val="nil"/>
              <w:tr2bl w:val="nil"/>
            </w:tcBorders>
            <w:shd w:val="clear" w:color="auto" w:fill="auto"/>
            <w:vAlign w:val="center"/>
          </w:tcPr>
          <w:p w14:paraId="2505EC03">
            <w:pPr>
              <w:keepNext w:val="0"/>
              <w:keepLines w:val="0"/>
              <w:pageBreakBefore w:val="0"/>
              <w:widowControl/>
              <w:kinsoku/>
              <w:wordWrap/>
              <w:overflowPunct/>
              <w:topLinePunct w:val="0"/>
              <w:autoSpaceDE/>
              <w:autoSpaceDN/>
              <w:bidi w:val="0"/>
              <w:adjustRightInd w:val="0"/>
              <w:snapToGrid w:val="0"/>
              <w:jc w:val="center"/>
              <w:rPr>
                <w:rFonts w:ascii="Times New Roman" w:hAnsi="Times New Roman" w:eastAsia="宋体" w:cs="Times New Roman"/>
                <w:snapToGrid w:val="0"/>
                <w:color w:val="auto"/>
                <w:spacing w:val="0"/>
                <w:kern w:val="0"/>
                <w:sz w:val="21"/>
                <w:szCs w:val="21"/>
                <w:lang w:val="en-US" w:eastAsia="zh-CN" w:bidi="ar-SA"/>
              </w:rPr>
            </w:pPr>
            <w:r>
              <w:rPr>
                <w:color w:val="auto"/>
                <w:spacing w:val="0"/>
                <w:kern w:val="0"/>
              </w:rPr>
              <w:t>/</w:t>
            </w:r>
          </w:p>
        </w:tc>
        <w:tc>
          <w:tcPr>
            <w:tcW w:w="617" w:type="pct"/>
            <w:tcBorders>
              <w:tl2br w:val="nil"/>
              <w:tr2bl w:val="nil"/>
            </w:tcBorders>
            <w:vAlign w:val="center"/>
          </w:tcPr>
          <w:p w14:paraId="6358F615">
            <w:pPr>
              <w:pStyle w:val="5"/>
              <w:keepNext w:val="0"/>
              <w:keepLines w:val="0"/>
              <w:pageBreakBefore w:val="0"/>
              <w:kinsoku/>
              <w:wordWrap/>
              <w:overflowPunct/>
              <w:topLinePunct w:val="0"/>
              <w:autoSpaceDE/>
              <w:autoSpaceDN/>
              <w:bidi w:val="0"/>
              <w:adjustRightInd w:val="0"/>
              <w:snapToGrid w:val="0"/>
              <w:ind w:firstLine="0" w:firstLineChars="0"/>
              <w:jc w:val="center"/>
              <w:rPr>
                <w:rFonts w:hint="default"/>
                <w:color w:val="auto"/>
                <w:spacing w:val="0"/>
                <w:kern w:val="0"/>
                <w:szCs w:val="21"/>
                <w:lang w:val="en-US" w:eastAsia="zh-CN"/>
              </w:rPr>
            </w:pPr>
            <w:r>
              <w:rPr>
                <w:rFonts w:hint="eastAsia"/>
                <w:color w:val="auto"/>
                <w:kern w:val="0"/>
                <w:szCs w:val="21"/>
                <w:lang w:val="en-US" w:eastAsia="zh-CN"/>
              </w:rPr>
              <w:t>0.3738</w:t>
            </w:r>
          </w:p>
        </w:tc>
        <w:tc>
          <w:tcPr>
            <w:tcW w:w="574" w:type="pct"/>
            <w:tcBorders>
              <w:tl2br w:val="nil"/>
              <w:tr2bl w:val="nil"/>
            </w:tcBorders>
            <w:vAlign w:val="center"/>
          </w:tcPr>
          <w:p w14:paraId="7250A3AC">
            <w:pPr>
              <w:keepNext w:val="0"/>
              <w:keepLines w:val="0"/>
              <w:pageBreakBefore w:val="0"/>
              <w:widowControl/>
              <w:kinsoku/>
              <w:wordWrap/>
              <w:overflowPunct/>
              <w:topLinePunct w:val="0"/>
              <w:autoSpaceDE/>
              <w:autoSpaceDN/>
              <w:bidi w:val="0"/>
              <w:adjustRightInd w:val="0"/>
              <w:snapToGrid w:val="0"/>
              <w:jc w:val="center"/>
              <w:rPr>
                <w:color w:val="auto"/>
                <w:spacing w:val="0"/>
                <w:kern w:val="0"/>
              </w:rPr>
            </w:pPr>
            <w:r>
              <w:rPr>
                <w:color w:val="auto"/>
                <w:spacing w:val="0"/>
                <w:kern w:val="0"/>
              </w:rPr>
              <w:t>/</w:t>
            </w:r>
          </w:p>
        </w:tc>
        <w:tc>
          <w:tcPr>
            <w:tcW w:w="632" w:type="pct"/>
            <w:tcBorders>
              <w:tl2br w:val="nil"/>
              <w:tr2bl w:val="nil"/>
            </w:tcBorders>
            <w:vAlign w:val="center"/>
          </w:tcPr>
          <w:p w14:paraId="7A089853">
            <w:pPr>
              <w:pStyle w:val="5"/>
              <w:keepNext w:val="0"/>
              <w:keepLines w:val="0"/>
              <w:pageBreakBefore w:val="0"/>
              <w:kinsoku/>
              <w:wordWrap/>
              <w:overflowPunct/>
              <w:topLinePunct w:val="0"/>
              <w:autoSpaceDE/>
              <w:autoSpaceDN/>
              <w:bidi w:val="0"/>
              <w:adjustRightInd w:val="0"/>
              <w:snapToGrid w:val="0"/>
              <w:ind w:firstLine="0" w:firstLineChars="0"/>
              <w:jc w:val="center"/>
              <w:rPr>
                <w:rFonts w:hint="default"/>
                <w:color w:val="auto"/>
                <w:spacing w:val="0"/>
                <w:kern w:val="0"/>
                <w:szCs w:val="21"/>
                <w:lang w:val="en-US" w:eastAsia="zh-CN"/>
              </w:rPr>
            </w:pPr>
            <w:r>
              <w:rPr>
                <w:rFonts w:hint="eastAsia"/>
                <w:color w:val="auto"/>
                <w:kern w:val="0"/>
                <w:szCs w:val="21"/>
                <w:lang w:val="en-US" w:eastAsia="zh-CN"/>
              </w:rPr>
              <w:t>0.3738</w:t>
            </w:r>
          </w:p>
        </w:tc>
        <w:tc>
          <w:tcPr>
            <w:tcW w:w="438" w:type="pct"/>
            <w:tcBorders>
              <w:tl2br w:val="nil"/>
              <w:tr2bl w:val="nil"/>
            </w:tcBorders>
            <w:vAlign w:val="center"/>
          </w:tcPr>
          <w:p w14:paraId="482549CD">
            <w:pPr>
              <w:pStyle w:val="5"/>
              <w:keepNext w:val="0"/>
              <w:keepLines w:val="0"/>
              <w:pageBreakBefore w:val="0"/>
              <w:kinsoku/>
              <w:wordWrap/>
              <w:overflowPunct/>
              <w:topLinePunct w:val="0"/>
              <w:autoSpaceDE/>
              <w:autoSpaceDN/>
              <w:bidi w:val="0"/>
              <w:adjustRightInd w:val="0"/>
              <w:snapToGrid w:val="0"/>
              <w:ind w:firstLine="0" w:firstLineChars="0"/>
              <w:jc w:val="center"/>
              <w:rPr>
                <w:rFonts w:hint="default"/>
                <w:color w:val="auto"/>
                <w:spacing w:val="0"/>
                <w:kern w:val="0"/>
                <w:szCs w:val="21"/>
                <w:lang w:val="en-US" w:eastAsia="zh-CN"/>
              </w:rPr>
            </w:pPr>
            <w:r>
              <w:rPr>
                <w:rFonts w:hint="eastAsia"/>
                <w:color w:val="auto"/>
                <w:kern w:val="0"/>
                <w:szCs w:val="21"/>
                <w:lang w:val="en-US" w:eastAsia="zh-CN"/>
              </w:rPr>
              <w:t>+0.3738</w:t>
            </w:r>
          </w:p>
        </w:tc>
      </w:tr>
      <w:tr w14:paraId="0C49D9C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jc w:val="center"/>
        </w:trPr>
        <w:tc>
          <w:tcPr>
            <w:tcW w:w="502" w:type="pct"/>
            <w:vMerge w:val="continue"/>
            <w:tcBorders>
              <w:tl2br w:val="nil"/>
              <w:tr2bl w:val="nil"/>
            </w:tcBorders>
            <w:vAlign w:val="center"/>
          </w:tcPr>
          <w:p w14:paraId="6933CE32">
            <w:pPr>
              <w:pStyle w:val="277"/>
              <w:keepNext w:val="0"/>
              <w:keepLines w:val="0"/>
              <w:pageBreakBefore w:val="0"/>
              <w:kinsoku/>
              <w:wordWrap/>
              <w:overflowPunct/>
              <w:topLinePunct w:val="0"/>
              <w:autoSpaceDE/>
              <w:autoSpaceDN/>
              <w:bidi w:val="0"/>
              <w:adjustRightInd w:val="0"/>
              <w:snapToGrid w:val="0"/>
              <w:spacing w:beforeLines="0" w:afterLines="0" w:line="240" w:lineRule="auto"/>
              <w:ind w:left="0" w:firstLine="0" w:firstLineChars="0"/>
              <w:rPr>
                <w:rFonts w:ascii="Times New Roman" w:eastAsia="宋体"/>
                <w:color w:val="auto"/>
                <w:spacing w:val="0"/>
                <w:kern w:val="0"/>
                <w:sz w:val="21"/>
                <w:szCs w:val="21"/>
              </w:rPr>
            </w:pPr>
          </w:p>
        </w:tc>
        <w:tc>
          <w:tcPr>
            <w:tcW w:w="889" w:type="pct"/>
            <w:gridSpan w:val="2"/>
            <w:tcBorders>
              <w:tl2br w:val="nil"/>
              <w:tr2bl w:val="nil"/>
            </w:tcBorders>
            <w:vAlign w:val="center"/>
          </w:tcPr>
          <w:p w14:paraId="3C9243AB">
            <w:pPr>
              <w:pStyle w:val="5"/>
              <w:keepNext w:val="0"/>
              <w:keepLines w:val="0"/>
              <w:pageBreakBefore w:val="0"/>
              <w:kinsoku/>
              <w:wordWrap/>
              <w:overflowPunct/>
              <w:topLinePunct w:val="0"/>
              <w:autoSpaceDE/>
              <w:autoSpaceDN/>
              <w:bidi w:val="0"/>
              <w:adjustRightInd w:val="0"/>
              <w:snapToGrid w:val="0"/>
              <w:ind w:firstLine="0" w:firstLineChars="0"/>
              <w:jc w:val="center"/>
              <w:rPr>
                <w:rFonts w:hint="eastAsia"/>
                <w:bCs/>
                <w:color w:val="auto"/>
                <w:spacing w:val="0"/>
                <w:kern w:val="0"/>
                <w:szCs w:val="21"/>
                <w:lang w:val="en-US" w:eastAsia="zh-CN"/>
              </w:rPr>
            </w:pPr>
            <w:r>
              <w:rPr>
                <w:rFonts w:hint="eastAsia"/>
                <w:bCs/>
                <w:color w:val="auto"/>
                <w:kern w:val="0"/>
                <w:szCs w:val="21"/>
                <w:lang w:val="en-US" w:eastAsia="zh-CN"/>
              </w:rPr>
              <w:t>废包装桶</w:t>
            </w:r>
          </w:p>
        </w:tc>
        <w:tc>
          <w:tcPr>
            <w:tcW w:w="398" w:type="pct"/>
            <w:tcBorders>
              <w:tl2br w:val="nil"/>
              <w:tr2bl w:val="nil"/>
            </w:tcBorders>
            <w:shd w:val="clear" w:color="auto" w:fill="auto"/>
            <w:vAlign w:val="center"/>
          </w:tcPr>
          <w:p w14:paraId="1E3B6316">
            <w:pPr>
              <w:keepNext w:val="0"/>
              <w:keepLines w:val="0"/>
              <w:pageBreakBefore w:val="0"/>
              <w:widowControl/>
              <w:kinsoku/>
              <w:wordWrap/>
              <w:overflowPunct/>
              <w:topLinePunct w:val="0"/>
              <w:autoSpaceDE/>
              <w:autoSpaceDN/>
              <w:bidi w:val="0"/>
              <w:adjustRightInd w:val="0"/>
              <w:snapToGrid w:val="0"/>
              <w:jc w:val="center"/>
              <w:rPr>
                <w:color w:val="auto"/>
                <w:spacing w:val="0"/>
                <w:kern w:val="0"/>
              </w:rPr>
            </w:pPr>
            <w:r>
              <w:rPr>
                <w:color w:val="auto"/>
                <w:spacing w:val="0"/>
                <w:kern w:val="0"/>
              </w:rPr>
              <w:t>/</w:t>
            </w:r>
          </w:p>
        </w:tc>
        <w:tc>
          <w:tcPr>
            <w:tcW w:w="448" w:type="pct"/>
            <w:tcBorders>
              <w:tl2br w:val="nil"/>
              <w:tr2bl w:val="nil"/>
            </w:tcBorders>
            <w:shd w:val="clear" w:color="auto" w:fill="auto"/>
            <w:vAlign w:val="center"/>
          </w:tcPr>
          <w:p w14:paraId="62D7BC7D">
            <w:pPr>
              <w:keepNext w:val="0"/>
              <w:keepLines w:val="0"/>
              <w:pageBreakBefore w:val="0"/>
              <w:widowControl/>
              <w:kinsoku/>
              <w:wordWrap/>
              <w:overflowPunct/>
              <w:topLinePunct w:val="0"/>
              <w:autoSpaceDE/>
              <w:autoSpaceDN/>
              <w:bidi w:val="0"/>
              <w:adjustRightInd w:val="0"/>
              <w:snapToGrid w:val="0"/>
              <w:jc w:val="center"/>
              <w:rPr>
                <w:color w:val="auto"/>
                <w:spacing w:val="0"/>
                <w:kern w:val="0"/>
              </w:rPr>
            </w:pPr>
            <w:r>
              <w:rPr>
                <w:color w:val="auto"/>
                <w:spacing w:val="0"/>
                <w:kern w:val="0"/>
              </w:rPr>
              <w:t>/</w:t>
            </w:r>
          </w:p>
        </w:tc>
        <w:tc>
          <w:tcPr>
            <w:tcW w:w="498" w:type="pct"/>
            <w:tcBorders>
              <w:tl2br w:val="nil"/>
              <w:tr2bl w:val="nil"/>
            </w:tcBorders>
            <w:shd w:val="clear" w:color="auto" w:fill="auto"/>
            <w:vAlign w:val="center"/>
          </w:tcPr>
          <w:p w14:paraId="5C567997">
            <w:pPr>
              <w:keepNext w:val="0"/>
              <w:keepLines w:val="0"/>
              <w:pageBreakBefore w:val="0"/>
              <w:widowControl/>
              <w:kinsoku/>
              <w:wordWrap/>
              <w:overflowPunct/>
              <w:topLinePunct w:val="0"/>
              <w:autoSpaceDE/>
              <w:autoSpaceDN/>
              <w:bidi w:val="0"/>
              <w:adjustRightInd w:val="0"/>
              <w:snapToGrid w:val="0"/>
              <w:jc w:val="center"/>
              <w:rPr>
                <w:color w:val="auto"/>
                <w:spacing w:val="0"/>
                <w:kern w:val="0"/>
              </w:rPr>
            </w:pPr>
            <w:r>
              <w:rPr>
                <w:color w:val="auto"/>
                <w:spacing w:val="0"/>
                <w:kern w:val="0"/>
              </w:rPr>
              <w:t>/</w:t>
            </w:r>
          </w:p>
        </w:tc>
        <w:tc>
          <w:tcPr>
            <w:tcW w:w="617" w:type="pct"/>
            <w:tcBorders>
              <w:tl2br w:val="nil"/>
              <w:tr2bl w:val="nil"/>
            </w:tcBorders>
            <w:vAlign w:val="center"/>
          </w:tcPr>
          <w:p w14:paraId="144EE85B">
            <w:pPr>
              <w:pStyle w:val="5"/>
              <w:keepNext w:val="0"/>
              <w:keepLines w:val="0"/>
              <w:pageBreakBefore w:val="0"/>
              <w:kinsoku/>
              <w:wordWrap/>
              <w:overflowPunct/>
              <w:topLinePunct w:val="0"/>
              <w:autoSpaceDE/>
              <w:autoSpaceDN/>
              <w:bidi w:val="0"/>
              <w:adjustRightInd w:val="0"/>
              <w:snapToGrid w:val="0"/>
              <w:ind w:firstLine="0" w:firstLineChars="0"/>
              <w:jc w:val="center"/>
              <w:rPr>
                <w:rFonts w:hint="eastAsia"/>
                <w:color w:val="auto"/>
                <w:spacing w:val="0"/>
                <w:kern w:val="0"/>
                <w:szCs w:val="21"/>
                <w:lang w:val="en-US" w:eastAsia="zh-CN"/>
              </w:rPr>
            </w:pPr>
            <w:r>
              <w:rPr>
                <w:rFonts w:hint="eastAsia"/>
                <w:color w:val="auto"/>
                <w:kern w:val="0"/>
                <w:szCs w:val="21"/>
                <w:lang w:val="en-US" w:eastAsia="zh-CN"/>
              </w:rPr>
              <w:t>1.2</w:t>
            </w:r>
          </w:p>
        </w:tc>
        <w:tc>
          <w:tcPr>
            <w:tcW w:w="574" w:type="pct"/>
            <w:tcBorders>
              <w:tl2br w:val="nil"/>
              <w:tr2bl w:val="nil"/>
            </w:tcBorders>
            <w:vAlign w:val="center"/>
          </w:tcPr>
          <w:p w14:paraId="798A3CAB">
            <w:pPr>
              <w:keepNext w:val="0"/>
              <w:keepLines w:val="0"/>
              <w:pageBreakBefore w:val="0"/>
              <w:widowControl/>
              <w:kinsoku/>
              <w:wordWrap/>
              <w:overflowPunct/>
              <w:topLinePunct w:val="0"/>
              <w:autoSpaceDE/>
              <w:autoSpaceDN/>
              <w:bidi w:val="0"/>
              <w:adjustRightInd w:val="0"/>
              <w:snapToGrid w:val="0"/>
              <w:jc w:val="center"/>
              <w:rPr>
                <w:color w:val="auto"/>
                <w:spacing w:val="0"/>
                <w:kern w:val="0"/>
              </w:rPr>
            </w:pPr>
            <w:r>
              <w:rPr>
                <w:color w:val="auto"/>
                <w:spacing w:val="0"/>
                <w:kern w:val="0"/>
              </w:rPr>
              <w:t>/</w:t>
            </w:r>
          </w:p>
        </w:tc>
        <w:tc>
          <w:tcPr>
            <w:tcW w:w="632" w:type="pct"/>
            <w:tcBorders>
              <w:tl2br w:val="nil"/>
              <w:tr2bl w:val="nil"/>
            </w:tcBorders>
            <w:vAlign w:val="center"/>
          </w:tcPr>
          <w:p w14:paraId="48823849">
            <w:pPr>
              <w:pStyle w:val="5"/>
              <w:keepNext w:val="0"/>
              <w:keepLines w:val="0"/>
              <w:pageBreakBefore w:val="0"/>
              <w:kinsoku/>
              <w:wordWrap/>
              <w:overflowPunct/>
              <w:topLinePunct w:val="0"/>
              <w:autoSpaceDE/>
              <w:autoSpaceDN/>
              <w:bidi w:val="0"/>
              <w:adjustRightInd w:val="0"/>
              <w:snapToGrid w:val="0"/>
              <w:ind w:firstLine="0" w:firstLineChars="0"/>
              <w:jc w:val="center"/>
              <w:rPr>
                <w:rFonts w:hint="eastAsia"/>
                <w:color w:val="auto"/>
                <w:spacing w:val="0"/>
                <w:kern w:val="0"/>
                <w:szCs w:val="21"/>
                <w:lang w:val="en-US" w:eastAsia="zh-CN"/>
              </w:rPr>
            </w:pPr>
            <w:r>
              <w:rPr>
                <w:rFonts w:hint="eastAsia"/>
                <w:color w:val="auto"/>
                <w:kern w:val="0"/>
                <w:szCs w:val="21"/>
                <w:lang w:val="en-US" w:eastAsia="zh-CN"/>
              </w:rPr>
              <w:t>1.2</w:t>
            </w:r>
          </w:p>
        </w:tc>
        <w:tc>
          <w:tcPr>
            <w:tcW w:w="438" w:type="pct"/>
            <w:tcBorders>
              <w:tl2br w:val="nil"/>
              <w:tr2bl w:val="nil"/>
            </w:tcBorders>
            <w:vAlign w:val="center"/>
          </w:tcPr>
          <w:p w14:paraId="61C12763">
            <w:pPr>
              <w:pStyle w:val="5"/>
              <w:keepNext w:val="0"/>
              <w:keepLines w:val="0"/>
              <w:pageBreakBefore w:val="0"/>
              <w:kinsoku/>
              <w:wordWrap/>
              <w:overflowPunct/>
              <w:topLinePunct w:val="0"/>
              <w:autoSpaceDE/>
              <w:autoSpaceDN/>
              <w:bidi w:val="0"/>
              <w:adjustRightInd w:val="0"/>
              <w:snapToGrid w:val="0"/>
              <w:ind w:firstLine="0" w:firstLineChars="0"/>
              <w:jc w:val="center"/>
              <w:rPr>
                <w:rFonts w:hint="eastAsia"/>
                <w:color w:val="auto"/>
                <w:spacing w:val="0"/>
                <w:kern w:val="0"/>
                <w:szCs w:val="21"/>
                <w:lang w:val="en-US" w:eastAsia="zh-CN"/>
              </w:rPr>
            </w:pPr>
            <w:r>
              <w:rPr>
                <w:rFonts w:hint="eastAsia"/>
                <w:color w:val="auto"/>
                <w:kern w:val="0"/>
                <w:szCs w:val="21"/>
                <w:lang w:val="en-US" w:eastAsia="zh-CN"/>
              </w:rPr>
              <w:t>+1.2</w:t>
            </w:r>
          </w:p>
        </w:tc>
      </w:tr>
      <w:tr w14:paraId="3E75B47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jc w:val="center"/>
        </w:trPr>
        <w:tc>
          <w:tcPr>
            <w:tcW w:w="502" w:type="pct"/>
            <w:vMerge w:val="continue"/>
            <w:tcBorders>
              <w:tl2br w:val="nil"/>
              <w:tr2bl w:val="nil"/>
            </w:tcBorders>
            <w:vAlign w:val="center"/>
          </w:tcPr>
          <w:p w14:paraId="23E3C0D3">
            <w:pPr>
              <w:pStyle w:val="277"/>
              <w:keepNext w:val="0"/>
              <w:keepLines w:val="0"/>
              <w:pageBreakBefore w:val="0"/>
              <w:kinsoku/>
              <w:wordWrap/>
              <w:overflowPunct/>
              <w:topLinePunct w:val="0"/>
              <w:autoSpaceDE/>
              <w:autoSpaceDN/>
              <w:bidi w:val="0"/>
              <w:adjustRightInd w:val="0"/>
              <w:snapToGrid w:val="0"/>
              <w:spacing w:beforeLines="0" w:afterLines="0" w:line="240" w:lineRule="auto"/>
              <w:ind w:left="0" w:firstLine="0" w:firstLineChars="0"/>
              <w:rPr>
                <w:rFonts w:ascii="Times New Roman" w:eastAsia="宋体"/>
                <w:color w:val="auto"/>
                <w:spacing w:val="0"/>
                <w:kern w:val="0"/>
                <w:sz w:val="21"/>
                <w:szCs w:val="21"/>
              </w:rPr>
            </w:pPr>
          </w:p>
        </w:tc>
        <w:tc>
          <w:tcPr>
            <w:tcW w:w="889" w:type="pct"/>
            <w:gridSpan w:val="2"/>
            <w:tcBorders>
              <w:tl2br w:val="nil"/>
              <w:tr2bl w:val="nil"/>
            </w:tcBorders>
            <w:vAlign w:val="center"/>
          </w:tcPr>
          <w:p w14:paraId="105C2E41">
            <w:pPr>
              <w:pStyle w:val="5"/>
              <w:keepNext w:val="0"/>
              <w:keepLines w:val="0"/>
              <w:pageBreakBefore w:val="0"/>
              <w:kinsoku/>
              <w:wordWrap/>
              <w:overflowPunct/>
              <w:topLinePunct w:val="0"/>
              <w:autoSpaceDE/>
              <w:autoSpaceDN/>
              <w:bidi w:val="0"/>
              <w:adjustRightInd w:val="0"/>
              <w:snapToGrid w:val="0"/>
              <w:ind w:firstLine="0" w:firstLineChars="0"/>
              <w:jc w:val="center"/>
              <w:rPr>
                <w:rFonts w:hint="default"/>
                <w:bCs/>
                <w:color w:val="auto"/>
                <w:kern w:val="0"/>
                <w:szCs w:val="21"/>
                <w:lang w:val="en-US" w:eastAsia="zh-CN"/>
              </w:rPr>
            </w:pPr>
            <w:r>
              <w:rPr>
                <w:rFonts w:hint="eastAsia"/>
                <w:bCs/>
                <w:color w:val="auto"/>
                <w:kern w:val="0"/>
                <w:szCs w:val="21"/>
                <w:lang w:val="en-US" w:eastAsia="zh-CN"/>
              </w:rPr>
              <w:t>含锌废物</w:t>
            </w:r>
          </w:p>
        </w:tc>
        <w:tc>
          <w:tcPr>
            <w:tcW w:w="398" w:type="pct"/>
            <w:tcBorders>
              <w:tl2br w:val="nil"/>
              <w:tr2bl w:val="nil"/>
            </w:tcBorders>
            <w:shd w:val="clear" w:color="auto" w:fill="auto"/>
            <w:vAlign w:val="center"/>
          </w:tcPr>
          <w:p w14:paraId="14F0EAB4">
            <w:pPr>
              <w:keepNext w:val="0"/>
              <w:keepLines w:val="0"/>
              <w:pageBreakBefore w:val="0"/>
              <w:widowControl/>
              <w:kinsoku/>
              <w:wordWrap/>
              <w:overflowPunct/>
              <w:topLinePunct w:val="0"/>
              <w:autoSpaceDE/>
              <w:autoSpaceDN/>
              <w:bidi w:val="0"/>
              <w:adjustRightInd w:val="0"/>
              <w:snapToGrid w:val="0"/>
              <w:jc w:val="center"/>
              <w:rPr>
                <w:rFonts w:ascii="Times New Roman" w:hAnsi="Times New Roman" w:eastAsia="宋体" w:cs="Times New Roman"/>
                <w:snapToGrid w:val="0"/>
                <w:color w:val="auto"/>
                <w:spacing w:val="0"/>
                <w:kern w:val="0"/>
                <w:sz w:val="21"/>
                <w:szCs w:val="21"/>
                <w:lang w:val="en-US" w:eastAsia="zh-CN" w:bidi="ar-SA"/>
              </w:rPr>
            </w:pPr>
            <w:r>
              <w:rPr>
                <w:color w:val="auto"/>
                <w:spacing w:val="0"/>
                <w:kern w:val="0"/>
              </w:rPr>
              <w:t>/</w:t>
            </w:r>
          </w:p>
        </w:tc>
        <w:tc>
          <w:tcPr>
            <w:tcW w:w="448" w:type="pct"/>
            <w:tcBorders>
              <w:tl2br w:val="nil"/>
              <w:tr2bl w:val="nil"/>
            </w:tcBorders>
            <w:shd w:val="clear" w:color="auto" w:fill="auto"/>
            <w:vAlign w:val="center"/>
          </w:tcPr>
          <w:p w14:paraId="618E7BC9">
            <w:pPr>
              <w:keepNext w:val="0"/>
              <w:keepLines w:val="0"/>
              <w:pageBreakBefore w:val="0"/>
              <w:widowControl/>
              <w:kinsoku/>
              <w:wordWrap/>
              <w:overflowPunct/>
              <w:topLinePunct w:val="0"/>
              <w:autoSpaceDE/>
              <w:autoSpaceDN/>
              <w:bidi w:val="0"/>
              <w:adjustRightInd w:val="0"/>
              <w:snapToGrid w:val="0"/>
              <w:jc w:val="center"/>
              <w:rPr>
                <w:rFonts w:ascii="Times New Roman" w:hAnsi="Times New Roman" w:eastAsia="宋体" w:cs="Times New Roman"/>
                <w:snapToGrid w:val="0"/>
                <w:color w:val="auto"/>
                <w:spacing w:val="0"/>
                <w:kern w:val="0"/>
                <w:sz w:val="21"/>
                <w:szCs w:val="21"/>
                <w:lang w:val="en-US" w:eastAsia="zh-CN" w:bidi="ar-SA"/>
              </w:rPr>
            </w:pPr>
            <w:r>
              <w:rPr>
                <w:color w:val="auto"/>
                <w:spacing w:val="0"/>
                <w:kern w:val="0"/>
              </w:rPr>
              <w:t>/</w:t>
            </w:r>
          </w:p>
        </w:tc>
        <w:tc>
          <w:tcPr>
            <w:tcW w:w="498" w:type="pct"/>
            <w:tcBorders>
              <w:tl2br w:val="nil"/>
              <w:tr2bl w:val="nil"/>
            </w:tcBorders>
            <w:shd w:val="clear" w:color="auto" w:fill="auto"/>
            <w:vAlign w:val="center"/>
          </w:tcPr>
          <w:p w14:paraId="4D55755A">
            <w:pPr>
              <w:keepNext w:val="0"/>
              <w:keepLines w:val="0"/>
              <w:pageBreakBefore w:val="0"/>
              <w:widowControl/>
              <w:kinsoku/>
              <w:wordWrap/>
              <w:overflowPunct/>
              <w:topLinePunct w:val="0"/>
              <w:autoSpaceDE/>
              <w:autoSpaceDN/>
              <w:bidi w:val="0"/>
              <w:adjustRightInd w:val="0"/>
              <w:snapToGrid w:val="0"/>
              <w:jc w:val="center"/>
              <w:rPr>
                <w:rFonts w:ascii="Times New Roman" w:hAnsi="Times New Roman" w:eastAsia="宋体" w:cs="Times New Roman"/>
                <w:snapToGrid w:val="0"/>
                <w:color w:val="auto"/>
                <w:spacing w:val="0"/>
                <w:kern w:val="0"/>
                <w:sz w:val="21"/>
                <w:szCs w:val="21"/>
                <w:lang w:val="en-US" w:eastAsia="zh-CN" w:bidi="ar-SA"/>
              </w:rPr>
            </w:pPr>
            <w:r>
              <w:rPr>
                <w:color w:val="auto"/>
                <w:spacing w:val="0"/>
                <w:kern w:val="0"/>
              </w:rPr>
              <w:t>/</w:t>
            </w:r>
          </w:p>
        </w:tc>
        <w:tc>
          <w:tcPr>
            <w:tcW w:w="617" w:type="pct"/>
            <w:tcBorders>
              <w:tl2br w:val="nil"/>
              <w:tr2bl w:val="nil"/>
            </w:tcBorders>
            <w:vAlign w:val="center"/>
          </w:tcPr>
          <w:p w14:paraId="265DA3B2">
            <w:pPr>
              <w:pStyle w:val="5"/>
              <w:keepNext w:val="0"/>
              <w:keepLines w:val="0"/>
              <w:pageBreakBefore w:val="0"/>
              <w:kinsoku/>
              <w:wordWrap/>
              <w:overflowPunct/>
              <w:topLinePunct w:val="0"/>
              <w:autoSpaceDE/>
              <w:autoSpaceDN/>
              <w:bidi w:val="0"/>
              <w:adjustRightInd w:val="0"/>
              <w:snapToGrid w:val="0"/>
              <w:ind w:firstLine="0" w:firstLineChars="0"/>
              <w:jc w:val="center"/>
              <w:rPr>
                <w:rFonts w:hint="default"/>
                <w:color w:val="auto"/>
                <w:kern w:val="0"/>
                <w:szCs w:val="21"/>
                <w:lang w:val="en-US" w:eastAsia="zh-CN"/>
              </w:rPr>
            </w:pPr>
            <w:r>
              <w:rPr>
                <w:rFonts w:hint="eastAsia"/>
                <w:color w:val="auto"/>
                <w:kern w:val="0"/>
                <w:szCs w:val="21"/>
                <w:lang w:val="en-US" w:eastAsia="zh-CN"/>
              </w:rPr>
              <w:t>0.173</w:t>
            </w:r>
          </w:p>
        </w:tc>
        <w:tc>
          <w:tcPr>
            <w:tcW w:w="574" w:type="pct"/>
            <w:tcBorders>
              <w:tl2br w:val="nil"/>
              <w:tr2bl w:val="nil"/>
            </w:tcBorders>
            <w:vAlign w:val="center"/>
          </w:tcPr>
          <w:p w14:paraId="1588433C">
            <w:pPr>
              <w:keepNext w:val="0"/>
              <w:keepLines w:val="0"/>
              <w:pageBreakBefore w:val="0"/>
              <w:widowControl/>
              <w:kinsoku/>
              <w:wordWrap/>
              <w:overflowPunct/>
              <w:topLinePunct w:val="0"/>
              <w:autoSpaceDE/>
              <w:autoSpaceDN/>
              <w:bidi w:val="0"/>
              <w:adjustRightInd w:val="0"/>
              <w:snapToGrid w:val="0"/>
              <w:jc w:val="center"/>
              <w:rPr>
                <w:rFonts w:hint="eastAsia" w:eastAsia="宋体"/>
                <w:color w:val="auto"/>
                <w:spacing w:val="0"/>
                <w:kern w:val="0"/>
                <w:lang w:val="en-US" w:eastAsia="zh-CN"/>
              </w:rPr>
            </w:pPr>
            <w:r>
              <w:rPr>
                <w:rFonts w:hint="eastAsia"/>
                <w:color w:val="auto"/>
                <w:spacing w:val="0"/>
                <w:kern w:val="0"/>
                <w:lang w:val="en-US" w:eastAsia="zh-CN"/>
              </w:rPr>
              <w:t>/</w:t>
            </w:r>
          </w:p>
        </w:tc>
        <w:tc>
          <w:tcPr>
            <w:tcW w:w="632" w:type="pct"/>
            <w:tcBorders>
              <w:tl2br w:val="nil"/>
              <w:tr2bl w:val="nil"/>
            </w:tcBorders>
            <w:vAlign w:val="center"/>
          </w:tcPr>
          <w:p w14:paraId="2987A3CB">
            <w:pPr>
              <w:pStyle w:val="5"/>
              <w:keepNext w:val="0"/>
              <w:keepLines w:val="0"/>
              <w:pageBreakBefore w:val="0"/>
              <w:kinsoku/>
              <w:wordWrap/>
              <w:overflowPunct/>
              <w:topLinePunct w:val="0"/>
              <w:autoSpaceDE/>
              <w:autoSpaceDN/>
              <w:bidi w:val="0"/>
              <w:adjustRightInd w:val="0"/>
              <w:snapToGrid w:val="0"/>
              <w:ind w:firstLine="0" w:firstLineChars="0"/>
              <w:jc w:val="center"/>
              <w:rPr>
                <w:rFonts w:hint="eastAsia"/>
                <w:color w:val="auto"/>
                <w:kern w:val="0"/>
                <w:szCs w:val="21"/>
                <w:lang w:val="en-US" w:eastAsia="zh-CN"/>
              </w:rPr>
            </w:pPr>
            <w:r>
              <w:rPr>
                <w:rFonts w:hint="eastAsia"/>
                <w:color w:val="auto"/>
                <w:kern w:val="0"/>
                <w:szCs w:val="21"/>
                <w:lang w:val="en-US" w:eastAsia="zh-CN"/>
              </w:rPr>
              <w:t>0.173</w:t>
            </w:r>
          </w:p>
        </w:tc>
        <w:tc>
          <w:tcPr>
            <w:tcW w:w="438" w:type="pct"/>
            <w:tcBorders>
              <w:tl2br w:val="nil"/>
              <w:tr2bl w:val="nil"/>
            </w:tcBorders>
            <w:vAlign w:val="center"/>
          </w:tcPr>
          <w:p w14:paraId="0258BCED">
            <w:pPr>
              <w:pStyle w:val="5"/>
              <w:keepNext w:val="0"/>
              <w:keepLines w:val="0"/>
              <w:pageBreakBefore w:val="0"/>
              <w:kinsoku/>
              <w:wordWrap/>
              <w:overflowPunct/>
              <w:topLinePunct w:val="0"/>
              <w:autoSpaceDE/>
              <w:autoSpaceDN/>
              <w:bidi w:val="0"/>
              <w:adjustRightInd w:val="0"/>
              <w:snapToGrid w:val="0"/>
              <w:ind w:firstLine="0" w:firstLineChars="0"/>
              <w:jc w:val="center"/>
              <w:rPr>
                <w:rFonts w:hint="default"/>
                <w:color w:val="auto"/>
                <w:kern w:val="0"/>
                <w:szCs w:val="21"/>
                <w:lang w:val="en-US" w:eastAsia="zh-CN"/>
              </w:rPr>
            </w:pPr>
            <w:r>
              <w:rPr>
                <w:rFonts w:hint="eastAsia"/>
                <w:color w:val="auto"/>
                <w:kern w:val="0"/>
                <w:szCs w:val="21"/>
                <w:lang w:val="en-US" w:eastAsia="zh-CN"/>
              </w:rPr>
              <w:t>+0.173</w:t>
            </w:r>
          </w:p>
        </w:tc>
      </w:tr>
      <w:tr w14:paraId="75781D5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jc w:val="center"/>
        </w:trPr>
        <w:tc>
          <w:tcPr>
            <w:tcW w:w="502" w:type="pct"/>
            <w:vMerge w:val="continue"/>
            <w:tcBorders>
              <w:tl2br w:val="nil"/>
              <w:tr2bl w:val="nil"/>
            </w:tcBorders>
            <w:vAlign w:val="center"/>
          </w:tcPr>
          <w:p w14:paraId="76197DE7">
            <w:pPr>
              <w:pStyle w:val="277"/>
              <w:keepNext w:val="0"/>
              <w:keepLines w:val="0"/>
              <w:pageBreakBefore w:val="0"/>
              <w:kinsoku/>
              <w:wordWrap/>
              <w:overflowPunct/>
              <w:topLinePunct w:val="0"/>
              <w:autoSpaceDE/>
              <w:autoSpaceDN/>
              <w:bidi w:val="0"/>
              <w:adjustRightInd w:val="0"/>
              <w:snapToGrid w:val="0"/>
              <w:spacing w:beforeLines="0" w:afterLines="0" w:line="240" w:lineRule="auto"/>
              <w:ind w:left="0" w:firstLine="0" w:firstLineChars="0"/>
              <w:rPr>
                <w:rFonts w:ascii="Times New Roman" w:eastAsia="宋体"/>
                <w:color w:val="auto"/>
                <w:spacing w:val="0"/>
                <w:kern w:val="0"/>
                <w:sz w:val="21"/>
                <w:szCs w:val="21"/>
              </w:rPr>
            </w:pPr>
          </w:p>
        </w:tc>
        <w:tc>
          <w:tcPr>
            <w:tcW w:w="889" w:type="pct"/>
            <w:gridSpan w:val="2"/>
            <w:tcBorders>
              <w:tl2br w:val="nil"/>
              <w:tr2bl w:val="nil"/>
            </w:tcBorders>
            <w:vAlign w:val="center"/>
          </w:tcPr>
          <w:p w14:paraId="7D8F53E2">
            <w:pPr>
              <w:pStyle w:val="5"/>
              <w:keepNext w:val="0"/>
              <w:keepLines w:val="0"/>
              <w:pageBreakBefore w:val="0"/>
              <w:kinsoku/>
              <w:wordWrap/>
              <w:overflowPunct/>
              <w:topLinePunct w:val="0"/>
              <w:autoSpaceDE/>
              <w:autoSpaceDN/>
              <w:bidi w:val="0"/>
              <w:adjustRightInd w:val="0"/>
              <w:snapToGrid w:val="0"/>
              <w:ind w:firstLine="0" w:firstLineChars="0"/>
              <w:jc w:val="center"/>
              <w:rPr>
                <w:rFonts w:hint="eastAsia"/>
                <w:bCs/>
                <w:color w:val="auto"/>
                <w:spacing w:val="0"/>
                <w:kern w:val="0"/>
                <w:szCs w:val="21"/>
                <w:lang w:val="en-US" w:eastAsia="zh-CN"/>
              </w:rPr>
            </w:pPr>
            <w:r>
              <w:rPr>
                <w:rFonts w:hint="eastAsia"/>
                <w:bCs/>
                <w:color w:val="auto"/>
                <w:kern w:val="0"/>
                <w:szCs w:val="21"/>
                <w:lang w:val="en-US" w:eastAsia="zh-CN"/>
              </w:rPr>
              <w:t>含漆废物</w:t>
            </w:r>
          </w:p>
        </w:tc>
        <w:tc>
          <w:tcPr>
            <w:tcW w:w="398" w:type="pct"/>
            <w:tcBorders>
              <w:tl2br w:val="nil"/>
              <w:tr2bl w:val="nil"/>
            </w:tcBorders>
            <w:shd w:val="clear" w:color="auto" w:fill="auto"/>
            <w:vAlign w:val="center"/>
          </w:tcPr>
          <w:p w14:paraId="7737182F">
            <w:pPr>
              <w:keepNext w:val="0"/>
              <w:keepLines w:val="0"/>
              <w:pageBreakBefore w:val="0"/>
              <w:widowControl/>
              <w:kinsoku/>
              <w:wordWrap/>
              <w:overflowPunct/>
              <w:topLinePunct w:val="0"/>
              <w:autoSpaceDE/>
              <w:autoSpaceDN/>
              <w:bidi w:val="0"/>
              <w:adjustRightInd w:val="0"/>
              <w:snapToGrid w:val="0"/>
              <w:jc w:val="center"/>
              <w:rPr>
                <w:color w:val="auto"/>
                <w:spacing w:val="0"/>
                <w:kern w:val="0"/>
              </w:rPr>
            </w:pPr>
            <w:r>
              <w:rPr>
                <w:color w:val="auto"/>
                <w:spacing w:val="0"/>
                <w:kern w:val="0"/>
              </w:rPr>
              <w:t>/</w:t>
            </w:r>
          </w:p>
        </w:tc>
        <w:tc>
          <w:tcPr>
            <w:tcW w:w="448" w:type="pct"/>
            <w:tcBorders>
              <w:tl2br w:val="nil"/>
              <w:tr2bl w:val="nil"/>
            </w:tcBorders>
            <w:shd w:val="clear" w:color="auto" w:fill="auto"/>
            <w:vAlign w:val="center"/>
          </w:tcPr>
          <w:p w14:paraId="09A8B06A">
            <w:pPr>
              <w:keepNext w:val="0"/>
              <w:keepLines w:val="0"/>
              <w:pageBreakBefore w:val="0"/>
              <w:widowControl/>
              <w:kinsoku/>
              <w:wordWrap/>
              <w:overflowPunct/>
              <w:topLinePunct w:val="0"/>
              <w:autoSpaceDE/>
              <w:autoSpaceDN/>
              <w:bidi w:val="0"/>
              <w:adjustRightInd w:val="0"/>
              <w:snapToGrid w:val="0"/>
              <w:jc w:val="center"/>
              <w:rPr>
                <w:color w:val="auto"/>
                <w:spacing w:val="0"/>
                <w:kern w:val="0"/>
              </w:rPr>
            </w:pPr>
            <w:r>
              <w:rPr>
                <w:color w:val="auto"/>
                <w:spacing w:val="0"/>
                <w:kern w:val="0"/>
              </w:rPr>
              <w:t>/</w:t>
            </w:r>
          </w:p>
        </w:tc>
        <w:tc>
          <w:tcPr>
            <w:tcW w:w="498" w:type="pct"/>
            <w:tcBorders>
              <w:tl2br w:val="nil"/>
              <w:tr2bl w:val="nil"/>
            </w:tcBorders>
            <w:shd w:val="clear" w:color="auto" w:fill="auto"/>
            <w:vAlign w:val="center"/>
          </w:tcPr>
          <w:p w14:paraId="2666083E">
            <w:pPr>
              <w:keepNext w:val="0"/>
              <w:keepLines w:val="0"/>
              <w:pageBreakBefore w:val="0"/>
              <w:widowControl/>
              <w:kinsoku/>
              <w:wordWrap/>
              <w:overflowPunct/>
              <w:topLinePunct w:val="0"/>
              <w:autoSpaceDE/>
              <w:autoSpaceDN/>
              <w:bidi w:val="0"/>
              <w:adjustRightInd w:val="0"/>
              <w:snapToGrid w:val="0"/>
              <w:jc w:val="center"/>
              <w:rPr>
                <w:color w:val="auto"/>
                <w:spacing w:val="0"/>
                <w:kern w:val="0"/>
              </w:rPr>
            </w:pPr>
            <w:r>
              <w:rPr>
                <w:color w:val="auto"/>
                <w:spacing w:val="0"/>
                <w:kern w:val="0"/>
              </w:rPr>
              <w:t>/</w:t>
            </w:r>
          </w:p>
        </w:tc>
        <w:tc>
          <w:tcPr>
            <w:tcW w:w="617" w:type="pct"/>
            <w:tcBorders>
              <w:tl2br w:val="nil"/>
              <w:tr2bl w:val="nil"/>
            </w:tcBorders>
            <w:vAlign w:val="center"/>
          </w:tcPr>
          <w:p w14:paraId="177CD780">
            <w:pPr>
              <w:pStyle w:val="5"/>
              <w:keepNext w:val="0"/>
              <w:keepLines w:val="0"/>
              <w:pageBreakBefore w:val="0"/>
              <w:kinsoku/>
              <w:wordWrap/>
              <w:overflowPunct/>
              <w:topLinePunct w:val="0"/>
              <w:autoSpaceDE/>
              <w:autoSpaceDN/>
              <w:bidi w:val="0"/>
              <w:adjustRightInd w:val="0"/>
              <w:snapToGrid w:val="0"/>
              <w:ind w:firstLine="0" w:firstLineChars="0"/>
              <w:jc w:val="center"/>
              <w:rPr>
                <w:rFonts w:hint="default"/>
                <w:color w:val="auto"/>
                <w:spacing w:val="0"/>
                <w:kern w:val="0"/>
                <w:szCs w:val="21"/>
                <w:lang w:val="en-US" w:eastAsia="zh-CN"/>
              </w:rPr>
            </w:pPr>
            <w:r>
              <w:rPr>
                <w:rFonts w:hint="eastAsia"/>
                <w:color w:val="auto"/>
                <w:kern w:val="0"/>
                <w:szCs w:val="21"/>
                <w:lang w:val="en-US" w:eastAsia="zh-CN"/>
              </w:rPr>
              <w:t>1.5</w:t>
            </w:r>
          </w:p>
        </w:tc>
        <w:tc>
          <w:tcPr>
            <w:tcW w:w="574" w:type="pct"/>
            <w:tcBorders>
              <w:tl2br w:val="nil"/>
              <w:tr2bl w:val="nil"/>
            </w:tcBorders>
            <w:vAlign w:val="center"/>
          </w:tcPr>
          <w:p w14:paraId="5D7D8999">
            <w:pPr>
              <w:keepNext w:val="0"/>
              <w:keepLines w:val="0"/>
              <w:pageBreakBefore w:val="0"/>
              <w:widowControl/>
              <w:kinsoku/>
              <w:wordWrap/>
              <w:overflowPunct/>
              <w:topLinePunct w:val="0"/>
              <w:autoSpaceDE/>
              <w:autoSpaceDN/>
              <w:bidi w:val="0"/>
              <w:adjustRightInd w:val="0"/>
              <w:snapToGrid w:val="0"/>
              <w:jc w:val="center"/>
              <w:rPr>
                <w:color w:val="auto"/>
                <w:spacing w:val="0"/>
                <w:kern w:val="0"/>
              </w:rPr>
            </w:pPr>
            <w:r>
              <w:rPr>
                <w:color w:val="auto"/>
                <w:spacing w:val="0"/>
                <w:kern w:val="0"/>
              </w:rPr>
              <w:t>/</w:t>
            </w:r>
          </w:p>
        </w:tc>
        <w:tc>
          <w:tcPr>
            <w:tcW w:w="632" w:type="pct"/>
            <w:tcBorders>
              <w:tl2br w:val="nil"/>
              <w:tr2bl w:val="nil"/>
            </w:tcBorders>
            <w:vAlign w:val="center"/>
          </w:tcPr>
          <w:p w14:paraId="1D4814D6">
            <w:pPr>
              <w:pStyle w:val="5"/>
              <w:keepNext w:val="0"/>
              <w:keepLines w:val="0"/>
              <w:pageBreakBefore w:val="0"/>
              <w:kinsoku/>
              <w:wordWrap/>
              <w:overflowPunct/>
              <w:topLinePunct w:val="0"/>
              <w:autoSpaceDE/>
              <w:autoSpaceDN/>
              <w:bidi w:val="0"/>
              <w:adjustRightInd w:val="0"/>
              <w:snapToGrid w:val="0"/>
              <w:ind w:firstLine="0" w:firstLineChars="0"/>
              <w:jc w:val="center"/>
              <w:rPr>
                <w:rFonts w:hint="default"/>
                <w:color w:val="auto"/>
                <w:spacing w:val="0"/>
                <w:kern w:val="0"/>
                <w:szCs w:val="21"/>
                <w:lang w:val="en-US" w:eastAsia="zh-CN"/>
              </w:rPr>
            </w:pPr>
            <w:r>
              <w:rPr>
                <w:rFonts w:hint="eastAsia"/>
                <w:color w:val="auto"/>
                <w:kern w:val="0"/>
                <w:szCs w:val="21"/>
                <w:lang w:val="en-US" w:eastAsia="zh-CN"/>
              </w:rPr>
              <w:t>1.5</w:t>
            </w:r>
          </w:p>
        </w:tc>
        <w:tc>
          <w:tcPr>
            <w:tcW w:w="438" w:type="pct"/>
            <w:tcBorders>
              <w:tl2br w:val="nil"/>
              <w:tr2bl w:val="nil"/>
            </w:tcBorders>
            <w:vAlign w:val="center"/>
          </w:tcPr>
          <w:p w14:paraId="59FD6644">
            <w:pPr>
              <w:pStyle w:val="5"/>
              <w:keepNext w:val="0"/>
              <w:keepLines w:val="0"/>
              <w:pageBreakBefore w:val="0"/>
              <w:kinsoku/>
              <w:wordWrap/>
              <w:overflowPunct/>
              <w:topLinePunct w:val="0"/>
              <w:autoSpaceDE/>
              <w:autoSpaceDN/>
              <w:bidi w:val="0"/>
              <w:adjustRightInd w:val="0"/>
              <w:snapToGrid w:val="0"/>
              <w:ind w:firstLine="0" w:firstLineChars="0"/>
              <w:jc w:val="center"/>
              <w:rPr>
                <w:rFonts w:hint="default"/>
                <w:color w:val="auto"/>
                <w:spacing w:val="0"/>
                <w:kern w:val="0"/>
                <w:szCs w:val="21"/>
                <w:lang w:val="en-US" w:eastAsia="zh-CN"/>
              </w:rPr>
            </w:pPr>
            <w:r>
              <w:rPr>
                <w:rFonts w:hint="eastAsia"/>
                <w:color w:val="auto"/>
                <w:kern w:val="0"/>
                <w:szCs w:val="21"/>
                <w:lang w:val="en-US" w:eastAsia="zh-CN"/>
              </w:rPr>
              <w:t>+1.5</w:t>
            </w:r>
          </w:p>
        </w:tc>
      </w:tr>
      <w:tr w14:paraId="3E406D3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jc w:val="center"/>
        </w:trPr>
        <w:tc>
          <w:tcPr>
            <w:tcW w:w="502" w:type="pct"/>
            <w:vMerge w:val="continue"/>
            <w:tcBorders>
              <w:tl2br w:val="nil"/>
              <w:tr2bl w:val="nil"/>
            </w:tcBorders>
            <w:vAlign w:val="center"/>
          </w:tcPr>
          <w:p w14:paraId="08CFF69B">
            <w:pPr>
              <w:pStyle w:val="277"/>
              <w:keepNext w:val="0"/>
              <w:keepLines w:val="0"/>
              <w:pageBreakBefore w:val="0"/>
              <w:kinsoku/>
              <w:wordWrap/>
              <w:overflowPunct/>
              <w:topLinePunct w:val="0"/>
              <w:autoSpaceDE/>
              <w:autoSpaceDN/>
              <w:bidi w:val="0"/>
              <w:adjustRightInd w:val="0"/>
              <w:snapToGrid w:val="0"/>
              <w:spacing w:beforeLines="0" w:afterLines="0" w:line="240" w:lineRule="auto"/>
              <w:ind w:left="0" w:firstLine="0" w:firstLineChars="0"/>
              <w:rPr>
                <w:rFonts w:ascii="Times New Roman" w:eastAsia="宋体"/>
                <w:color w:val="auto"/>
                <w:spacing w:val="0"/>
                <w:kern w:val="0"/>
                <w:sz w:val="21"/>
                <w:szCs w:val="21"/>
              </w:rPr>
            </w:pPr>
          </w:p>
        </w:tc>
        <w:tc>
          <w:tcPr>
            <w:tcW w:w="889" w:type="pct"/>
            <w:gridSpan w:val="2"/>
            <w:tcBorders>
              <w:tl2br w:val="nil"/>
              <w:tr2bl w:val="nil"/>
            </w:tcBorders>
            <w:vAlign w:val="center"/>
          </w:tcPr>
          <w:p w14:paraId="15C003F6">
            <w:pPr>
              <w:pStyle w:val="5"/>
              <w:keepNext w:val="0"/>
              <w:keepLines w:val="0"/>
              <w:pageBreakBefore w:val="0"/>
              <w:kinsoku/>
              <w:wordWrap/>
              <w:overflowPunct/>
              <w:topLinePunct w:val="0"/>
              <w:autoSpaceDE/>
              <w:autoSpaceDN/>
              <w:bidi w:val="0"/>
              <w:adjustRightInd w:val="0"/>
              <w:snapToGrid w:val="0"/>
              <w:ind w:firstLine="0" w:firstLineChars="0"/>
              <w:jc w:val="center"/>
              <w:rPr>
                <w:rFonts w:hint="eastAsia"/>
                <w:bCs/>
                <w:color w:val="auto"/>
                <w:spacing w:val="0"/>
                <w:kern w:val="0"/>
                <w:szCs w:val="21"/>
                <w:lang w:val="en-US" w:eastAsia="zh-CN"/>
              </w:rPr>
            </w:pPr>
            <w:r>
              <w:rPr>
                <w:rFonts w:hint="eastAsia"/>
                <w:bCs/>
                <w:color w:val="auto"/>
                <w:kern w:val="0"/>
                <w:szCs w:val="21"/>
                <w:lang w:val="en-US" w:eastAsia="zh-CN"/>
              </w:rPr>
              <w:t>废活性炭</w:t>
            </w:r>
          </w:p>
        </w:tc>
        <w:tc>
          <w:tcPr>
            <w:tcW w:w="398" w:type="pct"/>
            <w:tcBorders>
              <w:tl2br w:val="nil"/>
              <w:tr2bl w:val="nil"/>
            </w:tcBorders>
            <w:shd w:val="clear" w:color="auto" w:fill="auto"/>
            <w:vAlign w:val="center"/>
          </w:tcPr>
          <w:p w14:paraId="06FF378F">
            <w:pPr>
              <w:keepNext w:val="0"/>
              <w:keepLines w:val="0"/>
              <w:pageBreakBefore w:val="0"/>
              <w:widowControl/>
              <w:kinsoku/>
              <w:wordWrap/>
              <w:overflowPunct/>
              <w:topLinePunct w:val="0"/>
              <w:autoSpaceDE/>
              <w:autoSpaceDN/>
              <w:bidi w:val="0"/>
              <w:adjustRightInd w:val="0"/>
              <w:snapToGrid w:val="0"/>
              <w:jc w:val="center"/>
              <w:rPr>
                <w:color w:val="auto"/>
                <w:spacing w:val="0"/>
                <w:kern w:val="0"/>
              </w:rPr>
            </w:pPr>
            <w:r>
              <w:rPr>
                <w:color w:val="auto"/>
                <w:spacing w:val="0"/>
                <w:kern w:val="0"/>
              </w:rPr>
              <w:t>/</w:t>
            </w:r>
          </w:p>
        </w:tc>
        <w:tc>
          <w:tcPr>
            <w:tcW w:w="448" w:type="pct"/>
            <w:tcBorders>
              <w:tl2br w:val="nil"/>
              <w:tr2bl w:val="nil"/>
            </w:tcBorders>
            <w:shd w:val="clear" w:color="auto" w:fill="auto"/>
            <w:vAlign w:val="center"/>
          </w:tcPr>
          <w:p w14:paraId="2FC42E17">
            <w:pPr>
              <w:keepNext w:val="0"/>
              <w:keepLines w:val="0"/>
              <w:pageBreakBefore w:val="0"/>
              <w:widowControl/>
              <w:kinsoku/>
              <w:wordWrap/>
              <w:overflowPunct/>
              <w:topLinePunct w:val="0"/>
              <w:autoSpaceDE/>
              <w:autoSpaceDN/>
              <w:bidi w:val="0"/>
              <w:adjustRightInd w:val="0"/>
              <w:snapToGrid w:val="0"/>
              <w:jc w:val="center"/>
              <w:rPr>
                <w:color w:val="auto"/>
                <w:spacing w:val="0"/>
                <w:kern w:val="0"/>
              </w:rPr>
            </w:pPr>
            <w:r>
              <w:rPr>
                <w:color w:val="auto"/>
                <w:spacing w:val="0"/>
                <w:kern w:val="0"/>
              </w:rPr>
              <w:t>/</w:t>
            </w:r>
          </w:p>
        </w:tc>
        <w:tc>
          <w:tcPr>
            <w:tcW w:w="498" w:type="pct"/>
            <w:tcBorders>
              <w:tl2br w:val="nil"/>
              <w:tr2bl w:val="nil"/>
            </w:tcBorders>
            <w:shd w:val="clear" w:color="auto" w:fill="auto"/>
            <w:vAlign w:val="center"/>
          </w:tcPr>
          <w:p w14:paraId="10D690BC">
            <w:pPr>
              <w:keepNext w:val="0"/>
              <w:keepLines w:val="0"/>
              <w:pageBreakBefore w:val="0"/>
              <w:widowControl/>
              <w:kinsoku/>
              <w:wordWrap/>
              <w:overflowPunct/>
              <w:topLinePunct w:val="0"/>
              <w:autoSpaceDE/>
              <w:autoSpaceDN/>
              <w:bidi w:val="0"/>
              <w:adjustRightInd w:val="0"/>
              <w:snapToGrid w:val="0"/>
              <w:jc w:val="center"/>
              <w:rPr>
                <w:color w:val="auto"/>
                <w:spacing w:val="0"/>
                <w:kern w:val="0"/>
              </w:rPr>
            </w:pPr>
            <w:r>
              <w:rPr>
                <w:color w:val="auto"/>
                <w:spacing w:val="0"/>
                <w:kern w:val="0"/>
              </w:rPr>
              <w:t>/</w:t>
            </w:r>
          </w:p>
        </w:tc>
        <w:tc>
          <w:tcPr>
            <w:tcW w:w="617" w:type="pct"/>
            <w:tcBorders>
              <w:tl2br w:val="nil"/>
              <w:tr2bl w:val="nil"/>
            </w:tcBorders>
            <w:vAlign w:val="center"/>
          </w:tcPr>
          <w:p w14:paraId="52ACD0AF">
            <w:pPr>
              <w:pStyle w:val="5"/>
              <w:keepNext w:val="0"/>
              <w:keepLines w:val="0"/>
              <w:pageBreakBefore w:val="0"/>
              <w:kinsoku/>
              <w:wordWrap/>
              <w:overflowPunct/>
              <w:topLinePunct w:val="0"/>
              <w:autoSpaceDE/>
              <w:autoSpaceDN/>
              <w:bidi w:val="0"/>
              <w:adjustRightInd w:val="0"/>
              <w:snapToGrid w:val="0"/>
              <w:ind w:firstLine="0" w:firstLineChars="0"/>
              <w:jc w:val="center"/>
              <w:rPr>
                <w:rFonts w:hint="default"/>
                <w:color w:val="auto"/>
                <w:spacing w:val="0"/>
                <w:kern w:val="0"/>
                <w:szCs w:val="21"/>
                <w:lang w:val="en-US" w:eastAsia="zh-CN"/>
              </w:rPr>
            </w:pPr>
            <w:r>
              <w:rPr>
                <w:rFonts w:hint="eastAsia"/>
                <w:color w:val="auto"/>
                <w:kern w:val="0"/>
                <w:szCs w:val="21"/>
                <w:lang w:val="en-US" w:eastAsia="zh-CN"/>
              </w:rPr>
              <w:t>6.538</w:t>
            </w:r>
          </w:p>
        </w:tc>
        <w:tc>
          <w:tcPr>
            <w:tcW w:w="574" w:type="pct"/>
            <w:tcBorders>
              <w:tl2br w:val="nil"/>
              <w:tr2bl w:val="nil"/>
            </w:tcBorders>
            <w:vAlign w:val="center"/>
          </w:tcPr>
          <w:p w14:paraId="63085618">
            <w:pPr>
              <w:keepNext w:val="0"/>
              <w:keepLines w:val="0"/>
              <w:pageBreakBefore w:val="0"/>
              <w:widowControl/>
              <w:kinsoku/>
              <w:wordWrap/>
              <w:overflowPunct/>
              <w:topLinePunct w:val="0"/>
              <w:autoSpaceDE/>
              <w:autoSpaceDN/>
              <w:bidi w:val="0"/>
              <w:adjustRightInd w:val="0"/>
              <w:snapToGrid w:val="0"/>
              <w:jc w:val="center"/>
              <w:rPr>
                <w:color w:val="auto"/>
                <w:spacing w:val="0"/>
                <w:kern w:val="0"/>
              </w:rPr>
            </w:pPr>
            <w:r>
              <w:rPr>
                <w:color w:val="auto"/>
                <w:spacing w:val="0"/>
                <w:kern w:val="0"/>
              </w:rPr>
              <w:t>/</w:t>
            </w:r>
          </w:p>
        </w:tc>
        <w:tc>
          <w:tcPr>
            <w:tcW w:w="632" w:type="pct"/>
            <w:tcBorders>
              <w:tl2br w:val="nil"/>
              <w:tr2bl w:val="nil"/>
            </w:tcBorders>
            <w:vAlign w:val="center"/>
          </w:tcPr>
          <w:p w14:paraId="6BE66ACE">
            <w:pPr>
              <w:pStyle w:val="5"/>
              <w:keepNext w:val="0"/>
              <w:keepLines w:val="0"/>
              <w:pageBreakBefore w:val="0"/>
              <w:kinsoku/>
              <w:wordWrap/>
              <w:overflowPunct/>
              <w:topLinePunct w:val="0"/>
              <w:autoSpaceDE/>
              <w:autoSpaceDN/>
              <w:bidi w:val="0"/>
              <w:adjustRightInd w:val="0"/>
              <w:snapToGrid w:val="0"/>
              <w:ind w:firstLine="0" w:firstLineChars="0"/>
              <w:jc w:val="center"/>
              <w:rPr>
                <w:rFonts w:hint="default"/>
                <w:color w:val="auto"/>
                <w:spacing w:val="0"/>
                <w:kern w:val="0"/>
                <w:szCs w:val="21"/>
                <w:lang w:val="en-US" w:eastAsia="zh-CN"/>
              </w:rPr>
            </w:pPr>
            <w:r>
              <w:rPr>
                <w:rFonts w:hint="eastAsia"/>
                <w:color w:val="auto"/>
                <w:kern w:val="0"/>
                <w:szCs w:val="21"/>
                <w:lang w:val="en-US" w:eastAsia="zh-CN"/>
              </w:rPr>
              <w:t>6.538</w:t>
            </w:r>
          </w:p>
        </w:tc>
        <w:tc>
          <w:tcPr>
            <w:tcW w:w="438" w:type="pct"/>
            <w:tcBorders>
              <w:tl2br w:val="nil"/>
              <w:tr2bl w:val="nil"/>
            </w:tcBorders>
            <w:vAlign w:val="center"/>
          </w:tcPr>
          <w:p w14:paraId="7FBB476D">
            <w:pPr>
              <w:pStyle w:val="5"/>
              <w:keepNext w:val="0"/>
              <w:keepLines w:val="0"/>
              <w:pageBreakBefore w:val="0"/>
              <w:kinsoku/>
              <w:wordWrap/>
              <w:overflowPunct/>
              <w:topLinePunct w:val="0"/>
              <w:autoSpaceDE/>
              <w:autoSpaceDN/>
              <w:bidi w:val="0"/>
              <w:adjustRightInd w:val="0"/>
              <w:snapToGrid w:val="0"/>
              <w:ind w:firstLine="0" w:firstLineChars="0"/>
              <w:jc w:val="center"/>
              <w:rPr>
                <w:rFonts w:hint="default"/>
                <w:color w:val="auto"/>
                <w:spacing w:val="0"/>
                <w:kern w:val="0"/>
                <w:szCs w:val="21"/>
                <w:lang w:val="en-US" w:eastAsia="zh-CN"/>
              </w:rPr>
            </w:pPr>
            <w:r>
              <w:rPr>
                <w:rFonts w:hint="eastAsia"/>
                <w:color w:val="auto"/>
                <w:kern w:val="0"/>
                <w:szCs w:val="21"/>
                <w:lang w:val="en-US" w:eastAsia="zh-CN"/>
              </w:rPr>
              <w:t>+6.538</w:t>
            </w:r>
          </w:p>
        </w:tc>
      </w:tr>
      <w:tr w14:paraId="2AAAC25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jc w:val="center"/>
        </w:trPr>
        <w:tc>
          <w:tcPr>
            <w:tcW w:w="502" w:type="pct"/>
            <w:tcBorders>
              <w:tl2br w:val="nil"/>
              <w:tr2bl w:val="nil"/>
            </w:tcBorders>
            <w:vAlign w:val="center"/>
          </w:tcPr>
          <w:p w14:paraId="2FFDF8ED">
            <w:pPr>
              <w:pStyle w:val="277"/>
              <w:keepNext w:val="0"/>
              <w:keepLines w:val="0"/>
              <w:pageBreakBefore w:val="0"/>
              <w:kinsoku/>
              <w:wordWrap/>
              <w:overflowPunct/>
              <w:topLinePunct w:val="0"/>
              <w:autoSpaceDE/>
              <w:autoSpaceDN/>
              <w:bidi w:val="0"/>
              <w:adjustRightInd w:val="0"/>
              <w:snapToGrid w:val="0"/>
              <w:spacing w:beforeLines="0" w:afterLines="0" w:line="240" w:lineRule="auto"/>
              <w:ind w:left="0" w:firstLine="0" w:firstLineChars="0"/>
              <w:rPr>
                <w:rFonts w:ascii="Times New Roman" w:eastAsia="宋体"/>
                <w:color w:val="auto"/>
                <w:spacing w:val="0"/>
                <w:kern w:val="0"/>
                <w:sz w:val="21"/>
                <w:szCs w:val="21"/>
              </w:rPr>
            </w:pPr>
            <w:r>
              <w:rPr>
                <w:rFonts w:hint="eastAsia" w:ascii="Times New Roman" w:eastAsia="宋体"/>
                <w:color w:val="auto"/>
                <w:spacing w:val="0"/>
                <w:kern w:val="0"/>
                <w:sz w:val="21"/>
                <w:szCs w:val="21"/>
              </w:rPr>
              <w:t>生活垃圾</w:t>
            </w:r>
          </w:p>
        </w:tc>
        <w:tc>
          <w:tcPr>
            <w:tcW w:w="889" w:type="pct"/>
            <w:gridSpan w:val="2"/>
            <w:tcBorders>
              <w:tl2br w:val="nil"/>
              <w:tr2bl w:val="nil"/>
            </w:tcBorders>
            <w:vAlign w:val="center"/>
          </w:tcPr>
          <w:p w14:paraId="1D2FD879">
            <w:pPr>
              <w:keepNext w:val="0"/>
              <w:keepLines w:val="0"/>
              <w:pageBreakBefore w:val="0"/>
              <w:kinsoku/>
              <w:wordWrap/>
              <w:overflowPunct/>
              <w:topLinePunct w:val="0"/>
              <w:autoSpaceDE/>
              <w:autoSpaceDN/>
              <w:bidi w:val="0"/>
              <w:adjustRightInd w:val="0"/>
              <w:snapToGrid w:val="0"/>
              <w:jc w:val="center"/>
              <w:rPr>
                <w:color w:val="auto"/>
                <w:spacing w:val="0"/>
                <w:kern w:val="0"/>
              </w:rPr>
            </w:pPr>
            <w:r>
              <w:rPr>
                <w:rFonts w:hint="eastAsia"/>
                <w:color w:val="auto"/>
                <w:spacing w:val="0"/>
                <w:kern w:val="0"/>
              </w:rPr>
              <w:t>生活垃圾</w:t>
            </w:r>
          </w:p>
        </w:tc>
        <w:tc>
          <w:tcPr>
            <w:tcW w:w="398" w:type="pct"/>
            <w:tcBorders>
              <w:tl2br w:val="nil"/>
              <w:tr2bl w:val="nil"/>
            </w:tcBorders>
            <w:vAlign w:val="center"/>
          </w:tcPr>
          <w:p w14:paraId="7B577359">
            <w:pPr>
              <w:keepNext w:val="0"/>
              <w:keepLines w:val="0"/>
              <w:pageBreakBefore w:val="0"/>
              <w:widowControl/>
              <w:kinsoku/>
              <w:wordWrap/>
              <w:overflowPunct/>
              <w:topLinePunct w:val="0"/>
              <w:autoSpaceDE/>
              <w:autoSpaceDN/>
              <w:bidi w:val="0"/>
              <w:adjustRightInd w:val="0"/>
              <w:snapToGrid w:val="0"/>
              <w:jc w:val="center"/>
              <w:rPr>
                <w:color w:val="auto"/>
                <w:spacing w:val="0"/>
                <w:kern w:val="0"/>
              </w:rPr>
            </w:pPr>
            <w:r>
              <w:rPr>
                <w:color w:val="auto"/>
                <w:spacing w:val="0"/>
                <w:kern w:val="0"/>
              </w:rPr>
              <w:t>/</w:t>
            </w:r>
          </w:p>
        </w:tc>
        <w:tc>
          <w:tcPr>
            <w:tcW w:w="448" w:type="pct"/>
            <w:tcBorders>
              <w:tl2br w:val="nil"/>
              <w:tr2bl w:val="nil"/>
            </w:tcBorders>
            <w:vAlign w:val="center"/>
          </w:tcPr>
          <w:p w14:paraId="66CE8917">
            <w:pPr>
              <w:keepNext w:val="0"/>
              <w:keepLines w:val="0"/>
              <w:pageBreakBefore w:val="0"/>
              <w:widowControl/>
              <w:kinsoku/>
              <w:wordWrap/>
              <w:overflowPunct/>
              <w:topLinePunct w:val="0"/>
              <w:autoSpaceDE/>
              <w:autoSpaceDN/>
              <w:bidi w:val="0"/>
              <w:adjustRightInd w:val="0"/>
              <w:snapToGrid w:val="0"/>
              <w:jc w:val="center"/>
              <w:rPr>
                <w:color w:val="auto"/>
                <w:spacing w:val="0"/>
                <w:kern w:val="0"/>
              </w:rPr>
            </w:pPr>
            <w:r>
              <w:rPr>
                <w:color w:val="auto"/>
                <w:spacing w:val="0"/>
                <w:kern w:val="0"/>
              </w:rPr>
              <w:t>/</w:t>
            </w:r>
          </w:p>
        </w:tc>
        <w:tc>
          <w:tcPr>
            <w:tcW w:w="498" w:type="pct"/>
            <w:tcBorders>
              <w:tl2br w:val="nil"/>
              <w:tr2bl w:val="nil"/>
            </w:tcBorders>
            <w:vAlign w:val="center"/>
          </w:tcPr>
          <w:p w14:paraId="10F621F5">
            <w:pPr>
              <w:keepNext w:val="0"/>
              <w:keepLines w:val="0"/>
              <w:pageBreakBefore w:val="0"/>
              <w:widowControl/>
              <w:kinsoku/>
              <w:wordWrap/>
              <w:overflowPunct/>
              <w:topLinePunct w:val="0"/>
              <w:autoSpaceDE/>
              <w:autoSpaceDN/>
              <w:bidi w:val="0"/>
              <w:adjustRightInd w:val="0"/>
              <w:snapToGrid w:val="0"/>
              <w:jc w:val="center"/>
              <w:rPr>
                <w:color w:val="auto"/>
                <w:spacing w:val="0"/>
                <w:kern w:val="0"/>
              </w:rPr>
            </w:pPr>
            <w:r>
              <w:rPr>
                <w:color w:val="auto"/>
                <w:spacing w:val="0"/>
                <w:kern w:val="0"/>
              </w:rPr>
              <w:t>/</w:t>
            </w:r>
          </w:p>
        </w:tc>
        <w:tc>
          <w:tcPr>
            <w:tcW w:w="617" w:type="pct"/>
            <w:tcBorders>
              <w:tl2br w:val="nil"/>
              <w:tr2bl w:val="nil"/>
            </w:tcBorders>
            <w:vAlign w:val="center"/>
          </w:tcPr>
          <w:p w14:paraId="61AD1E49">
            <w:pPr>
              <w:pStyle w:val="5"/>
              <w:keepNext w:val="0"/>
              <w:keepLines w:val="0"/>
              <w:pageBreakBefore w:val="0"/>
              <w:kinsoku/>
              <w:wordWrap/>
              <w:overflowPunct/>
              <w:topLinePunct w:val="0"/>
              <w:autoSpaceDE/>
              <w:autoSpaceDN/>
              <w:bidi w:val="0"/>
              <w:adjustRightInd w:val="0"/>
              <w:snapToGrid w:val="0"/>
              <w:ind w:firstLine="0" w:firstLineChars="0"/>
              <w:jc w:val="center"/>
              <w:rPr>
                <w:color w:val="auto"/>
                <w:spacing w:val="0"/>
                <w:kern w:val="0"/>
                <w:szCs w:val="21"/>
              </w:rPr>
            </w:pPr>
            <w:r>
              <w:rPr>
                <w:rFonts w:hint="eastAsia"/>
                <w:color w:val="auto"/>
                <w:kern w:val="0"/>
                <w:szCs w:val="21"/>
                <w:lang w:val="en-US" w:eastAsia="zh-CN"/>
              </w:rPr>
              <w:t>9</w:t>
            </w:r>
          </w:p>
        </w:tc>
        <w:tc>
          <w:tcPr>
            <w:tcW w:w="574" w:type="pct"/>
            <w:tcBorders>
              <w:tl2br w:val="nil"/>
              <w:tr2bl w:val="nil"/>
            </w:tcBorders>
            <w:vAlign w:val="center"/>
          </w:tcPr>
          <w:p w14:paraId="544954AA">
            <w:pPr>
              <w:keepNext w:val="0"/>
              <w:keepLines w:val="0"/>
              <w:pageBreakBefore w:val="0"/>
              <w:widowControl/>
              <w:kinsoku/>
              <w:wordWrap/>
              <w:overflowPunct/>
              <w:topLinePunct w:val="0"/>
              <w:autoSpaceDE/>
              <w:autoSpaceDN/>
              <w:bidi w:val="0"/>
              <w:adjustRightInd w:val="0"/>
              <w:snapToGrid w:val="0"/>
              <w:jc w:val="center"/>
              <w:rPr>
                <w:color w:val="auto"/>
                <w:spacing w:val="0"/>
                <w:kern w:val="0"/>
              </w:rPr>
            </w:pPr>
            <w:r>
              <w:rPr>
                <w:color w:val="auto"/>
                <w:spacing w:val="0"/>
                <w:kern w:val="0"/>
              </w:rPr>
              <w:t>/</w:t>
            </w:r>
          </w:p>
        </w:tc>
        <w:tc>
          <w:tcPr>
            <w:tcW w:w="632" w:type="pct"/>
            <w:tcBorders>
              <w:tl2br w:val="nil"/>
              <w:tr2bl w:val="nil"/>
            </w:tcBorders>
            <w:vAlign w:val="center"/>
          </w:tcPr>
          <w:p w14:paraId="78501E19">
            <w:pPr>
              <w:pStyle w:val="5"/>
              <w:keepNext w:val="0"/>
              <w:keepLines w:val="0"/>
              <w:pageBreakBefore w:val="0"/>
              <w:kinsoku/>
              <w:wordWrap/>
              <w:overflowPunct/>
              <w:topLinePunct w:val="0"/>
              <w:autoSpaceDE/>
              <w:autoSpaceDN/>
              <w:bidi w:val="0"/>
              <w:adjustRightInd w:val="0"/>
              <w:snapToGrid w:val="0"/>
              <w:ind w:firstLine="0" w:firstLineChars="0"/>
              <w:jc w:val="center"/>
              <w:rPr>
                <w:color w:val="auto"/>
                <w:spacing w:val="0"/>
                <w:kern w:val="0"/>
                <w:szCs w:val="21"/>
              </w:rPr>
            </w:pPr>
            <w:r>
              <w:rPr>
                <w:rFonts w:hint="eastAsia"/>
                <w:color w:val="auto"/>
                <w:kern w:val="0"/>
                <w:szCs w:val="21"/>
                <w:lang w:val="en-US" w:eastAsia="zh-CN"/>
              </w:rPr>
              <w:t>9</w:t>
            </w:r>
          </w:p>
        </w:tc>
        <w:tc>
          <w:tcPr>
            <w:tcW w:w="438" w:type="pct"/>
            <w:tcBorders>
              <w:tl2br w:val="nil"/>
              <w:tr2bl w:val="nil"/>
            </w:tcBorders>
            <w:vAlign w:val="center"/>
          </w:tcPr>
          <w:p w14:paraId="3CFACC56">
            <w:pPr>
              <w:pStyle w:val="5"/>
              <w:keepNext w:val="0"/>
              <w:keepLines w:val="0"/>
              <w:pageBreakBefore w:val="0"/>
              <w:kinsoku/>
              <w:wordWrap/>
              <w:overflowPunct/>
              <w:topLinePunct w:val="0"/>
              <w:autoSpaceDE/>
              <w:autoSpaceDN/>
              <w:bidi w:val="0"/>
              <w:adjustRightInd w:val="0"/>
              <w:snapToGrid w:val="0"/>
              <w:ind w:firstLine="0" w:firstLineChars="0"/>
              <w:jc w:val="center"/>
              <w:rPr>
                <w:color w:val="auto"/>
                <w:spacing w:val="0"/>
                <w:kern w:val="0"/>
                <w:szCs w:val="21"/>
              </w:rPr>
            </w:pPr>
            <w:r>
              <w:rPr>
                <w:rFonts w:hint="eastAsia"/>
                <w:color w:val="auto"/>
                <w:kern w:val="0"/>
                <w:szCs w:val="21"/>
                <w:lang w:val="en-US" w:eastAsia="zh-CN"/>
              </w:rPr>
              <w:t>+9</w:t>
            </w:r>
          </w:p>
        </w:tc>
      </w:tr>
    </w:tbl>
    <w:p w14:paraId="2E08A0C6">
      <w:pPr>
        <w:pStyle w:val="72"/>
        <w:adjustRightInd w:val="0"/>
        <w:snapToGrid w:val="0"/>
        <w:spacing w:line="240" w:lineRule="auto"/>
        <w:rPr>
          <w:color w:val="auto"/>
          <w:spacing w:val="-16"/>
          <w:kern w:val="21"/>
          <w:sz w:val="24"/>
          <w:szCs w:val="24"/>
        </w:rPr>
      </w:pPr>
      <w:r>
        <w:rPr>
          <w:color w:val="auto"/>
          <w:kern w:val="21"/>
          <w:sz w:val="24"/>
          <w:szCs w:val="24"/>
        </w:rPr>
        <w:t>注：</w:t>
      </w:r>
      <w:r>
        <w:rPr>
          <w:color w:val="auto"/>
          <w:spacing w:val="-16"/>
          <w:kern w:val="21"/>
          <w:sz w:val="24"/>
          <w:szCs w:val="24"/>
        </w:rPr>
        <w:fldChar w:fldCharType="begin"/>
      </w:r>
      <w:r>
        <w:rPr>
          <w:color w:val="auto"/>
          <w:spacing w:val="-16"/>
          <w:kern w:val="21"/>
          <w:sz w:val="24"/>
          <w:szCs w:val="24"/>
        </w:rPr>
        <w:instrText xml:space="preserve"> = 6 \* GB3 \* MERGEFORMAT </w:instrText>
      </w:r>
      <w:r>
        <w:rPr>
          <w:color w:val="auto"/>
          <w:spacing w:val="-16"/>
          <w:kern w:val="21"/>
          <w:sz w:val="24"/>
          <w:szCs w:val="24"/>
        </w:rPr>
        <w:fldChar w:fldCharType="separate"/>
      </w:r>
      <w:r>
        <w:rPr>
          <w:color w:val="auto"/>
          <w:sz w:val="24"/>
          <w:szCs w:val="24"/>
        </w:rPr>
        <w:t>⑥</w:t>
      </w:r>
      <w:r>
        <w:rPr>
          <w:color w:val="auto"/>
          <w:spacing w:val="-16"/>
          <w:kern w:val="21"/>
          <w:sz w:val="24"/>
          <w:szCs w:val="24"/>
        </w:rPr>
        <w:fldChar w:fldCharType="end"/>
      </w:r>
      <w:r>
        <w:rPr>
          <w:color w:val="auto"/>
          <w:spacing w:val="-16"/>
          <w:kern w:val="21"/>
          <w:sz w:val="24"/>
          <w:szCs w:val="24"/>
        </w:rPr>
        <w:t>=</w:t>
      </w:r>
      <w:r>
        <w:rPr>
          <w:color w:val="auto"/>
          <w:spacing w:val="-6"/>
          <w:kern w:val="21"/>
          <w:sz w:val="24"/>
          <w:szCs w:val="24"/>
        </w:rPr>
        <w:fldChar w:fldCharType="begin"/>
      </w:r>
      <w:r>
        <w:rPr>
          <w:color w:val="auto"/>
          <w:spacing w:val="-6"/>
          <w:kern w:val="21"/>
          <w:sz w:val="24"/>
          <w:szCs w:val="24"/>
        </w:rPr>
        <w:instrText xml:space="preserve"> = 1 \* GB3 \* MERGEFORMAT </w:instrText>
      </w:r>
      <w:r>
        <w:rPr>
          <w:color w:val="auto"/>
          <w:spacing w:val="-6"/>
          <w:kern w:val="21"/>
          <w:sz w:val="24"/>
          <w:szCs w:val="24"/>
        </w:rPr>
        <w:fldChar w:fldCharType="separate"/>
      </w:r>
      <w:r>
        <w:rPr>
          <w:color w:val="auto"/>
          <w:sz w:val="24"/>
          <w:szCs w:val="24"/>
        </w:rPr>
        <w:t>①</w:t>
      </w:r>
      <w:r>
        <w:rPr>
          <w:color w:val="auto"/>
          <w:spacing w:val="-6"/>
          <w:kern w:val="21"/>
          <w:sz w:val="24"/>
          <w:szCs w:val="24"/>
        </w:rPr>
        <w:fldChar w:fldCharType="end"/>
      </w:r>
      <w:r>
        <w:rPr>
          <w:color w:val="auto"/>
          <w:spacing w:val="-6"/>
          <w:kern w:val="21"/>
          <w:sz w:val="24"/>
          <w:szCs w:val="24"/>
        </w:rPr>
        <w:t>+</w:t>
      </w:r>
      <w:r>
        <w:rPr>
          <w:color w:val="auto"/>
          <w:spacing w:val="-6"/>
          <w:kern w:val="21"/>
          <w:sz w:val="24"/>
          <w:szCs w:val="24"/>
        </w:rPr>
        <w:fldChar w:fldCharType="begin"/>
      </w:r>
      <w:r>
        <w:rPr>
          <w:color w:val="auto"/>
          <w:spacing w:val="-6"/>
          <w:kern w:val="21"/>
          <w:sz w:val="24"/>
          <w:szCs w:val="24"/>
        </w:rPr>
        <w:instrText xml:space="preserve"> = 3 \* GB3 \* MERGEFORMAT </w:instrText>
      </w:r>
      <w:r>
        <w:rPr>
          <w:color w:val="auto"/>
          <w:spacing w:val="-6"/>
          <w:kern w:val="21"/>
          <w:sz w:val="24"/>
          <w:szCs w:val="24"/>
        </w:rPr>
        <w:fldChar w:fldCharType="separate"/>
      </w:r>
      <w:r>
        <w:rPr>
          <w:color w:val="auto"/>
          <w:sz w:val="24"/>
          <w:szCs w:val="24"/>
        </w:rPr>
        <w:t>③</w:t>
      </w:r>
      <w:r>
        <w:rPr>
          <w:color w:val="auto"/>
          <w:spacing w:val="-6"/>
          <w:kern w:val="21"/>
          <w:sz w:val="24"/>
          <w:szCs w:val="24"/>
        </w:rPr>
        <w:fldChar w:fldCharType="end"/>
      </w:r>
      <w:r>
        <w:rPr>
          <w:color w:val="auto"/>
          <w:spacing w:val="-6"/>
          <w:kern w:val="21"/>
          <w:sz w:val="24"/>
          <w:szCs w:val="24"/>
        </w:rPr>
        <w:t>+</w:t>
      </w:r>
      <w:r>
        <w:rPr>
          <w:color w:val="auto"/>
          <w:spacing w:val="-6"/>
          <w:kern w:val="21"/>
          <w:sz w:val="24"/>
          <w:szCs w:val="24"/>
        </w:rPr>
        <w:fldChar w:fldCharType="begin"/>
      </w:r>
      <w:r>
        <w:rPr>
          <w:color w:val="auto"/>
          <w:spacing w:val="-6"/>
          <w:kern w:val="21"/>
          <w:sz w:val="24"/>
          <w:szCs w:val="24"/>
        </w:rPr>
        <w:instrText xml:space="preserve"> = 4 \* GB3 \* MERGEFORMAT </w:instrText>
      </w:r>
      <w:r>
        <w:rPr>
          <w:color w:val="auto"/>
          <w:spacing w:val="-6"/>
          <w:kern w:val="21"/>
          <w:sz w:val="24"/>
          <w:szCs w:val="24"/>
        </w:rPr>
        <w:fldChar w:fldCharType="separate"/>
      </w:r>
      <w:r>
        <w:rPr>
          <w:color w:val="auto"/>
          <w:sz w:val="24"/>
          <w:szCs w:val="24"/>
        </w:rPr>
        <w:t>④</w:t>
      </w:r>
      <w:r>
        <w:rPr>
          <w:color w:val="auto"/>
          <w:spacing w:val="-6"/>
          <w:kern w:val="21"/>
          <w:sz w:val="24"/>
          <w:szCs w:val="24"/>
        </w:rPr>
        <w:fldChar w:fldCharType="end"/>
      </w:r>
      <w:r>
        <w:rPr>
          <w:color w:val="auto"/>
          <w:spacing w:val="-6"/>
          <w:kern w:val="21"/>
          <w:sz w:val="24"/>
          <w:szCs w:val="24"/>
        </w:rPr>
        <w:t>-</w:t>
      </w:r>
      <w:r>
        <w:rPr>
          <w:color w:val="auto"/>
          <w:spacing w:val="-16"/>
          <w:kern w:val="21"/>
          <w:sz w:val="24"/>
          <w:szCs w:val="24"/>
        </w:rPr>
        <w:fldChar w:fldCharType="begin"/>
      </w:r>
      <w:r>
        <w:rPr>
          <w:color w:val="auto"/>
          <w:spacing w:val="-16"/>
          <w:kern w:val="21"/>
          <w:sz w:val="24"/>
          <w:szCs w:val="24"/>
        </w:rPr>
        <w:instrText xml:space="preserve"> = 5 \* GB3 \* MERGEFORMAT </w:instrText>
      </w:r>
      <w:r>
        <w:rPr>
          <w:color w:val="auto"/>
          <w:spacing w:val="-16"/>
          <w:kern w:val="21"/>
          <w:sz w:val="24"/>
          <w:szCs w:val="24"/>
        </w:rPr>
        <w:fldChar w:fldCharType="separate"/>
      </w:r>
      <w:r>
        <w:rPr>
          <w:color w:val="auto"/>
          <w:sz w:val="24"/>
          <w:szCs w:val="24"/>
        </w:rPr>
        <w:t>⑤</w:t>
      </w:r>
      <w:r>
        <w:rPr>
          <w:color w:val="auto"/>
          <w:spacing w:val="-16"/>
          <w:kern w:val="21"/>
          <w:sz w:val="24"/>
          <w:szCs w:val="24"/>
        </w:rPr>
        <w:fldChar w:fldCharType="end"/>
      </w:r>
      <w:r>
        <w:rPr>
          <w:color w:val="auto"/>
          <w:spacing w:val="-16"/>
          <w:kern w:val="21"/>
          <w:sz w:val="24"/>
          <w:szCs w:val="24"/>
        </w:rPr>
        <w:t>；</w:t>
      </w:r>
      <w:r>
        <w:rPr>
          <w:color w:val="auto"/>
          <w:spacing w:val="-6"/>
          <w:kern w:val="21"/>
          <w:sz w:val="24"/>
          <w:szCs w:val="24"/>
        </w:rPr>
        <w:fldChar w:fldCharType="begin"/>
      </w:r>
      <w:r>
        <w:rPr>
          <w:color w:val="auto"/>
          <w:spacing w:val="-6"/>
          <w:kern w:val="21"/>
          <w:sz w:val="24"/>
          <w:szCs w:val="24"/>
        </w:rPr>
        <w:instrText xml:space="preserve"> = 7 \* GB3 \* MERGEFORMAT </w:instrText>
      </w:r>
      <w:r>
        <w:rPr>
          <w:color w:val="auto"/>
          <w:spacing w:val="-6"/>
          <w:kern w:val="21"/>
          <w:sz w:val="24"/>
          <w:szCs w:val="24"/>
        </w:rPr>
        <w:fldChar w:fldCharType="separate"/>
      </w:r>
      <w:r>
        <w:rPr>
          <w:color w:val="auto"/>
          <w:sz w:val="24"/>
          <w:szCs w:val="24"/>
        </w:rPr>
        <w:t>⑦</w:t>
      </w:r>
      <w:r>
        <w:rPr>
          <w:color w:val="auto"/>
          <w:spacing w:val="-6"/>
          <w:kern w:val="21"/>
          <w:sz w:val="24"/>
          <w:szCs w:val="24"/>
        </w:rPr>
        <w:fldChar w:fldCharType="end"/>
      </w:r>
      <w:r>
        <w:rPr>
          <w:color w:val="auto"/>
          <w:spacing w:val="-6"/>
          <w:kern w:val="21"/>
          <w:sz w:val="24"/>
          <w:szCs w:val="24"/>
        </w:rPr>
        <w:t>=</w:t>
      </w:r>
      <w:r>
        <w:rPr>
          <w:color w:val="auto"/>
          <w:spacing w:val="-16"/>
          <w:kern w:val="21"/>
          <w:sz w:val="24"/>
          <w:szCs w:val="24"/>
        </w:rPr>
        <w:fldChar w:fldCharType="begin"/>
      </w:r>
      <w:r>
        <w:rPr>
          <w:color w:val="auto"/>
          <w:spacing w:val="-16"/>
          <w:kern w:val="21"/>
          <w:sz w:val="24"/>
          <w:szCs w:val="24"/>
        </w:rPr>
        <w:instrText xml:space="preserve"> = 6 \* GB3 \* MERGEFORMAT </w:instrText>
      </w:r>
      <w:r>
        <w:rPr>
          <w:color w:val="auto"/>
          <w:spacing w:val="-16"/>
          <w:kern w:val="21"/>
          <w:sz w:val="24"/>
          <w:szCs w:val="24"/>
        </w:rPr>
        <w:fldChar w:fldCharType="separate"/>
      </w:r>
      <w:r>
        <w:rPr>
          <w:color w:val="auto"/>
          <w:sz w:val="24"/>
          <w:szCs w:val="24"/>
        </w:rPr>
        <w:t>⑥</w:t>
      </w:r>
      <w:r>
        <w:rPr>
          <w:color w:val="auto"/>
          <w:spacing w:val="-16"/>
          <w:kern w:val="21"/>
          <w:sz w:val="24"/>
          <w:szCs w:val="24"/>
        </w:rPr>
        <w:fldChar w:fldCharType="end"/>
      </w:r>
      <w:r>
        <w:rPr>
          <w:rFonts w:hint="eastAsia"/>
          <w:color w:val="auto"/>
          <w:spacing w:val="-16"/>
          <w:kern w:val="21"/>
          <w:sz w:val="24"/>
          <w:szCs w:val="24"/>
        </w:rPr>
        <w:t>-①</w:t>
      </w:r>
    </w:p>
    <w:p w14:paraId="30C023D8">
      <w:pPr>
        <w:pStyle w:val="72"/>
        <w:rPr>
          <w:color w:val="auto"/>
          <w:spacing w:val="-16"/>
          <w:kern w:val="21"/>
          <w:sz w:val="24"/>
          <w:szCs w:val="24"/>
        </w:rPr>
      </w:pPr>
    </w:p>
    <w:p w14:paraId="7B8422FB">
      <w:pPr>
        <w:pStyle w:val="72"/>
        <w:rPr>
          <w:color w:val="auto"/>
          <w:spacing w:val="-16"/>
          <w:kern w:val="21"/>
          <w:sz w:val="24"/>
          <w:szCs w:val="24"/>
        </w:rPr>
      </w:pPr>
    </w:p>
    <w:p w14:paraId="085726FA">
      <w:pPr>
        <w:pStyle w:val="72"/>
        <w:rPr>
          <w:color w:val="auto"/>
          <w:spacing w:val="-16"/>
          <w:kern w:val="21"/>
          <w:sz w:val="24"/>
          <w:szCs w:val="24"/>
        </w:rPr>
      </w:pPr>
    </w:p>
    <w:p w14:paraId="00F01147">
      <w:pPr>
        <w:pStyle w:val="72"/>
        <w:rPr>
          <w:color w:val="auto"/>
          <w:spacing w:val="-16"/>
          <w:kern w:val="21"/>
          <w:sz w:val="24"/>
          <w:szCs w:val="24"/>
        </w:rPr>
      </w:pPr>
    </w:p>
    <w:p w14:paraId="10B76D87">
      <w:pPr>
        <w:pStyle w:val="72"/>
        <w:rPr>
          <w:color w:val="auto"/>
          <w:spacing w:val="-16"/>
          <w:kern w:val="21"/>
          <w:sz w:val="24"/>
          <w:szCs w:val="24"/>
        </w:rPr>
      </w:pPr>
    </w:p>
    <w:p w14:paraId="5EDF767A">
      <w:pPr>
        <w:pStyle w:val="72"/>
        <w:rPr>
          <w:color w:val="auto"/>
          <w:spacing w:val="-16"/>
          <w:kern w:val="21"/>
          <w:sz w:val="24"/>
          <w:szCs w:val="24"/>
        </w:rPr>
      </w:pPr>
    </w:p>
    <w:p w14:paraId="7178343B">
      <w:pPr>
        <w:pStyle w:val="72"/>
        <w:rPr>
          <w:color w:val="auto"/>
          <w:spacing w:val="-16"/>
          <w:kern w:val="21"/>
          <w:sz w:val="24"/>
          <w:szCs w:val="24"/>
        </w:rPr>
        <w:sectPr>
          <w:footerReference r:id="rId6" w:type="default"/>
          <w:pgSz w:w="16838" w:h="11906" w:orient="landscape"/>
          <w:pgMar w:top="1803" w:right="1440" w:bottom="1803" w:left="1440" w:header="851" w:footer="992" w:gutter="0"/>
          <w:pgBorders>
            <w:top w:val="none" w:sz="0" w:space="0"/>
            <w:left w:val="none" w:sz="0" w:space="0"/>
            <w:bottom w:val="none" w:sz="0" w:space="0"/>
            <w:right w:val="none" w:sz="0" w:space="0"/>
          </w:pgBorders>
          <w:cols w:space="720" w:num="1"/>
          <w:docGrid w:type="lines" w:linePitch="319" w:charSpace="0"/>
        </w:sectPr>
      </w:pPr>
    </w:p>
    <w:p w14:paraId="247583A3">
      <w:pPr>
        <w:pStyle w:val="72"/>
        <w:adjustRightInd w:val="0"/>
        <w:snapToGrid w:val="0"/>
        <w:spacing w:line="360" w:lineRule="auto"/>
        <w:outlineLvl w:val="0"/>
        <w:rPr>
          <w:b/>
          <w:bCs/>
          <w:color w:val="auto"/>
        </w:rPr>
      </w:pPr>
      <w:bookmarkStart w:id="34" w:name="_Toc137559026"/>
      <w:bookmarkStart w:id="35" w:name="_Toc31937"/>
      <w:r>
        <w:rPr>
          <w:b/>
          <w:bCs/>
          <w:color w:val="auto"/>
        </w:rPr>
        <w:t>附图</w:t>
      </w:r>
      <w:bookmarkEnd w:id="34"/>
      <w:bookmarkEnd w:id="35"/>
    </w:p>
    <w:p w14:paraId="26E9B76B">
      <w:pPr>
        <w:pStyle w:val="72"/>
        <w:adjustRightInd w:val="0"/>
        <w:snapToGrid w:val="0"/>
        <w:spacing w:line="360" w:lineRule="auto"/>
        <w:rPr>
          <w:color w:val="auto"/>
        </w:rPr>
      </w:pPr>
      <w:bookmarkStart w:id="36" w:name="_Toc5636"/>
      <w:bookmarkStart w:id="37" w:name="_Toc137559027"/>
      <w:bookmarkStart w:id="38" w:name="_Toc16842"/>
      <w:r>
        <w:rPr>
          <w:color w:val="auto"/>
        </w:rPr>
        <w:t>1、本项目所在地示意图</w:t>
      </w:r>
    </w:p>
    <w:p w14:paraId="460ED1E8">
      <w:pPr>
        <w:pStyle w:val="72"/>
        <w:adjustRightInd w:val="0"/>
        <w:snapToGrid w:val="0"/>
        <w:spacing w:line="360" w:lineRule="auto"/>
        <w:rPr>
          <w:color w:val="auto"/>
        </w:rPr>
      </w:pPr>
      <w:r>
        <w:rPr>
          <w:color w:val="auto"/>
        </w:rPr>
        <w:t>2、本项目周边500米概况图</w:t>
      </w:r>
    </w:p>
    <w:p w14:paraId="3ACFC695">
      <w:pPr>
        <w:pStyle w:val="72"/>
        <w:adjustRightInd w:val="0"/>
        <w:snapToGrid w:val="0"/>
        <w:spacing w:line="360" w:lineRule="auto"/>
        <w:rPr>
          <w:color w:val="auto"/>
        </w:rPr>
      </w:pPr>
      <w:r>
        <w:rPr>
          <w:color w:val="auto"/>
        </w:rPr>
        <w:t>3、本项目厂区平面布置图</w:t>
      </w:r>
    </w:p>
    <w:p w14:paraId="2D231CA8">
      <w:pPr>
        <w:pStyle w:val="72"/>
        <w:adjustRightInd w:val="0"/>
        <w:snapToGrid w:val="0"/>
        <w:spacing w:line="360" w:lineRule="auto"/>
        <w:rPr>
          <w:rFonts w:hint="default"/>
          <w:color w:val="auto"/>
          <w:lang w:val="en-US" w:eastAsia="zh-CN"/>
        </w:rPr>
      </w:pPr>
      <w:r>
        <w:rPr>
          <w:rFonts w:hint="eastAsia"/>
          <w:color w:val="auto"/>
          <w:lang w:val="en-US" w:eastAsia="zh-CN"/>
        </w:rPr>
        <w:t>4、本项目园区雨污管网分布图</w:t>
      </w:r>
    </w:p>
    <w:p w14:paraId="7BBCBB9A">
      <w:pPr>
        <w:pStyle w:val="72"/>
        <w:adjustRightInd w:val="0"/>
        <w:snapToGrid w:val="0"/>
        <w:spacing w:line="360" w:lineRule="auto"/>
        <w:rPr>
          <w:color w:val="auto"/>
        </w:rPr>
      </w:pPr>
      <w:r>
        <w:rPr>
          <w:rFonts w:hint="eastAsia"/>
          <w:color w:val="auto"/>
          <w:lang w:val="en-US" w:eastAsia="zh-CN"/>
        </w:rPr>
        <w:t>5</w:t>
      </w:r>
      <w:r>
        <w:rPr>
          <w:color w:val="auto"/>
        </w:rPr>
        <w:t>、本项目用地规划图</w:t>
      </w:r>
    </w:p>
    <w:p w14:paraId="7E6BC13E">
      <w:pPr>
        <w:pStyle w:val="72"/>
        <w:adjustRightInd w:val="0"/>
        <w:snapToGrid w:val="0"/>
        <w:spacing w:line="360" w:lineRule="auto"/>
        <w:rPr>
          <w:color w:val="auto"/>
        </w:rPr>
      </w:pPr>
      <w:r>
        <w:rPr>
          <w:rFonts w:hint="eastAsia"/>
          <w:color w:val="auto"/>
          <w:lang w:val="en-US" w:eastAsia="zh-CN"/>
        </w:rPr>
        <w:t>6</w:t>
      </w:r>
      <w:r>
        <w:rPr>
          <w:color w:val="auto"/>
        </w:rPr>
        <w:t>、</w:t>
      </w:r>
      <w:r>
        <w:rPr>
          <w:rFonts w:hint="eastAsia"/>
          <w:color w:val="auto"/>
          <w:lang w:val="en-US" w:eastAsia="zh-CN"/>
        </w:rPr>
        <w:t>常州市</w:t>
      </w:r>
      <w:r>
        <w:rPr>
          <w:color w:val="auto"/>
        </w:rPr>
        <w:t>生态空间</w:t>
      </w:r>
      <w:r>
        <w:rPr>
          <w:rFonts w:hint="eastAsia"/>
          <w:color w:val="auto"/>
          <w:lang w:val="en-US" w:eastAsia="zh-CN"/>
        </w:rPr>
        <w:t>保护</w:t>
      </w:r>
      <w:r>
        <w:rPr>
          <w:color w:val="auto"/>
        </w:rPr>
        <w:t>区域</w:t>
      </w:r>
      <w:r>
        <w:rPr>
          <w:rFonts w:hint="eastAsia"/>
          <w:color w:val="auto"/>
          <w:lang w:val="en-US" w:eastAsia="zh-CN"/>
        </w:rPr>
        <w:t>分布</w:t>
      </w:r>
      <w:r>
        <w:rPr>
          <w:color w:val="auto"/>
        </w:rPr>
        <w:t>图</w:t>
      </w:r>
    </w:p>
    <w:p w14:paraId="0DA0B44C">
      <w:pPr>
        <w:pStyle w:val="72"/>
        <w:adjustRightInd w:val="0"/>
        <w:snapToGrid w:val="0"/>
        <w:spacing w:line="360" w:lineRule="auto"/>
        <w:rPr>
          <w:rFonts w:hint="default" w:eastAsia="宋体"/>
          <w:color w:val="auto"/>
          <w:lang w:val="en-US" w:eastAsia="zh-CN"/>
        </w:rPr>
      </w:pPr>
      <w:r>
        <w:rPr>
          <w:rFonts w:hint="eastAsia"/>
          <w:color w:val="auto"/>
          <w:lang w:val="en-US" w:eastAsia="zh-CN"/>
        </w:rPr>
        <w:t>7、声环境功能区划图</w:t>
      </w:r>
    </w:p>
    <w:p w14:paraId="7354DD3A">
      <w:pPr>
        <w:pStyle w:val="72"/>
        <w:adjustRightInd w:val="0"/>
        <w:snapToGrid w:val="0"/>
        <w:spacing w:line="360" w:lineRule="auto"/>
        <w:rPr>
          <w:rFonts w:hint="default" w:eastAsia="宋体"/>
          <w:color w:val="auto"/>
          <w:lang w:val="en-US" w:eastAsia="zh-CN"/>
        </w:rPr>
      </w:pPr>
      <w:r>
        <w:rPr>
          <w:rFonts w:hint="eastAsia"/>
          <w:color w:val="auto"/>
          <w:lang w:val="en-US" w:eastAsia="zh-CN"/>
        </w:rPr>
        <w:t>8、周边水系图</w:t>
      </w:r>
    </w:p>
    <w:p w14:paraId="46796D1D">
      <w:pPr>
        <w:adjustRightInd w:val="0"/>
        <w:snapToGrid w:val="0"/>
        <w:spacing w:line="360" w:lineRule="auto"/>
        <w:outlineLvl w:val="0"/>
        <w:rPr>
          <w:color w:val="auto"/>
        </w:rPr>
      </w:pPr>
      <w:r>
        <w:rPr>
          <w:b/>
          <w:bCs/>
          <w:color w:val="auto"/>
        </w:rPr>
        <w:t>附件</w:t>
      </w:r>
      <w:bookmarkEnd w:id="36"/>
      <w:bookmarkEnd w:id="37"/>
      <w:bookmarkEnd w:id="38"/>
    </w:p>
    <w:p w14:paraId="7CF61136">
      <w:pPr>
        <w:pStyle w:val="72"/>
        <w:adjustRightInd w:val="0"/>
        <w:snapToGrid w:val="0"/>
        <w:spacing w:line="360" w:lineRule="auto"/>
        <w:rPr>
          <w:color w:val="auto"/>
        </w:rPr>
      </w:pPr>
      <w:r>
        <w:rPr>
          <w:color w:val="auto"/>
        </w:rPr>
        <w:t>1、</w:t>
      </w:r>
      <w:r>
        <w:rPr>
          <w:rFonts w:hint="eastAsia"/>
          <w:color w:val="auto"/>
          <w:lang w:val="en-US" w:eastAsia="zh-CN"/>
        </w:rPr>
        <w:t>华罗庚高新区</w:t>
      </w:r>
      <w:r>
        <w:rPr>
          <w:rFonts w:hint="eastAsia"/>
          <w:color w:val="auto"/>
        </w:rPr>
        <w:t>发展规划环境影响评价审查意见</w:t>
      </w:r>
    </w:p>
    <w:p w14:paraId="61E09EF3">
      <w:pPr>
        <w:pStyle w:val="72"/>
        <w:adjustRightInd w:val="0"/>
        <w:snapToGrid w:val="0"/>
        <w:spacing w:line="360" w:lineRule="auto"/>
        <w:rPr>
          <w:color w:val="auto"/>
        </w:rPr>
      </w:pPr>
      <w:r>
        <w:rPr>
          <w:color w:val="auto"/>
        </w:rPr>
        <w:t>2、备案证</w:t>
      </w:r>
    </w:p>
    <w:p w14:paraId="29F8783A">
      <w:pPr>
        <w:pStyle w:val="72"/>
        <w:adjustRightInd w:val="0"/>
        <w:snapToGrid w:val="0"/>
        <w:spacing w:line="360" w:lineRule="auto"/>
        <w:rPr>
          <w:color w:val="auto"/>
        </w:rPr>
      </w:pPr>
      <w:r>
        <w:rPr>
          <w:color w:val="auto"/>
        </w:rPr>
        <w:t>3、营业执照</w:t>
      </w:r>
    </w:p>
    <w:p w14:paraId="0183FB69">
      <w:pPr>
        <w:pStyle w:val="72"/>
        <w:adjustRightInd w:val="0"/>
        <w:snapToGrid w:val="0"/>
        <w:spacing w:line="360" w:lineRule="auto"/>
        <w:rPr>
          <w:color w:val="auto"/>
        </w:rPr>
      </w:pPr>
      <w:r>
        <w:rPr>
          <w:color w:val="auto"/>
        </w:rPr>
        <w:t>4、法人身份证</w:t>
      </w:r>
    </w:p>
    <w:p w14:paraId="6231F283">
      <w:pPr>
        <w:pStyle w:val="72"/>
        <w:adjustRightInd w:val="0"/>
        <w:snapToGrid w:val="0"/>
        <w:spacing w:line="360" w:lineRule="auto"/>
        <w:rPr>
          <w:rFonts w:hint="eastAsia" w:eastAsia="宋体"/>
          <w:color w:val="auto"/>
          <w:lang w:eastAsia="zh-CN"/>
        </w:rPr>
      </w:pPr>
      <w:r>
        <w:rPr>
          <w:color w:val="auto"/>
        </w:rPr>
        <w:t>5、</w:t>
      </w:r>
      <w:r>
        <w:rPr>
          <w:rFonts w:hint="eastAsia"/>
          <w:color w:val="auto"/>
          <w:lang w:val="en-US" w:eastAsia="zh-CN"/>
        </w:rPr>
        <w:t>租房协议</w:t>
      </w:r>
    </w:p>
    <w:p w14:paraId="77971A7B">
      <w:pPr>
        <w:pStyle w:val="72"/>
        <w:adjustRightInd w:val="0"/>
        <w:snapToGrid w:val="0"/>
        <w:spacing w:line="360" w:lineRule="auto"/>
        <w:rPr>
          <w:color w:val="auto"/>
        </w:rPr>
      </w:pPr>
      <w:r>
        <w:rPr>
          <w:color w:val="auto"/>
        </w:rPr>
        <w:t>6、不动产权证</w:t>
      </w:r>
    </w:p>
    <w:p w14:paraId="39D730BF">
      <w:pPr>
        <w:pStyle w:val="72"/>
        <w:adjustRightInd w:val="0"/>
        <w:snapToGrid w:val="0"/>
        <w:spacing w:line="360" w:lineRule="auto"/>
        <w:rPr>
          <w:color w:val="auto"/>
        </w:rPr>
      </w:pPr>
      <w:r>
        <w:rPr>
          <w:color w:val="auto"/>
        </w:rPr>
        <w:t>7、环评公示</w:t>
      </w:r>
    </w:p>
    <w:p w14:paraId="43D5ADC2">
      <w:pPr>
        <w:pStyle w:val="72"/>
        <w:adjustRightInd w:val="0"/>
        <w:snapToGrid w:val="0"/>
        <w:spacing w:line="360" w:lineRule="auto"/>
        <w:rPr>
          <w:color w:val="auto"/>
        </w:rPr>
      </w:pPr>
      <w:r>
        <w:rPr>
          <w:color w:val="auto"/>
        </w:rPr>
        <w:t>8、咨询合同</w:t>
      </w:r>
    </w:p>
    <w:p w14:paraId="1E6258E5">
      <w:pPr>
        <w:pStyle w:val="72"/>
        <w:adjustRightInd w:val="0"/>
        <w:snapToGrid w:val="0"/>
        <w:spacing w:line="360" w:lineRule="auto"/>
        <w:rPr>
          <w:color w:val="auto"/>
        </w:rPr>
      </w:pPr>
      <w:r>
        <w:rPr>
          <w:color w:val="auto"/>
        </w:rPr>
        <w:t>9、工程师现场踏勘照片</w:t>
      </w:r>
    </w:p>
    <w:p w14:paraId="25DD1FEC">
      <w:pPr>
        <w:pStyle w:val="72"/>
        <w:adjustRightInd w:val="0"/>
        <w:snapToGrid w:val="0"/>
        <w:spacing w:line="360" w:lineRule="auto"/>
        <w:rPr>
          <w:rFonts w:hint="default" w:eastAsia="宋体"/>
          <w:color w:val="auto"/>
          <w:lang w:val="en-US" w:eastAsia="zh-CN"/>
        </w:rPr>
      </w:pPr>
      <w:r>
        <w:rPr>
          <w:color w:val="auto"/>
        </w:rPr>
        <w:t>10、</w:t>
      </w:r>
      <w:r>
        <w:rPr>
          <w:rFonts w:hint="eastAsia"/>
          <w:color w:val="auto"/>
          <w:lang w:val="en-US" w:eastAsia="zh-CN"/>
        </w:rPr>
        <w:t>现状</w:t>
      </w:r>
      <w:r>
        <w:rPr>
          <w:color w:val="auto"/>
        </w:rPr>
        <w:t>检测报告</w:t>
      </w:r>
      <w:r>
        <w:rPr>
          <w:rFonts w:hint="eastAsia"/>
          <w:color w:val="auto"/>
          <w:lang w:val="en-US" w:eastAsia="zh-CN"/>
        </w:rPr>
        <w:t>和引用说明</w:t>
      </w:r>
    </w:p>
    <w:p w14:paraId="0F7590ED">
      <w:pPr>
        <w:pStyle w:val="72"/>
        <w:adjustRightInd w:val="0"/>
        <w:snapToGrid w:val="0"/>
        <w:spacing w:line="360" w:lineRule="auto"/>
        <w:rPr>
          <w:color w:val="auto"/>
        </w:rPr>
      </w:pPr>
      <w:r>
        <w:rPr>
          <w:color w:val="auto"/>
        </w:rPr>
        <w:t>1</w:t>
      </w:r>
      <w:r>
        <w:rPr>
          <w:rFonts w:hint="eastAsia"/>
          <w:color w:val="auto"/>
        </w:rPr>
        <w:t>1</w:t>
      </w:r>
      <w:r>
        <w:rPr>
          <w:color w:val="auto"/>
        </w:rPr>
        <w:t>、环境影响评价委托书</w:t>
      </w:r>
    </w:p>
    <w:p w14:paraId="13B771FA">
      <w:pPr>
        <w:pStyle w:val="72"/>
        <w:adjustRightInd w:val="0"/>
        <w:snapToGrid w:val="0"/>
        <w:spacing w:line="360" w:lineRule="auto"/>
        <w:rPr>
          <w:color w:val="auto"/>
        </w:rPr>
      </w:pPr>
      <w:r>
        <w:rPr>
          <w:color w:val="auto"/>
        </w:rPr>
        <w:t>1</w:t>
      </w:r>
      <w:r>
        <w:rPr>
          <w:rFonts w:hint="eastAsia"/>
          <w:color w:val="auto"/>
        </w:rPr>
        <w:t>2</w:t>
      </w:r>
      <w:r>
        <w:rPr>
          <w:color w:val="auto"/>
        </w:rPr>
        <w:t>、建设单位承诺函</w:t>
      </w:r>
    </w:p>
    <w:p w14:paraId="0F15820E">
      <w:pPr>
        <w:pStyle w:val="72"/>
        <w:adjustRightInd w:val="0"/>
        <w:snapToGrid w:val="0"/>
        <w:spacing w:line="360" w:lineRule="auto"/>
        <w:rPr>
          <w:color w:val="auto"/>
        </w:rPr>
      </w:pPr>
      <w:r>
        <w:rPr>
          <w:color w:val="auto"/>
        </w:rPr>
        <w:t>1</w:t>
      </w:r>
      <w:r>
        <w:rPr>
          <w:rFonts w:hint="eastAsia"/>
          <w:color w:val="auto"/>
        </w:rPr>
        <w:t>3</w:t>
      </w:r>
      <w:r>
        <w:rPr>
          <w:color w:val="auto"/>
        </w:rPr>
        <w:t>、建设单位环评单位承诺函</w:t>
      </w:r>
    </w:p>
    <w:p w14:paraId="6BBBD2FE">
      <w:pPr>
        <w:pStyle w:val="72"/>
        <w:adjustRightInd w:val="0"/>
        <w:snapToGrid w:val="0"/>
        <w:spacing w:line="360" w:lineRule="auto"/>
        <w:rPr>
          <w:color w:val="auto"/>
        </w:rPr>
      </w:pPr>
      <w:r>
        <w:rPr>
          <w:color w:val="auto"/>
        </w:rPr>
        <w:t>1</w:t>
      </w:r>
      <w:r>
        <w:rPr>
          <w:rFonts w:hint="eastAsia"/>
          <w:color w:val="auto"/>
        </w:rPr>
        <w:t>4</w:t>
      </w:r>
      <w:r>
        <w:rPr>
          <w:color w:val="auto"/>
        </w:rPr>
        <w:t>、声明确认单</w:t>
      </w:r>
    </w:p>
    <w:p w14:paraId="5CAC813A">
      <w:pPr>
        <w:pStyle w:val="72"/>
        <w:adjustRightInd w:val="0"/>
        <w:snapToGrid w:val="0"/>
        <w:spacing w:line="360" w:lineRule="auto"/>
        <w:rPr>
          <w:rFonts w:hint="eastAsia" w:eastAsia="宋体"/>
          <w:color w:val="auto"/>
          <w:lang w:eastAsia="zh-CN"/>
        </w:rPr>
      </w:pPr>
      <w:r>
        <w:rPr>
          <w:color w:val="auto"/>
        </w:rPr>
        <w:t>1</w:t>
      </w:r>
      <w:r>
        <w:rPr>
          <w:rFonts w:hint="eastAsia"/>
          <w:color w:val="auto"/>
        </w:rPr>
        <w:t>5</w:t>
      </w:r>
      <w:r>
        <w:rPr>
          <w:color w:val="auto"/>
        </w:rPr>
        <w:t>、危废处置</w:t>
      </w:r>
      <w:r>
        <w:rPr>
          <w:rFonts w:hint="eastAsia"/>
          <w:color w:val="auto"/>
          <w:lang w:val="en-US" w:eastAsia="zh-CN"/>
        </w:rPr>
        <w:t>承诺书</w:t>
      </w:r>
    </w:p>
    <w:p w14:paraId="2E39202C">
      <w:pPr>
        <w:pStyle w:val="72"/>
        <w:adjustRightInd w:val="0"/>
        <w:snapToGrid w:val="0"/>
        <w:spacing w:line="360" w:lineRule="auto"/>
        <w:rPr>
          <w:rFonts w:hint="eastAsia"/>
          <w:color w:val="auto"/>
        </w:rPr>
      </w:pPr>
      <w:r>
        <w:rPr>
          <w:rFonts w:hint="eastAsia"/>
          <w:color w:val="auto"/>
        </w:rPr>
        <w:t>16</w:t>
      </w:r>
      <w:r>
        <w:rPr>
          <w:rFonts w:hint="eastAsia"/>
          <w:color w:val="auto"/>
          <w:lang w:val="en-US" w:eastAsia="zh-CN"/>
        </w:rPr>
        <w:t>.1</w:t>
      </w:r>
      <w:r>
        <w:rPr>
          <w:rFonts w:hint="eastAsia"/>
          <w:color w:val="auto"/>
        </w:rPr>
        <w:t>、</w:t>
      </w:r>
      <w:r>
        <w:rPr>
          <w:rFonts w:hint="eastAsia"/>
          <w:color w:val="auto"/>
          <w:lang w:val="en-US" w:eastAsia="zh-CN"/>
        </w:rPr>
        <w:t>环氧底漆</w:t>
      </w:r>
      <w:r>
        <w:rPr>
          <w:rFonts w:hint="eastAsia"/>
          <w:color w:val="auto"/>
        </w:rPr>
        <w:t>MSDS</w:t>
      </w:r>
    </w:p>
    <w:p w14:paraId="6CD9D481">
      <w:pPr>
        <w:pStyle w:val="72"/>
        <w:adjustRightInd w:val="0"/>
        <w:snapToGrid w:val="0"/>
        <w:spacing w:line="360" w:lineRule="auto"/>
        <w:rPr>
          <w:rFonts w:hint="default" w:eastAsia="宋体"/>
          <w:color w:val="auto"/>
          <w:lang w:val="en-US" w:eastAsia="zh-CN"/>
        </w:rPr>
      </w:pPr>
      <w:r>
        <w:rPr>
          <w:rFonts w:hint="eastAsia"/>
          <w:color w:val="auto"/>
          <w:lang w:val="en-US" w:eastAsia="zh-CN"/>
        </w:rPr>
        <w:t>16.2、环氧底漆VOC报告</w:t>
      </w:r>
    </w:p>
    <w:p w14:paraId="3CBD5B27">
      <w:pPr>
        <w:pStyle w:val="72"/>
        <w:adjustRightInd w:val="0"/>
        <w:snapToGrid w:val="0"/>
        <w:spacing w:line="360" w:lineRule="auto"/>
        <w:rPr>
          <w:rFonts w:hint="default" w:eastAsia="宋体"/>
          <w:color w:val="auto"/>
          <w:lang w:val="en-US" w:eastAsia="zh-CN"/>
        </w:rPr>
      </w:pPr>
      <w:r>
        <w:rPr>
          <w:rFonts w:hint="eastAsia"/>
          <w:color w:val="auto"/>
          <w:lang w:val="en-US" w:eastAsia="zh-CN"/>
        </w:rPr>
        <w:t>16.3、聚氨酯厚浆面漆MSDS</w:t>
      </w:r>
    </w:p>
    <w:p w14:paraId="603EAE36">
      <w:pPr>
        <w:pStyle w:val="72"/>
        <w:adjustRightInd w:val="0"/>
        <w:snapToGrid w:val="0"/>
        <w:spacing w:line="360" w:lineRule="auto"/>
        <w:rPr>
          <w:rFonts w:hint="default" w:eastAsia="宋体"/>
          <w:color w:val="auto"/>
          <w:lang w:val="en-US" w:eastAsia="zh-CN"/>
        </w:rPr>
      </w:pPr>
      <w:r>
        <w:rPr>
          <w:rFonts w:hint="eastAsia"/>
          <w:color w:val="auto"/>
          <w:lang w:val="en-US" w:eastAsia="zh-CN"/>
        </w:rPr>
        <w:t>16.4、聚氨酯厚浆面漆VOC报告</w:t>
      </w:r>
    </w:p>
    <w:p w14:paraId="2411B836">
      <w:pPr>
        <w:pStyle w:val="72"/>
        <w:adjustRightInd w:val="0"/>
        <w:snapToGrid w:val="0"/>
        <w:spacing w:line="360" w:lineRule="auto"/>
        <w:rPr>
          <w:rFonts w:hint="default" w:eastAsia="宋体"/>
          <w:color w:val="auto"/>
          <w:lang w:val="en-US" w:eastAsia="zh-CN"/>
        </w:rPr>
      </w:pPr>
      <w:r>
        <w:rPr>
          <w:rFonts w:hint="eastAsia"/>
          <w:color w:val="auto"/>
          <w:lang w:val="en-US" w:eastAsia="zh-CN"/>
        </w:rPr>
        <w:t>16.5、水性环氧底漆MSDS</w:t>
      </w:r>
    </w:p>
    <w:p w14:paraId="269704ED">
      <w:pPr>
        <w:pStyle w:val="72"/>
        <w:adjustRightInd w:val="0"/>
        <w:snapToGrid w:val="0"/>
        <w:spacing w:line="360" w:lineRule="auto"/>
        <w:rPr>
          <w:rFonts w:hint="default" w:eastAsia="宋体"/>
          <w:color w:val="auto"/>
          <w:lang w:val="en-US" w:eastAsia="zh-CN"/>
        </w:rPr>
      </w:pPr>
      <w:r>
        <w:rPr>
          <w:rFonts w:hint="eastAsia"/>
          <w:color w:val="auto"/>
          <w:lang w:val="en-US" w:eastAsia="zh-CN"/>
        </w:rPr>
        <w:t>16.6、水性聚氨酯面漆MSDS</w:t>
      </w:r>
    </w:p>
    <w:p w14:paraId="3171F62A">
      <w:pPr>
        <w:pStyle w:val="72"/>
        <w:adjustRightInd w:val="0"/>
        <w:snapToGrid w:val="0"/>
        <w:spacing w:line="360" w:lineRule="auto"/>
        <w:rPr>
          <w:rFonts w:hint="eastAsia"/>
          <w:color w:val="auto"/>
        </w:rPr>
      </w:pPr>
      <w:r>
        <w:rPr>
          <w:rFonts w:hint="eastAsia"/>
          <w:color w:val="auto"/>
        </w:rPr>
        <w:t>17、</w:t>
      </w:r>
      <w:r>
        <w:rPr>
          <w:rFonts w:hint="eastAsia"/>
          <w:color w:val="auto"/>
          <w:lang w:val="en-US" w:eastAsia="zh-CN"/>
        </w:rPr>
        <w:t>固化剂</w:t>
      </w:r>
      <w:r>
        <w:rPr>
          <w:rFonts w:hint="eastAsia"/>
          <w:color w:val="auto"/>
        </w:rPr>
        <w:t>MSDS</w:t>
      </w:r>
    </w:p>
    <w:p w14:paraId="549DD1F1">
      <w:pPr>
        <w:pStyle w:val="72"/>
        <w:adjustRightInd w:val="0"/>
        <w:snapToGrid w:val="0"/>
        <w:spacing w:line="360" w:lineRule="auto"/>
        <w:rPr>
          <w:rFonts w:hint="eastAsia"/>
          <w:color w:val="auto"/>
          <w:lang w:val="en-US" w:eastAsia="zh-CN"/>
        </w:rPr>
      </w:pPr>
      <w:r>
        <w:rPr>
          <w:rFonts w:hint="eastAsia"/>
          <w:color w:val="auto"/>
          <w:lang w:val="en-US" w:eastAsia="zh-CN"/>
        </w:rPr>
        <w:t>18、稀释剂MSDS</w:t>
      </w:r>
    </w:p>
    <w:p w14:paraId="62FE80CE">
      <w:pPr>
        <w:pStyle w:val="72"/>
        <w:adjustRightInd w:val="0"/>
        <w:snapToGrid w:val="0"/>
        <w:spacing w:line="360" w:lineRule="auto"/>
        <w:rPr>
          <w:rFonts w:hint="default"/>
          <w:color w:val="auto"/>
          <w:lang w:val="en-US" w:eastAsia="zh-CN"/>
        </w:rPr>
      </w:pPr>
      <w:r>
        <w:rPr>
          <w:rFonts w:hint="eastAsia"/>
          <w:color w:val="auto"/>
          <w:lang w:val="en-US" w:eastAsia="zh-CN"/>
        </w:rPr>
        <w:t>19、不可替代专家意见</w:t>
      </w:r>
    </w:p>
    <w:p w14:paraId="0B8E31A9">
      <w:pPr>
        <w:pStyle w:val="72"/>
        <w:rPr>
          <w:color w:val="auto"/>
        </w:rPr>
      </w:pPr>
    </w:p>
    <w:p w14:paraId="2FEB1533">
      <w:pPr>
        <w:pStyle w:val="5"/>
        <w:ind w:firstLine="0"/>
        <w:rPr>
          <w:color w:val="auto"/>
        </w:rPr>
        <w:sectPr>
          <w:pgSz w:w="11906" w:h="16838"/>
          <w:pgMar w:top="1440" w:right="1803" w:bottom="1440" w:left="1803" w:header="851" w:footer="992" w:gutter="0"/>
          <w:pgBorders>
            <w:top w:val="none" w:sz="0" w:space="0"/>
            <w:left w:val="none" w:sz="0" w:space="0"/>
            <w:bottom w:val="none" w:sz="0" w:space="0"/>
            <w:right w:val="none" w:sz="0" w:space="0"/>
          </w:pgBorders>
          <w:cols w:space="720" w:num="1"/>
          <w:docGrid w:type="lines" w:linePitch="319" w:charSpace="0"/>
        </w:sectPr>
      </w:pPr>
    </w:p>
    <w:p w14:paraId="6ABD7ED9">
      <w:pPr>
        <w:adjustRightInd w:val="0"/>
        <w:snapToGrid w:val="0"/>
        <w:spacing w:line="360" w:lineRule="auto"/>
        <w:rPr>
          <w:color w:val="auto"/>
        </w:rPr>
      </w:pPr>
    </w:p>
    <w:sectPr>
      <w:pgSz w:w="11906" w:h="16838"/>
      <w:pgMar w:top="1440" w:right="1803" w:bottom="1440" w:left="1803" w:header="851" w:footer="992" w:gutter="0"/>
      <w:pgBorders>
        <w:top w:val="none" w:sz="0" w:space="0"/>
        <w:left w:val="none" w:sz="0" w:space="0"/>
        <w:bottom w:val="none" w:sz="0" w:space="0"/>
        <w:right w:val="none" w:sz="0" w:space="0"/>
      </w:pgBorders>
      <w:cols w:space="720" w:num="1"/>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8"/>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82C43C8F-FC8C-4456-8F75-31C485169CB6}"/>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auto"/>
    <w:pitch w:val="default"/>
    <w:sig w:usb0="00000001" w:usb1="080E0000" w:usb2="00000000" w:usb3="00000000" w:csb0="00040000" w:csb1="00000000"/>
    <w:embedRegular r:id="rId2" w:fontKey="{BD346442-106C-42A2-8136-520B394C622C}"/>
  </w:font>
  <w:font w:name="楷体_GB2312">
    <w:panose1 w:val="02010609030101010101"/>
    <w:charset w:val="86"/>
    <w:family w:val="auto"/>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等线 Light">
    <w:altName w:val="宋体"/>
    <w:panose1 w:val="02010600030101010101"/>
    <w:charset w:val="86"/>
    <w:family w:val="auto"/>
    <w:pitch w:val="default"/>
    <w:sig w:usb0="00000000" w:usb1="00000000" w:usb2="00000016" w:usb3="00000000" w:csb0="0004000F" w:csb1="00000000"/>
  </w:font>
  <w:font w:name="Cambria">
    <w:panose1 w:val="02040503050406030204"/>
    <w:charset w:val="00"/>
    <w:family w:val="roman"/>
    <w:pitch w:val="default"/>
    <w:sig w:usb0="E00002FF" w:usb1="400004FF" w:usb2="00000000" w:usb3="00000000" w:csb0="2000019F" w:csb1="00000000"/>
  </w:font>
  <w:font w:name="楷体">
    <w:panose1 w:val="02010609060101010101"/>
    <w:charset w:val="86"/>
    <w:family w:val="modern"/>
    <w:pitch w:val="default"/>
    <w:sig w:usb0="800002BF" w:usb1="38CF7CFA" w:usb2="00000016" w:usb3="00000000" w:csb0="00040001" w:csb1="00000000"/>
    <w:embedRegular r:id="rId3" w:fontKey="{A366F6EF-261F-4C0F-BE21-D4CE5AAFB390}"/>
  </w:font>
  <w:font w:name="Verdana">
    <w:panose1 w:val="020B0604030504040204"/>
    <w:charset w:val="00"/>
    <w:family w:val="swiss"/>
    <w:pitch w:val="default"/>
    <w:sig w:usb0="A10006FF" w:usb1="4000205B" w:usb2="00000010" w:usb3="00000000" w:csb0="2000019F" w:csb1="00000000"/>
  </w:font>
  <w:font w:name="_x000B__x000C_">
    <w:altName w:val="Times New Roman"/>
    <w:panose1 w:val="00000000000000000000"/>
    <w:charset w:val="00"/>
    <w:family w:val="roman"/>
    <w:pitch w:val="default"/>
    <w:sig w:usb0="00000000" w:usb1="00000000" w:usb2="00000000" w:usb3="00000000" w:csb0="00040001" w:csb1="00000000"/>
  </w:font>
  <w:font w:name="Microsoft YaHei UI">
    <w:altName w:val="宋体"/>
    <w:panose1 w:val="020B0503020204020204"/>
    <w:charset w:val="86"/>
    <w:family w:val="swiss"/>
    <w:pitch w:val="default"/>
    <w:sig w:usb0="00000000" w:usb1="00000000" w:usb2="00000016" w:usb3="00000000" w:csb0="0004001F" w:csb1="00000000"/>
  </w:font>
  <w:font w:name="Arial Unicode MS">
    <w:altName w:val="宋体"/>
    <w:panose1 w:val="020B0604020202020204"/>
    <w:charset w:val="86"/>
    <w:family w:val="swiss"/>
    <w:pitch w:val="default"/>
    <w:sig w:usb0="00000000" w:usb1="00000000" w:usb2="0000007F" w:usb3="00000000" w:csb0="203F01FF" w:csb1="DFFF0000"/>
  </w:font>
  <w:font w:name="Calibri Light">
    <w:panose1 w:val="020F0302020204030204"/>
    <w:charset w:val="00"/>
    <w:family w:val="swiss"/>
    <w:pitch w:val="default"/>
    <w:sig w:usb0="A00002EF" w:usb1="4000207B" w:usb2="00000000" w:usb3="00000000" w:csb0="2000019F" w:csb1="00000000"/>
  </w:font>
  <w:font w:name="新宋体">
    <w:panose1 w:val="02010609030101010101"/>
    <w:charset w:val="86"/>
    <w:family w:val="modern"/>
    <w:pitch w:val="default"/>
    <w:sig w:usb0="00000003" w:usb1="288F0000" w:usb2="00000006" w:usb3="00000000" w:csb0="00040001" w:csb1="00000000"/>
    <w:embedRegular r:id="rId4" w:fontKey="{42C0A9FE-5347-40E9-82AB-F290E28AB073}"/>
  </w:font>
  <w:font w:name="time">
    <w:altName w:val="Segoe Print"/>
    <w:panose1 w:val="00000000000000000000"/>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TimesNewRomanPSMT">
    <w:altName w:val="Times New Roman"/>
    <w:panose1 w:val="00000000000000000000"/>
    <w:charset w:val="00"/>
    <w:family w:val="auto"/>
    <w:pitch w:val="default"/>
    <w:sig w:usb0="00000000" w:usb1="00000000" w:usb2="00000010" w:usb3="00000000" w:csb0="00060001" w:csb1="00000000"/>
  </w:font>
  <w:font w:name="Tahoma">
    <w:panose1 w:val="020B0604030504040204"/>
    <w:charset w:val="00"/>
    <w:family w:val="swiss"/>
    <w:pitch w:val="default"/>
    <w:sig w:usb0="E1002EFF" w:usb1="C000605B" w:usb2="00000029" w:usb3="00000000" w:csb0="200101FF" w:csb1="20280000"/>
  </w:font>
  <w:font w:name="华文新魏">
    <w:altName w:val="宋体"/>
    <w:panose1 w:val="02010800040101010101"/>
    <w:charset w:val="86"/>
    <w:family w:val="auto"/>
    <w:pitch w:val="default"/>
    <w:sig w:usb0="00000000" w:usb1="00000000" w:usb2="00000000" w:usb3="00000000" w:csb0="00040000" w:csb1="00000000"/>
  </w:font>
  <w:font w:name="Brush Script MT">
    <w:altName w:val="Mongolian Baiti"/>
    <w:panose1 w:val="03060802040406070304"/>
    <w:charset w:val="00"/>
    <w:family w:val="script"/>
    <w:pitch w:val="default"/>
    <w:sig w:usb0="00000000" w:usb1="00000000" w:usb2="00000000" w:usb3="00000000" w:csb0="20000001" w:csb1="00000000"/>
  </w:font>
  <w:font w:name="”“Times New Roman”“">
    <w:altName w:val="宋体"/>
    <w:panose1 w:val="00000000000000000000"/>
    <w:charset w:val="86"/>
    <w:family w:val="roman"/>
    <w:pitch w:val="default"/>
    <w:sig w:usb0="00000000" w:usb1="00000000" w:usb2="00000010" w:usb3="00000000" w:csb0="00040000" w:csb1="00000000"/>
  </w:font>
  <w:font w:name="Tms Rmn">
    <w:altName w:val="Segoe Print"/>
    <w:panose1 w:val="02020603040505020304"/>
    <w:charset w:val="00"/>
    <w:family w:val="roman"/>
    <w:pitch w:val="default"/>
    <w:sig w:usb0="00000000" w:usb1="00000000" w:usb2="00000000" w:usb3="00000000" w:csb0="00000001" w:csb1="00000000"/>
  </w:font>
  <w:font w:name="CG Times (W1)">
    <w:altName w:val="Segoe Print"/>
    <w:panose1 w:val="00000000000000000000"/>
    <w:charset w:val="00"/>
    <w:family w:val="roman"/>
    <w:pitch w:val="default"/>
    <w:sig w:usb0="00000000" w:usb1="00000000" w:usb2="00000000" w:usb3="00000000" w:csb0="00000001" w:csb1="00000000"/>
  </w:font>
  <w:font w:name="等线">
    <w:altName w:val="微软雅黑"/>
    <w:panose1 w:val="02010600030101010101"/>
    <w:charset w:val="86"/>
    <w:family w:val="auto"/>
    <w:pitch w:val="default"/>
    <w:sig w:usb0="00000000" w:usb1="00000000" w:usb2="00000016" w:usb3="00000000" w:csb0="0004000F" w:csb1="00000000"/>
  </w:font>
  <w:font w:name="仿宋">
    <w:panose1 w:val="02010609060101010101"/>
    <w:charset w:val="86"/>
    <w:family w:val="modern"/>
    <w:pitch w:val="default"/>
    <w:sig w:usb0="800002BF" w:usb1="38CF7CFA" w:usb2="00000016" w:usb3="00000000" w:csb0="00040001" w:csb1="00000000"/>
    <w:embedRegular r:id="rId5" w:fontKey="{1F9FBCE5-D141-4669-B9A2-BE266CF93FDF}"/>
  </w:font>
  <w:font w:name="Wingdings 2">
    <w:panose1 w:val="05020102010507070707"/>
    <w:charset w:val="02"/>
    <w:family w:val="roman"/>
    <w:pitch w:val="default"/>
    <w:sig w:usb0="00000000" w:usb1="00000000" w:usb2="00000000" w:usb3="00000000" w:csb0="80000000" w:csb1="00000000"/>
    <w:embedRegular r:id="rId6" w:fontKey="{254FBE45-A9F1-4963-A1AA-8A69DE524F16}"/>
  </w:font>
  <w:font w:name="Mongolian Baiti">
    <w:panose1 w:val="03000500000000000000"/>
    <w:charset w:val="00"/>
    <w:family w:val="auto"/>
    <w:pitch w:val="default"/>
    <w:sig w:usb0="80000023" w:usb1="00000000" w:usb2="00020000" w:usb3="00000000" w:csb0="00000001"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634A3C">
    <w:pPr>
      <w:pStyle w:val="38"/>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452B02">
    <w:pPr>
      <w:pStyle w:val="38"/>
      <w:ind w:right="360" w:firstLine="360"/>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align>outside</wp:align>
              </wp:positionV>
              <wp:extent cx="1828800" cy="1828800"/>
              <wp:effectExtent l="0" t="0" r="0" b="0"/>
              <wp:wrapNone/>
              <wp:docPr id="12"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37FFA46">
                          <w:pPr>
                            <w:pStyle w:val="38"/>
                            <w:rPr>
                              <w:rStyle w:val="66"/>
                              <w:rFonts w:ascii="宋体" w:hAnsi="宋体"/>
                              <w:sz w:val="21"/>
                              <w:szCs w:val="21"/>
                            </w:rPr>
                          </w:pPr>
                          <w:r>
                            <w:rPr>
                              <w:rStyle w:val="66"/>
                              <w:rFonts w:hint="eastAsia" w:ascii="宋体" w:hAnsi="宋体"/>
                              <w:sz w:val="21"/>
                              <w:szCs w:val="21"/>
                            </w:rPr>
                            <w:t xml:space="preserve">—  </w:t>
                          </w:r>
                          <w:r>
                            <w:rPr>
                              <w:rFonts w:ascii="宋体" w:hAnsi="宋体"/>
                              <w:sz w:val="21"/>
                              <w:szCs w:val="21"/>
                            </w:rPr>
                            <w:fldChar w:fldCharType="begin"/>
                          </w:r>
                          <w:r>
                            <w:rPr>
                              <w:rStyle w:val="66"/>
                              <w:rFonts w:ascii="宋体" w:hAnsi="宋体"/>
                              <w:sz w:val="21"/>
                              <w:szCs w:val="21"/>
                            </w:rPr>
                            <w:instrText xml:space="preserve">PAGE  </w:instrText>
                          </w:r>
                          <w:r>
                            <w:rPr>
                              <w:rFonts w:ascii="宋体" w:hAnsi="宋体"/>
                              <w:sz w:val="21"/>
                              <w:szCs w:val="21"/>
                            </w:rPr>
                            <w:fldChar w:fldCharType="separate"/>
                          </w:r>
                          <w:r>
                            <w:rPr>
                              <w:rStyle w:val="66"/>
                              <w:rFonts w:ascii="宋体" w:hAnsi="宋体"/>
                              <w:sz w:val="21"/>
                              <w:szCs w:val="21"/>
                            </w:rPr>
                            <w:t>11</w:t>
                          </w:r>
                          <w:r>
                            <w:rPr>
                              <w:rFonts w:ascii="宋体" w:hAnsi="宋体"/>
                              <w:sz w:val="21"/>
                              <w:szCs w:val="21"/>
                            </w:rPr>
                            <w:fldChar w:fldCharType="end"/>
                          </w:r>
                          <w:r>
                            <w:rPr>
                              <w:rStyle w:val="66"/>
                              <w:rFonts w:hint="eastAsia" w:ascii="宋体" w:hAnsi="宋体"/>
                              <w:sz w:val="21"/>
                              <w:szCs w:val="21"/>
                            </w:rPr>
                            <w:t xml:space="preserve">  —</w:t>
                          </w:r>
                        </w:p>
                      </w:txbxContent>
                    </wps:txbx>
                    <wps:bodyPr wrap="none" lIns="0" tIns="0" rIns="0" bIns="0" upright="1">
                      <a:spAutoFit/>
                    </wps:bodyPr>
                  </wps:wsp>
                </a:graphicData>
              </a:graphic>
            </wp:anchor>
          </w:drawing>
        </mc:Choice>
        <mc:Fallback>
          <w:pict>
            <v:shape id="文本框 1025" o:spid="_x0000_s1026" o:spt="202" type="#_x0000_t202" style="position:absolute;left:0pt;height:144pt;width:144pt;mso-position-horizontal:center;mso-position-horizontal-relative:margin;mso-position-vertical:outside;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6pebnPAAAABQEAAA8AAAAAAAAAAQAgAAAAIgAAAGRycy9kb3ducmV2&#10;LnhtbFBLAQIUABQAAAAIAIdO4kDePh6GzAEAAJ0DAAAOAAAAAAAAAAEAIAAAAB4BAABkcnMvZTJv&#10;RG9jLnhtbFBLBQYAAAAABgAGAFkBAABcBQAAAAA=&#10;">
              <v:fill on="f" focussize="0,0"/>
              <v:stroke on="f"/>
              <v:imagedata o:title=""/>
              <o:lock v:ext="edit" aspectratio="f"/>
              <v:textbox inset="0mm,0mm,0mm,0mm" style="mso-fit-shape-to-text:t;">
                <w:txbxContent>
                  <w:p w14:paraId="237FFA46">
                    <w:pPr>
                      <w:pStyle w:val="38"/>
                      <w:rPr>
                        <w:rStyle w:val="66"/>
                        <w:rFonts w:ascii="宋体" w:hAnsi="宋体"/>
                        <w:sz w:val="21"/>
                        <w:szCs w:val="21"/>
                      </w:rPr>
                    </w:pPr>
                    <w:r>
                      <w:rPr>
                        <w:rStyle w:val="66"/>
                        <w:rFonts w:hint="eastAsia" w:ascii="宋体" w:hAnsi="宋体"/>
                        <w:sz w:val="21"/>
                        <w:szCs w:val="21"/>
                      </w:rPr>
                      <w:t xml:space="preserve">—  </w:t>
                    </w:r>
                    <w:r>
                      <w:rPr>
                        <w:rFonts w:ascii="宋体" w:hAnsi="宋体"/>
                        <w:sz w:val="21"/>
                        <w:szCs w:val="21"/>
                      </w:rPr>
                      <w:fldChar w:fldCharType="begin"/>
                    </w:r>
                    <w:r>
                      <w:rPr>
                        <w:rStyle w:val="66"/>
                        <w:rFonts w:ascii="宋体" w:hAnsi="宋体"/>
                        <w:sz w:val="21"/>
                        <w:szCs w:val="21"/>
                      </w:rPr>
                      <w:instrText xml:space="preserve">PAGE  </w:instrText>
                    </w:r>
                    <w:r>
                      <w:rPr>
                        <w:rFonts w:ascii="宋体" w:hAnsi="宋体"/>
                        <w:sz w:val="21"/>
                        <w:szCs w:val="21"/>
                      </w:rPr>
                      <w:fldChar w:fldCharType="separate"/>
                    </w:r>
                    <w:r>
                      <w:rPr>
                        <w:rStyle w:val="66"/>
                        <w:rFonts w:ascii="宋体" w:hAnsi="宋体"/>
                        <w:sz w:val="21"/>
                        <w:szCs w:val="21"/>
                      </w:rPr>
                      <w:t>11</w:t>
                    </w:r>
                    <w:r>
                      <w:rPr>
                        <w:rFonts w:ascii="宋体" w:hAnsi="宋体"/>
                        <w:sz w:val="21"/>
                        <w:szCs w:val="21"/>
                      </w:rPr>
                      <w:fldChar w:fldCharType="end"/>
                    </w:r>
                    <w:r>
                      <w:rPr>
                        <w:rStyle w:val="66"/>
                        <w:rFonts w:hint="eastAsia" w:ascii="宋体" w:hAnsi="宋体"/>
                        <w:sz w:val="21"/>
                        <w:szCs w:val="21"/>
                      </w:rPr>
                      <w:t xml:space="preserve">  —</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731874">
    <w:pPr>
      <w:pStyle w:val="38"/>
      <w:ind w:right="360" w:firstLine="36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487DE7">
    <w:pPr>
      <w:pStyle w:val="38"/>
      <w:ind w:right="360" w:firstLine="360"/>
      <w:jc w:val="cente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88"/>
    <w:multiLevelType w:val="singleLevel"/>
    <w:tmpl w:val="FFFFFF88"/>
    <w:lvl w:ilvl="0" w:tentative="0">
      <w:start w:val="1"/>
      <w:numFmt w:val="decimal"/>
      <w:pStyle w:val="15"/>
      <w:lvlText w:val="%1."/>
      <w:lvlJc w:val="left"/>
      <w:pPr>
        <w:tabs>
          <w:tab w:val="left" w:pos="1788"/>
        </w:tabs>
        <w:ind w:left="1788" w:hanging="360"/>
      </w:pPr>
    </w:lvl>
  </w:abstractNum>
  <w:abstractNum w:abstractNumId="1">
    <w:nsid w:val="0D147AAC"/>
    <w:multiLevelType w:val="multilevel"/>
    <w:tmpl w:val="0D147AAC"/>
    <w:lvl w:ilvl="0" w:tentative="0">
      <w:start w:val="1"/>
      <w:numFmt w:val="decimal"/>
      <w:pStyle w:val="10"/>
      <w:lvlText w:val="C%1 -"/>
      <w:lvlJc w:val="left"/>
      <w:pPr>
        <w:tabs>
          <w:tab w:val="left" w:pos="567"/>
        </w:tabs>
        <w:ind w:left="567" w:hanging="567"/>
      </w:pPr>
      <w:rPr>
        <w:rFonts w:hint="default"/>
      </w:rPr>
    </w:lvl>
    <w:lvl w:ilvl="1" w:tentative="0">
      <w:start w:val="1"/>
      <w:numFmt w:val="decimal"/>
      <w:lvlText w:val="%1.%2 -"/>
      <w:lvlJc w:val="left"/>
      <w:pPr>
        <w:tabs>
          <w:tab w:val="left" w:pos="510"/>
        </w:tabs>
        <w:ind w:left="1077" w:hanging="567"/>
      </w:pPr>
      <w:rPr>
        <w:rFonts w:hint="default"/>
      </w:rPr>
    </w:lvl>
    <w:lvl w:ilvl="2" w:tentative="0">
      <w:start w:val="1"/>
      <w:numFmt w:val="decimal"/>
      <w:lvlText w:val="%1.%2.%3 -"/>
      <w:lvlJc w:val="left"/>
      <w:pPr>
        <w:tabs>
          <w:tab w:val="left" w:pos="1077"/>
        </w:tabs>
        <w:ind w:left="1985" w:hanging="908"/>
      </w:pPr>
      <w:rPr>
        <w:rFonts w:hint="default"/>
      </w:rPr>
    </w:lvl>
    <w:lvl w:ilvl="3" w:tentative="0">
      <w:start w:val="1"/>
      <w:numFmt w:val="decimal"/>
      <w:lvlText w:val="%1.%2.%3.%4."/>
      <w:lvlJc w:val="left"/>
      <w:pPr>
        <w:tabs>
          <w:tab w:val="left" w:pos="1800"/>
        </w:tabs>
        <w:ind w:left="1728" w:hanging="648"/>
      </w:pPr>
      <w:rPr>
        <w:rFonts w:hint="default"/>
      </w:rPr>
    </w:lvl>
    <w:lvl w:ilvl="4" w:tentative="0">
      <w:start w:val="1"/>
      <w:numFmt w:val="decimal"/>
      <w:lvlText w:val="%1.%2.%3.%4.%5."/>
      <w:lvlJc w:val="left"/>
      <w:pPr>
        <w:tabs>
          <w:tab w:val="left" w:pos="2520"/>
        </w:tabs>
        <w:ind w:left="2232" w:hanging="792"/>
      </w:pPr>
      <w:rPr>
        <w:rFonts w:hint="default"/>
      </w:rPr>
    </w:lvl>
    <w:lvl w:ilvl="5" w:tentative="0">
      <w:start w:val="1"/>
      <w:numFmt w:val="decimal"/>
      <w:lvlText w:val="%1.%2.%3.%4.%5.%6."/>
      <w:lvlJc w:val="left"/>
      <w:pPr>
        <w:tabs>
          <w:tab w:val="left" w:pos="2880"/>
        </w:tabs>
        <w:ind w:left="2736" w:hanging="936"/>
      </w:pPr>
      <w:rPr>
        <w:rFonts w:hint="default"/>
      </w:rPr>
    </w:lvl>
    <w:lvl w:ilvl="6" w:tentative="0">
      <w:start w:val="1"/>
      <w:numFmt w:val="decimal"/>
      <w:lvlText w:val="%1.%2.%3.%4.%5.%6.%7."/>
      <w:lvlJc w:val="left"/>
      <w:pPr>
        <w:tabs>
          <w:tab w:val="left" w:pos="3600"/>
        </w:tabs>
        <w:ind w:left="3240" w:hanging="1080"/>
      </w:pPr>
      <w:rPr>
        <w:rFonts w:hint="default"/>
      </w:rPr>
    </w:lvl>
    <w:lvl w:ilvl="7" w:tentative="0">
      <w:start w:val="1"/>
      <w:numFmt w:val="decimal"/>
      <w:lvlText w:val="%1.%2.%3.%4.%5.%6.%7.%8."/>
      <w:lvlJc w:val="left"/>
      <w:pPr>
        <w:tabs>
          <w:tab w:val="left" w:pos="3960"/>
        </w:tabs>
        <w:ind w:left="3744" w:hanging="1224"/>
      </w:pPr>
      <w:rPr>
        <w:rFonts w:hint="default"/>
      </w:rPr>
    </w:lvl>
    <w:lvl w:ilvl="8" w:tentative="0">
      <w:start w:val="1"/>
      <w:numFmt w:val="decimal"/>
      <w:lvlText w:val="%1.%2.%3.%4.%5.%6.%7.%8.%9."/>
      <w:lvlJc w:val="left"/>
      <w:pPr>
        <w:tabs>
          <w:tab w:val="left" w:pos="4680"/>
        </w:tabs>
        <w:ind w:left="4320" w:hanging="1440"/>
      </w:pPr>
      <w:rPr>
        <w:rFonts w:hint="default"/>
      </w:rPr>
    </w:lvl>
  </w:abstractNum>
  <w:abstractNum w:abstractNumId="2">
    <w:nsid w:val="2D9AC9AD"/>
    <w:multiLevelType w:val="singleLevel"/>
    <w:tmpl w:val="2D9AC9AD"/>
    <w:lvl w:ilvl="0" w:tentative="0">
      <w:start w:val="1"/>
      <w:numFmt w:val="bullet"/>
      <w:pStyle w:val="33"/>
      <w:lvlText w:val=""/>
      <w:lvlJc w:val="left"/>
      <w:pPr>
        <w:tabs>
          <w:tab w:val="left" w:pos="2040"/>
        </w:tabs>
        <w:ind w:left="2040" w:hanging="360"/>
      </w:pPr>
      <w:rPr>
        <w:rFonts w:hint="default" w:ascii="Wingdings" w:hAnsi="Wingdings"/>
      </w:rPr>
    </w:lvl>
  </w:abstractNum>
  <w:abstractNum w:abstractNumId="3">
    <w:nsid w:val="791A2E70"/>
    <w:multiLevelType w:val="multilevel"/>
    <w:tmpl w:val="791A2E70"/>
    <w:lvl w:ilvl="0" w:tentative="0">
      <w:start w:val="1"/>
      <w:numFmt w:val="decimal"/>
      <w:pStyle w:val="649"/>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trackedChanges" w:enforcement="0"/>
  <w:defaultTabStop w:val="420"/>
  <w:doNotHyphenateCaps/>
  <w:drawingGridVerticalSpacing w:val="159"/>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RjY2RmZWQwODBhMjJkMTUzY2RkYjFlZjUxMmI1ZmQifQ=="/>
    <w:docVar w:name="KSO_WPS_MARK_KEY" w:val="97171b80-204e-47b9-86aa-cb27ad78f31a"/>
  </w:docVars>
  <w:rsids>
    <w:rsidRoot w:val="00172A27"/>
    <w:rsid w:val="000000EC"/>
    <w:rsid w:val="00000A9D"/>
    <w:rsid w:val="00002D3B"/>
    <w:rsid w:val="00002E64"/>
    <w:rsid w:val="000040A1"/>
    <w:rsid w:val="000060B3"/>
    <w:rsid w:val="00015B06"/>
    <w:rsid w:val="0001713D"/>
    <w:rsid w:val="000174AB"/>
    <w:rsid w:val="00020D06"/>
    <w:rsid w:val="00020F94"/>
    <w:rsid w:val="000249FD"/>
    <w:rsid w:val="000255EB"/>
    <w:rsid w:val="00026A97"/>
    <w:rsid w:val="00033EFB"/>
    <w:rsid w:val="00034DEF"/>
    <w:rsid w:val="000425D0"/>
    <w:rsid w:val="0004364B"/>
    <w:rsid w:val="00050BAB"/>
    <w:rsid w:val="00051D99"/>
    <w:rsid w:val="00054A2E"/>
    <w:rsid w:val="00056428"/>
    <w:rsid w:val="00057BB4"/>
    <w:rsid w:val="00060376"/>
    <w:rsid w:val="00061B1F"/>
    <w:rsid w:val="00063270"/>
    <w:rsid w:val="0006457B"/>
    <w:rsid w:val="00073169"/>
    <w:rsid w:val="000733C4"/>
    <w:rsid w:val="000739AB"/>
    <w:rsid w:val="00074783"/>
    <w:rsid w:val="00074969"/>
    <w:rsid w:val="000750C2"/>
    <w:rsid w:val="00077AE8"/>
    <w:rsid w:val="00077FEC"/>
    <w:rsid w:val="0008070B"/>
    <w:rsid w:val="000810AC"/>
    <w:rsid w:val="00081290"/>
    <w:rsid w:val="00081A02"/>
    <w:rsid w:val="00082231"/>
    <w:rsid w:val="00082356"/>
    <w:rsid w:val="000857CB"/>
    <w:rsid w:val="0008723B"/>
    <w:rsid w:val="00090C0E"/>
    <w:rsid w:val="00091CEC"/>
    <w:rsid w:val="00092AD2"/>
    <w:rsid w:val="00092D38"/>
    <w:rsid w:val="0009377B"/>
    <w:rsid w:val="00093A45"/>
    <w:rsid w:val="000A1825"/>
    <w:rsid w:val="000A20C9"/>
    <w:rsid w:val="000A33EC"/>
    <w:rsid w:val="000A4334"/>
    <w:rsid w:val="000A4DB9"/>
    <w:rsid w:val="000A5CF0"/>
    <w:rsid w:val="000A6930"/>
    <w:rsid w:val="000A6F32"/>
    <w:rsid w:val="000B058F"/>
    <w:rsid w:val="000B124E"/>
    <w:rsid w:val="000B1FD4"/>
    <w:rsid w:val="000B4467"/>
    <w:rsid w:val="000B4DB9"/>
    <w:rsid w:val="000B7BC5"/>
    <w:rsid w:val="000B7DFB"/>
    <w:rsid w:val="000C09AC"/>
    <w:rsid w:val="000C32D0"/>
    <w:rsid w:val="000C4710"/>
    <w:rsid w:val="000C672C"/>
    <w:rsid w:val="000C767F"/>
    <w:rsid w:val="000D1B9B"/>
    <w:rsid w:val="000D2046"/>
    <w:rsid w:val="000D287F"/>
    <w:rsid w:val="000D5A44"/>
    <w:rsid w:val="000E34C0"/>
    <w:rsid w:val="000E3ED2"/>
    <w:rsid w:val="000E4371"/>
    <w:rsid w:val="000F0FE4"/>
    <w:rsid w:val="000F2B34"/>
    <w:rsid w:val="000F4BA7"/>
    <w:rsid w:val="000F59D1"/>
    <w:rsid w:val="00101541"/>
    <w:rsid w:val="001025CE"/>
    <w:rsid w:val="00102925"/>
    <w:rsid w:val="001052DF"/>
    <w:rsid w:val="00111458"/>
    <w:rsid w:val="001116BB"/>
    <w:rsid w:val="00113186"/>
    <w:rsid w:val="001240C3"/>
    <w:rsid w:val="00126A68"/>
    <w:rsid w:val="00127A0B"/>
    <w:rsid w:val="0013021D"/>
    <w:rsid w:val="0013077E"/>
    <w:rsid w:val="00131F42"/>
    <w:rsid w:val="001357F1"/>
    <w:rsid w:val="00135DBC"/>
    <w:rsid w:val="00136188"/>
    <w:rsid w:val="00136DE3"/>
    <w:rsid w:val="00137D9E"/>
    <w:rsid w:val="00140FA8"/>
    <w:rsid w:val="00140FCF"/>
    <w:rsid w:val="00141B56"/>
    <w:rsid w:val="00142FEB"/>
    <w:rsid w:val="0014316C"/>
    <w:rsid w:val="00143A2D"/>
    <w:rsid w:val="0014531C"/>
    <w:rsid w:val="00145A41"/>
    <w:rsid w:val="00146B74"/>
    <w:rsid w:val="00147848"/>
    <w:rsid w:val="00151675"/>
    <w:rsid w:val="00151E0A"/>
    <w:rsid w:val="0015307D"/>
    <w:rsid w:val="001537CB"/>
    <w:rsid w:val="001551BF"/>
    <w:rsid w:val="00157435"/>
    <w:rsid w:val="00163FBD"/>
    <w:rsid w:val="001671E0"/>
    <w:rsid w:val="001706AD"/>
    <w:rsid w:val="00172228"/>
    <w:rsid w:val="00172A27"/>
    <w:rsid w:val="00172F4F"/>
    <w:rsid w:val="0017382F"/>
    <w:rsid w:val="00173C91"/>
    <w:rsid w:val="00174422"/>
    <w:rsid w:val="001744C6"/>
    <w:rsid w:val="0017504D"/>
    <w:rsid w:val="0017671A"/>
    <w:rsid w:val="00177422"/>
    <w:rsid w:val="00180526"/>
    <w:rsid w:val="001818C5"/>
    <w:rsid w:val="00183B77"/>
    <w:rsid w:val="00184590"/>
    <w:rsid w:val="001870D1"/>
    <w:rsid w:val="0018781E"/>
    <w:rsid w:val="00187FE1"/>
    <w:rsid w:val="001916B0"/>
    <w:rsid w:val="00191A43"/>
    <w:rsid w:val="0019262D"/>
    <w:rsid w:val="00194559"/>
    <w:rsid w:val="00195B71"/>
    <w:rsid w:val="001A1B35"/>
    <w:rsid w:val="001A4819"/>
    <w:rsid w:val="001A48A2"/>
    <w:rsid w:val="001A5071"/>
    <w:rsid w:val="001A5FA6"/>
    <w:rsid w:val="001A6F61"/>
    <w:rsid w:val="001B3AD8"/>
    <w:rsid w:val="001B557B"/>
    <w:rsid w:val="001B72B8"/>
    <w:rsid w:val="001B7F2C"/>
    <w:rsid w:val="001C14E6"/>
    <w:rsid w:val="001C215D"/>
    <w:rsid w:val="001C650B"/>
    <w:rsid w:val="001C69B3"/>
    <w:rsid w:val="001C6F81"/>
    <w:rsid w:val="001D02D5"/>
    <w:rsid w:val="001D04CE"/>
    <w:rsid w:val="001D1913"/>
    <w:rsid w:val="001D3601"/>
    <w:rsid w:val="001D5595"/>
    <w:rsid w:val="001D6198"/>
    <w:rsid w:val="001D6359"/>
    <w:rsid w:val="001D6688"/>
    <w:rsid w:val="001D785C"/>
    <w:rsid w:val="001D7874"/>
    <w:rsid w:val="001D7F22"/>
    <w:rsid w:val="001E2703"/>
    <w:rsid w:val="001E5914"/>
    <w:rsid w:val="001F0F17"/>
    <w:rsid w:val="001F1CD0"/>
    <w:rsid w:val="001F3347"/>
    <w:rsid w:val="001F5E4A"/>
    <w:rsid w:val="001F697F"/>
    <w:rsid w:val="001F69E4"/>
    <w:rsid w:val="00206A83"/>
    <w:rsid w:val="00211B4C"/>
    <w:rsid w:val="002125B4"/>
    <w:rsid w:val="00212F70"/>
    <w:rsid w:val="00213307"/>
    <w:rsid w:val="002155B8"/>
    <w:rsid w:val="00215FBE"/>
    <w:rsid w:val="00216453"/>
    <w:rsid w:val="0022098D"/>
    <w:rsid w:val="00221688"/>
    <w:rsid w:val="00221FF1"/>
    <w:rsid w:val="002223D6"/>
    <w:rsid w:val="0022453E"/>
    <w:rsid w:val="00224839"/>
    <w:rsid w:val="002249B2"/>
    <w:rsid w:val="00226574"/>
    <w:rsid w:val="002278EC"/>
    <w:rsid w:val="00230688"/>
    <w:rsid w:val="0023280E"/>
    <w:rsid w:val="0023404A"/>
    <w:rsid w:val="00236C10"/>
    <w:rsid w:val="00236C85"/>
    <w:rsid w:val="0023732E"/>
    <w:rsid w:val="002377D1"/>
    <w:rsid w:val="00237A7E"/>
    <w:rsid w:val="00237FA9"/>
    <w:rsid w:val="00240123"/>
    <w:rsid w:val="00242D05"/>
    <w:rsid w:val="00244097"/>
    <w:rsid w:val="0024674C"/>
    <w:rsid w:val="002506BC"/>
    <w:rsid w:val="0025145C"/>
    <w:rsid w:val="00251BDD"/>
    <w:rsid w:val="0025263D"/>
    <w:rsid w:val="00254345"/>
    <w:rsid w:val="00255BC2"/>
    <w:rsid w:val="00262BB3"/>
    <w:rsid w:val="00264557"/>
    <w:rsid w:val="00270AB6"/>
    <w:rsid w:val="00274C88"/>
    <w:rsid w:val="002771BB"/>
    <w:rsid w:val="002779DF"/>
    <w:rsid w:val="00280456"/>
    <w:rsid w:val="002805AB"/>
    <w:rsid w:val="0028157F"/>
    <w:rsid w:val="002828CB"/>
    <w:rsid w:val="00282B13"/>
    <w:rsid w:val="00284204"/>
    <w:rsid w:val="002843DE"/>
    <w:rsid w:val="00284612"/>
    <w:rsid w:val="0028480B"/>
    <w:rsid w:val="002869C5"/>
    <w:rsid w:val="0028781E"/>
    <w:rsid w:val="0029123A"/>
    <w:rsid w:val="00291773"/>
    <w:rsid w:val="00296148"/>
    <w:rsid w:val="002A168C"/>
    <w:rsid w:val="002A1C12"/>
    <w:rsid w:val="002A1ED7"/>
    <w:rsid w:val="002A3DC7"/>
    <w:rsid w:val="002A471A"/>
    <w:rsid w:val="002A65EA"/>
    <w:rsid w:val="002A6E59"/>
    <w:rsid w:val="002B090F"/>
    <w:rsid w:val="002B20A8"/>
    <w:rsid w:val="002B4003"/>
    <w:rsid w:val="002B49E2"/>
    <w:rsid w:val="002B7B00"/>
    <w:rsid w:val="002B7C44"/>
    <w:rsid w:val="002C03CA"/>
    <w:rsid w:val="002C0DDF"/>
    <w:rsid w:val="002C2B17"/>
    <w:rsid w:val="002C392B"/>
    <w:rsid w:val="002C3D19"/>
    <w:rsid w:val="002C63EF"/>
    <w:rsid w:val="002C7A11"/>
    <w:rsid w:val="002D2974"/>
    <w:rsid w:val="002D3DD0"/>
    <w:rsid w:val="002D6239"/>
    <w:rsid w:val="002D75AF"/>
    <w:rsid w:val="002E1F3A"/>
    <w:rsid w:val="002E24E7"/>
    <w:rsid w:val="002E298A"/>
    <w:rsid w:val="002E4F5F"/>
    <w:rsid w:val="002E6149"/>
    <w:rsid w:val="002F0EA2"/>
    <w:rsid w:val="002F246D"/>
    <w:rsid w:val="002F48B6"/>
    <w:rsid w:val="002F73E7"/>
    <w:rsid w:val="002F76C4"/>
    <w:rsid w:val="00300419"/>
    <w:rsid w:val="00301978"/>
    <w:rsid w:val="0030332C"/>
    <w:rsid w:val="00304FE9"/>
    <w:rsid w:val="003051C2"/>
    <w:rsid w:val="003108CF"/>
    <w:rsid w:val="00310C93"/>
    <w:rsid w:val="0031190E"/>
    <w:rsid w:val="00312296"/>
    <w:rsid w:val="00312755"/>
    <w:rsid w:val="003133DD"/>
    <w:rsid w:val="0031433B"/>
    <w:rsid w:val="00314F0E"/>
    <w:rsid w:val="00321D8E"/>
    <w:rsid w:val="00321FAF"/>
    <w:rsid w:val="00322D6A"/>
    <w:rsid w:val="00325928"/>
    <w:rsid w:val="00325C66"/>
    <w:rsid w:val="00326566"/>
    <w:rsid w:val="00330615"/>
    <w:rsid w:val="003308E4"/>
    <w:rsid w:val="00331802"/>
    <w:rsid w:val="00332863"/>
    <w:rsid w:val="00334A37"/>
    <w:rsid w:val="0033684D"/>
    <w:rsid w:val="00337B42"/>
    <w:rsid w:val="00341B42"/>
    <w:rsid w:val="0034348F"/>
    <w:rsid w:val="00346029"/>
    <w:rsid w:val="00350008"/>
    <w:rsid w:val="003530CA"/>
    <w:rsid w:val="00356653"/>
    <w:rsid w:val="0035743F"/>
    <w:rsid w:val="00357AAF"/>
    <w:rsid w:val="00357BE2"/>
    <w:rsid w:val="00360D21"/>
    <w:rsid w:val="0036170C"/>
    <w:rsid w:val="00361993"/>
    <w:rsid w:val="003645E8"/>
    <w:rsid w:val="003654AE"/>
    <w:rsid w:val="00365A0E"/>
    <w:rsid w:val="00366CF2"/>
    <w:rsid w:val="00366E0F"/>
    <w:rsid w:val="00371E27"/>
    <w:rsid w:val="00377E18"/>
    <w:rsid w:val="00380563"/>
    <w:rsid w:val="00381A72"/>
    <w:rsid w:val="00382A68"/>
    <w:rsid w:val="00384676"/>
    <w:rsid w:val="0038470F"/>
    <w:rsid w:val="00385353"/>
    <w:rsid w:val="00385620"/>
    <w:rsid w:val="00385A02"/>
    <w:rsid w:val="00386CA3"/>
    <w:rsid w:val="00387236"/>
    <w:rsid w:val="00390857"/>
    <w:rsid w:val="003914E8"/>
    <w:rsid w:val="003914F0"/>
    <w:rsid w:val="0039556E"/>
    <w:rsid w:val="00397467"/>
    <w:rsid w:val="003A0019"/>
    <w:rsid w:val="003A205D"/>
    <w:rsid w:val="003A27EF"/>
    <w:rsid w:val="003A4BF3"/>
    <w:rsid w:val="003A7E48"/>
    <w:rsid w:val="003B0DF0"/>
    <w:rsid w:val="003B3AF5"/>
    <w:rsid w:val="003B420D"/>
    <w:rsid w:val="003B51C1"/>
    <w:rsid w:val="003B575D"/>
    <w:rsid w:val="003B70D4"/>
    <w:rsid w:val="003B750C"/>
    <w:rsid w:val="003C09DD"/>
    <w:rsid w:val="003C3A40"/>
    <w:rsid w:val="003C410F"/>
    <w:rsid w:val="003C48EA"/>
    <w:rsid w:val="003C4B57"/>
    <w:rsid w:val="003C521D"/>
    <w:rsid w:val="003C5767"/>
    <w:rsid w:val="003C6C16"/>
    <w:rsid w:val="003C7185"/>
    <w:rsid w:val="003C7DD9"/>
    <w:rsid w:val="003D1FF8"/>
    <w:rsid w:val="003D40B8"/>
    <w:rsid w:val="003D47F5"/>
    <w:rsid w:val="003D794D"/>
    <w:rsid w:val="003E0E5D"/>
    <w:rsid w:val="003E3058"/>
    <w:rsid w:val="003E5811"/>
    <w:rsid w:val="003E76A9"/>
    <w:rsid w:val="003F0809"/>
    <w:rsid w:val="003F11E8"/>
    <w:rsid w:val="003F471C"/>
    <w:rsid w:val="003F5FEC"/>
    <w:rsid w:val="003F6A8C"/>
    <w:rsid w:val="003F755C"/>
    <w:rsid w:val="00401A47"/>
    <w:rsid w:val="00403A7F"/>
    <w:rsid w:val="00404364"/>
    <w:rsid w:val="00405DFC"/>
    <w:rsid w:val="00406F01"/>
    <w:rsid w:val="00412B0A"/>
    <w:rsid w:val="00412BDE"/>
    <w:rsid w:val="004165B8"/>
    <w:rsid w:val="00416D50"/>
    <w:rsid w:val="00416FD5"/>
    <w:rsid w:val="00417772"/>
    <w:rsid w:val="00420C3F"/>
    <w:rsid w:val="00420E6A"/>
    <w:rsid w:val="00422FEA"/>
    <w:rsid w:val="00423E56"/>
    <w:rsid w:val="00425A9E"/>
    <w:rsid w:val="00426720"/>
    <w:rsid w:val="00426D6B"/>
    <w:rsid w:val="00430BAE"/>
    <w:rsid w:val="004318A9"/>
    <w:rsid w:val="00431E6C"/>
    <w:rsid w:val="0043246B"/>
    <w:rsid w:val="00433188"/>
    <w:rsid w:val="00433CE7"/>
    <w:rsid w:val="00434AFA"/>
    <w:rsid w:val="00435254"/>
    <w:rsid w:val="004368D6"/>
    <w:rsid w:val="00436923"/>
    <w:rsid w:val="00440135"/>
    <w:rsid w:val="00440CAC"/>
    <w:rsid w:val="00444885"/>
    <w:rsid w:val="00445166"/>
    <w:rsid w:val="00447190"/>
    <w:rsid w:val="0045049F"/>
    <w:rsid w:val="0045109E"/>
    <w:rsid w:val="004523B4"/>
    <w:rsid w:val="00452738"/>
    <w:rsid w:val="0045298E"/>
    <w:rsid w:val="00456091"/>
    <w:rsid w:val="00457747"/>
    <w:rsid w:val="00457C38"/>
    <w:rsid w:val="0046026D"/>
    <w:rsid w:val="00460620"/>
    <w:rsid w:val="00462EDE"/>
    <w:rsid w:val="00465483"/>
    <w:rsid w:val="00466321"/>
    <w:rsid w:val="00467C15"/>
    <w:rsid w:val="0047132B"/>
    <w:rsid w:val="004769B7"/>
    <w:rsid w:val="004809BC"/>
    <w:rsid w:val="00482F61"/>
    <w:rsid w:val="00484B46"/>
    <w:rsid w:val="00484B9B"/>
    <w:rsid w:val="00484D6E"/>
    <w:rsid w:val="004855F6"/>
    <w:rsid w:val="0048661E"/>
    <w:rsid w:val="00486A04"/>
    <w:rsid w:val="00490234"/>
    <w:rsid w:val="004908D1"/>
    <w:rsid w:val="00490C92"/>
    <w:rsid w:val="00491146"/>
    <w:rsid w:val="00494670"/>
    <w:rsid w:val="0049563D"/>
    <w:rsid w:val="00497377"/>
    <w:rsid w:val="004A0175"/>
    <w:rsid w:val="004A2843"/>
    <w:rsid w:val="004A3823"/>
    <w:rsid w:val="004A464E"/>
    <w:rsid w:val="004B0A0F"/>
    <w:rsid w:val="004B0D82"/>
    <w:rsid w:val="004B172B"/>
    <w:rsid w:val="004B1985"/>
    <w:rsid w:val="004B2030"/>
    <w:rsid w:val="004B44C2"/>
    <w:rsid w:val="004B7163"/>
    <w:rsid w:val="004C4821"/>
    <w:rsid w:val="004C62AA"/>
    <w:rsid w:val="004C6480"/>
    <w:rsid w:val="004D08C4"/>
    <w:rsid w:val="004D40BC"/>
    <w:rsid w:val="004D6084"/>
    <w:rsid w:val="004D631A"/>
    <w:rsid w:val="004D7BDA"/>
    <w:rsid w:val="004E099D"/>
    <w:rsid w:val="004E13FF"/>
    <w:rsid w:val="004E2747"/>
    <w:rsid w:val="004E2968"/>
    <w:rsid w:val="004E5490"/>
    <w:rsid w:val="004E5748"/>
    <w:rsid w:val="004E6946"/>
    <w:rsid w:val="004E6C40"/>
    <w:rsid w:val="004F1AD8"/>
    <w:rsid w:val="004F1FC3"/>
    <w:rsid w:val="004F3AE8"/>
    <w:rsid w:val="004F5902"/>
    <w:rsid w:val="004F73D5"/>
    <w:rsid w:val="005039CB"/>
    <w:rsid w:val="0050558F"/>
    <w:rsid w:val="00506286"/>
    <w:rsid w:val="005068AC"/>
    <w:rsid w:val="005077FD"/>
    <w:rsid w:val="00507D3B"/>
    <w:rsid w:val="00510813"/>
    <w:rsid w:val="00510B60"/>
    <w:rsid w:val="00511990"/>
    <w:rsid w:val="00511DE0"/>
    <w:rsid w:val="00511F19"/>
    <w:rsid w:val="00513E52"/>
    <w:rsid w:val="00514870"/>
    <w:rsid w:val="00514B9B"/>
    <w:rsid w:val="005150D0"/>
    <w:rsid w:val="00517501"/>
    <w:rsid w:val="00517BA1"/>
    <w:rsid w:val="00517F02"/>
    <w:rsid w:val="00524303"/>
    <w:rsid w:val="005258A2"/>
    <w:rsid w:val="00531253"/>
    <w:rsid w:val="00535812"/>
    <w:rsid w:val="005401AE"/>
    <w:rsid w:val="00540492"/>
    <w:rsid w:val="00542E07"/>
    <w:rsid w:val="00545424"/>
    <w:rsid w:val="00546915"/>
    <w:rsid w:val="0054732A"/>
    <w:rsid w:val="00551727"/>
    <w:rsid w:val="00554A7B"/>
    <w:rsid w:val="00554FD5"/>
    <w:rsid w:val="0055500B"/>
    <w:rsid w:val="0055572C"/>
    <w:rsid w:val="0055653E"/>
    <w:rsid w:val="0055659A"/>
    <w:rsid w:val="00560103"/>
    <w:rsid w:val="00560B71"/>
    <w:rsid w:val="0056106A"/>
    <w:rsid w:val="00563FD3"/>
    <w:rsid w:val="005650C2"/>
    <w:rsid w:val="005720AE"/>
    <w:rsid w:val="005721A4"/>
    <w:rsid w:val="005726CE"/>
    <w:rsid w:val="00573396"/>
    <w:rsid w:val="00574870"/>
    <w:rsid w:val="00577CEE"/>
    <w:rsid w:val="00580365"/>
    <w:rsid w:val="0058153E"/>
    <w:rsid w:val="00583C51"/>
    <w:rsid w:val="00584F9B"/>
    <w:rsid w:val="005874AB"/>
    <w:rsid w:val="00587A59"/>
    <w:rsid w:val="00591856"/>
    <w:rsid w:val="00594D77"/>
    <w:rsid w:val="00595D43"/>
    <w:rsid w:val="005969E4"/>
    <w:rsid w:val="005A06B7"/>
    <w:rsid w:val="005A1759"/>
    <w:rsid w:val="005A232C"/>
    <w:rsid w:val="005A5326"/>
    <w:rsid w:val="005A5E23"/>
    <w:rsid w:val="005A68A7"/>
    <w:rsid w:val="005B184E"/>
    <w:rsid w:val="005B1920"/>
    <w:rsid w:val="005B1CD4"/>
    <w:rsid w:val="005B478E"/>
    <w:rsid w:val="005C065B"/>
    <w:rsid w:val="005C0756"/>
    <w:rsid w:val="005C2A5D"/>
    <w:rsid w:val="005C3647"/>
    <w:rsid w:val="005C40C8"/>
    <w:rsid w:val="005C7014"/>
    <w:rsid w:val="005C7470"/>
    <w:rsid w:val="005D25E7"/>
    <w:rsid w:val="005D2742"/>
    <w:rsid w:val="005D36AB"/>
    <w:rsid w:val="005D3850"/>
    <w:rsid w:val="005D5984"/>
    <w:rsid w:val="005D67C0"/>
    <w:rsid w:val="005D6974"/>
    <w:rsid w:val="005D7883"/>
    <w:rsid w:val="005D7C0A"/>
    <w:rsid w:val="005E0476"/>
    <w:rsid w:val="005E126E"/>
    <w:rsid w:val="005E1337"/>
    <w:rsid w:val="005E53A5"/>
    <w:rsid w:val="005E5F07"/>
    <w:rsid w:val="005E6EDA"/>
    <w:rsid w:val="00600530"/>
    <w:rsid w:val="00600CBD"/>
    <w:rsid w:val="00612579"/>
    <w:rsid w:val="006144C1"/>
    <w:rsid w:val="00617CC3"/>
    <w:rsid w:val="00626724"/>
    <w:rsid w:val="00627E08"/>
    <w:rsid w:val="0063085A"/>
    <w:rsid w:val="00630C6D"/>
    <w:rsid w:val="00632F5E"/>
    <w:rsid w:val="00635414"/>
    <w:rsid w:val="006377A6"/>
    <w:rsid w:val="00637A3D"/>
    <w:rsid w:val="006407AA"/>
    <w:rsid w:val="00640D56"/>
    <w:rsid w:val="006411EF"/>
    <w:rsid w:val="00641C91"/>
    <w:rsid w:val="00643891"/>
    <w:rsid w:val="00643DA6"/>
    <w:rsid w:val="00650A00"/>
    <w:rsid w:val="00651A21"/>
    <w:rsid w:val="006564AA"/>
    <w:rsid w:val="00663D10"/>
    <w:rsid w:val="00663E0E"/>
    <w:rsid w:val="00665703"/>
    <w:rsid w:val="00667196"/>
    <w:rsid w:val="00667FEF"/>
    <w:rsid w:val="006722A3"/>
    <w:rsid w:val="00673B5A"/>
    <w:rsid w:val="006748B8"/>
    <w:rsid w:val="006775C3"/>
    <w:rsid w:val="00681841"/>
    <w:rsid w:val="00681A48"/>
    <w:rsid w:val="006831ED"/>
    <w:rsid w:val="006843C6"/>
    <w:rsid w:val="00686B04"/>
    <w:rsid w:val="00690440"/>
    <w:rsid w:val="00691B9C"/>
    <w:rsid w:val="0069290A"/>
    <w:rsid w:val="0069679E"/>
    <w:rsid w:val="0069775A"/>
    <w:rsid w:val="00697813"/>
    <w:rsid w:val="006A00D8"/>
    <w:rsid w:val="006A042D"/>
    <w:rsid w:val="006A1798"/>
    <w:rsid w:val="006A18BD"/>
    <w:rsid w:val="006A3EE8"/>
    <w:rsid w:val="006A44E0"/>
    <w:rsid w:val="006A4562"/>
    <w:rsid w:val="006A667A"/>
    <w:rsid w:val="006A72BF"/>
    <w:rsid w:val="006B03F2"/>
    <w:rsid w:val="006B0D33"/>
    <w:rsid w:val="006B2749"/>
    <w:rsid w:val="006B37DC"/>
    <w:rsid w:val="006B43BF"/>
    <w:rsid w:val="006B4482"/>
    <w:rsid w:val="006B4DC6"/>
    <w:rsid w:val="006B4F68"/>
    <w:rsid w:val="006B58CB"/>
    <w:rsid w:val="006B682C"/>
    <w:rsid w:val="006B68C9"/>
    <w:rsid w:val="006C0592"/>
    <w:rsid w:val="006C1B8F"/>
    <w:rsid w:val="006C272E"/>
    <w:rsid w:val="006C369E"/>
    <w:rsid w:val="006C4131"/>
    <w:rsid w:val="006C5479"/>
    <w:rsid w:val="006C56C6"/>
    <w:rsid w:val="006C63DE"/>
    <w:rsid w:val="006C6E63"/>
    <w:rsid w:val="006D1281"/>
    <w:rsid w:val="006D13B5"/>
    <w:rsid w:val="006D2755"/>
    <w:rsid w:val="006D370E"/>
    <w:rsid w:val="006D3A97"/>
    <w:rsid w:val="006D50DF"/>
    <w:rsid w:val="006D5AD1"/>
    <w:rsid w:val="006D6CFF"/>
    <w:rsid w:val="006E12FF"/>
    <w:rsid w:val="006E165C"/>
    <w:rsid w:val="006E1916"/>
    <w:rsid w:val="006E31C9"/>
    <w:rsid w:val="006E607E"/>
    <w:rsid w:val="006F1E02"/>
    <w:rsid w:val="006F1E38"/>
    <w:rsid w:val="006F272C"/>
    <w:rsid w:val="006F32F1"/>
    <w:rsid w:val="006F3B4E"/>
    <w:rsid w:val="006F4E3E"/>
    <w:rsid w:val="00701782"/>
    <w:rsid w:val="007035AF"/>
    <w:rsid w:val="007062C4"/>
    <w:rsid w:val="007062F9"/>
    <w:rsid w:val="00706C5D"/>
    <w:rsid w:val="007119A0"/>
    <w:rsid w:val="0071680A"/>
    <w:rsid w:val="00720940"/>
    <w:rsid w:val="00721C27"/>
    <w:rsid w:val="007245D0"/>
    <w:rsid w:val="00725C84"/>
    <w:rsid w:val="00726040"/>
    <w:rsid w:val="00726E7B"/>
    <w:rsid w:val="00726FD4"/>
    <w:rsid w:val="00732922"/>
    <w:rsid w:val="00734B85"/>
    <w:rsid w:val="007351B6"/>
    <w:rsid w:val="00735AD8"/>
    <w:rsid w:val="00737FD3"/>
    <w:rsid w:val="007425C8"/>
    <w:rsid w:val="007441A9"/>
    <w:rsid w:val="007444BE"/>
    <w:rsid w:val="00744A1B"/>
    <w:rsid w:val="007453A9"/>
    <w:rsid w:val="00746F07"/>
    <w:rsid w:val="0075162E"/>
    <w:rsid w:val="0075372A"/>
    <w:rsid w:val="00754034"/>
    <w:rsid w:val="00756556"/>
    <w:rsid w:val="00757136"/>
    <w:rsid w:val="007607D6"/>
    <w:rsid w:val="00760F8C"/>
    <w:rsid w:val="00761436"/>
    <w:rsid w:val="00761547"/>
    <w:rsid w:val="007618C4"/>
    <w:rsid w:val="00762525"/>
    <w:rsid w:val="00763635"/>
    <w:rsid w:val="007648FC"/>
    <w:rsid w:val="00765325"/>
    <w:rsid w:val="00765F63"/>
    <w:rsid w:val="00766923"/>
    <w:rsid w:val="00767980"/>
    <w:rsid w:val="00767BC7"/>
    <w:rsid w:val="00770B19"/>
    <w:rsid w:val="00771DE1"/>
    <w:rsid w:val="0077463F"/>
    <w:rsid w:val="00777403"/>
    <w:rsid w:val="00780D5E"/>
    <w:rsid w:val="007836EA"/>
    <w:rsid w:val="00783D62"/>
    <w:rsid w:val="007841DD"/>
    <w:rsid w:val="00784CDA"/>
    <w:rsid w:val="007858DC"/>
    <w:rsid w:val="007859A0"/>
    <w:rsid w:val="00787565"/>
    <w:rsid w:val="0078768E"/>
    <w:rsid w:val="007902DB"/>
    <w:rsid w:val="007906C4"/>
    <w:rsid w:val="007908F4"/>
    <w:rsid w:val="00790E22"/>
    <w:rsid w:val="00791526"/>
    <w:rsid w:val="007940EA"/>
    <w:rsid w:val="007944D6"/>
    <w:rsid w:val="007967E8"/>
    <w:rsid w:val="007A0A70"/>
    <w:rsid w:val="007A18BA"/>
    <w:rsid w:val="007A2170"/>
    <w:rsid w:val="007A22BF"/>
    <w:rsid w:val="007A3323"/>
    <w:rsid w:val="007A63AE"/>
    <w:rsid w:val="007A6A04"/>
    <w:rsid w:val="007B0B27"/>
    <w:rsid w:val="007B0D32"/>
    <w:rsid w:val="007B15DD"/>
    <w:rsid w:val="007B3822"/>
    <w:rsid w:val="007B47D4"/>
    <w:rsid w:val="007B72B8"/>
    <w:rsid w:val="007B78BC"/>
    <w:rsid w:val="007B7A58"/>
    <w:rsid w:val="007C1128"/>
    <w:rsid w:val="007C1262"/>
    <w:rsid w:val="007C1789"/>
    <w:rsid w:val="007C21B5"/>
    <w:rsid w:val="007C3416"/>
    <w:rsid w:val="007C3998"/>
    <w:rsid w:val="007C6C91"/>
    <w:rsid w:val="007D0817"/>
    <w:rsid w:val="007D2791"/>
    <w:rsid w:val="007D3593"/>
    <w:rsid w:val="007D634F"/>
    <w:rsid w:val="007D6871"/>
    <w:rsid w:val="007E2FF2"/>
    <w:rsid w:val="007E4BD2"/>
    <w:rsid w:val="007E62E3"/>
    <w:rsid w:val="007F26C5"/>
    <w:rsid w:val="007F46CD"/>
    <w:rsid w:val="007F5871"/>
    <w:rsid w:val="0080088E"/>
    <w:rsid w:val="00801312"/>
    <w:rsid w:val="00801393"/>
    <w:rsid w:val="00802613"/>
    <w:rsid w:val="00802F88"/>
    <w:rsid w:val="00804036"/>
    <w:rsid w:val="00804D59"/>
    <w:rsid w:val="0081293E"/>
    <w:rsid w:val="00815465"/>
    <w:rsid w:val="00817E9A"/>
    <w:rsid w:val="00820989"/>
    <w:rsid w:val="00820C0D"/>
    <w:rsid w:val="00826B92"/>
    <w:rsid w:val="008306BD"/>
    <w:rsid w:val="00830B93"/>
    <w:rsid w:val="00831A80"/>
    <w:rsid w:val="00832A08"/>
    <w:rsid w:val="00833442"/>
    <w:rsid w:val="00833700"/>
    <w:rsid w:val="00833743"/>
    <w:rsid w:val="0083392E"/>
    <w:rsid w:val="008340A4"/>
    <w:rsid w:val="00834739"/>
    <w:rsid w:val="00834A54"/>
    <w:rsid w:val="00835F9B"/>
    <w:rsid w:val="0084270A"/>
    <w:rsid w:val="00843159"/>
    <w:rsid w:val="00844A8D"/>
    <w:rsid w:val="00855533"/>
    <w:rsid w:val="0086103E"/>
    <w:rsid w:val="00862EE5"/>
    <w:rsid w:val="0086701D"/>
    <w:rsid w:val="0087135F"/>
    <w:rsid w:val="00872D94"/>
    <w:rsid w:val="008741B5"/>
    <w:rsid w:val="00875061"/>
    <w:rsid w:val="00876D39"/>
    <w:rsid w:val="00880364"/>
    <w:rsid w:val="00881071"/>
    <w:rsid w:val="00882708"/>
    <w:rsid w:val="0088333F"/>
    <w:rsid w:val="00883767"/>
    <w:rsid w:val="00884D60"/>
    <w:rsid w:val="00890C8B"/>
    <w:rsid w:val="00891592"/>
    <w:rsid w:val="00891E9E"/>
    <w:rsid w:val="00892871"/>
    <w:rsid w:val="00893649"/>
    <w:rsid w:val="0089440A"/>
    <w:rsid w:val="00894516"/>
    <w:rsid w:val="00894D2D"/>
    <w:rsid w:val="0089647A"/>
    <w:rsid w:val="0089744B"/>
    <w:rsid w:val="00897F9E"/>
    <w:rsid w:val="008A07B1"/>
    <w:rsid w:val="008A1138"/>
    <w:rsid w:val="008A2F68"/>
    <w:rsid w:val="008A4141"/>
    <w:rsid w:val="008A48D4"/>
    <w:rsid w:val="008A6278"/>
    <w:rsid w:val="008B45A4"/>
    <w:rsid w:val="008B4FA6"/>
    <w:rsid w:val="008B5282"/>
    <w:rsid w:val="008B59B8"/>
    <w:rsid w:val="008B5D08"/>
    <w:rsid w:val="008B6ADE"/>
    <w:rsid w:val="008B6E79"/>
    <w:rsid w:val="008B7BC6"/>
    <w:rsid w:val="008B7C17"/>
    <w:rsid w:val="008C2D01"/>
    <w:rsid w:val="008C334E"/>
    <w:rsid w:val="008C3836"/>
    <w:rsid w:val="008C3D27"/>
    <w:rsid w:val="008C40E6"/>
    <w:rsid w:val="008C4840"/>
    <w:rsid w:val="008C7D22"/>
    <w:rsid w:val="008D0322"/>
    <w:rsid w:val="008D03D4"/>
    <w:rsid w:val="008D096E"/>
    <w:rsid w:val="008D0F7A"/>
    <w:rsid w:val="008D3826"/>
    <w:rsid w:val="008D51D0"/>
    <w:rsid w:val="008D68E4"/>
    <w:rsid w:val="008D7764"/>
    <w:rsid w:val="008E0506"/>
    <w:rsid w:val="008E0CFF"/>
    <w:rsid w:val="008E5D6B"/>
    <w:rsid w:val="008E76F0"/>
    <w:rsid w:val="008E7BAC"/>
    <w:rsid w:val="008F06C3"/>
    <w:rsid w:val="008F07B5"/>
    <w:rsid w:val="008F15FE"/>
    <w:rsid w:val="008F2D29"/>
    <w:rsid w:val="008F309F"/>
    <w:rsid w:val="008F3960"/>
    <w:rsid w:val="008F5187"/>
    <w:rsid w:val="008F55BC"/>
    <w:rsid w:val="008F5DC8"/>
    <w:rsid w:val="008F60D8"/>
    <w:rsid w:val="008F6BEE"/>
    <w:rsid w:val="008F6F3F"/>
    <w:rsid w:val="008F7C11"/>
    <w:rsid w:val="00900A73"/>
    <w:rsid w:val="009019B2"/>
    <w:rsid w:val="00902727"/>
    <w:rsid w:val="0090291E"/>
    <w:rsid w:val="0090312B"/>
    <w:rsid w:val="00906608"/>
    <w:rsid w:val="0090754B"/>
    <w:rsid w:val="0090779C"/>
    <w:rsid w:val="00907F49"/>
    <w:rsid w:val="00910849"/>
    <w:rsid w:val="009113C2"/>
    <w:rsid w:val="00911841"/>
    <w:rsid w:val="00911FCD"/>
    <w:rsid w:val="00912B6D"/>
    <w:rsid w:val="0091736D"/>
    <w:rsid w:val="0091793B"/>
    <w:rsid w:val="00920823"/>
    <w:rsid w:val="00926FA7"/>
    <w:rsid w:val="0092753A"/>
    <w:rsid w:val="0093037A"/>
    <w:rsid w:val="009310EB"/>
    <w:rsid w:val="00934F4B"/>
    <w:rsid w:val="0094154D"/>
    <w:rsid w:val="00942C40"/>
    <w:rsid w:val="00943D9D"/>
    <w:rsid w:val="009443EC"/>
    <w:rsid w:val="0094569B"/>
    <w:rsid w:val="00946571"/>
    <w:rsid w:val="0095155F"/>
    <w:rsid w:val="00954429"/>
    <w:rsid w:val="009563CE"/>
    <w:rsid w:val="009564B7"/>
    <w:rsid w:val="00960EB6"/>
    <w:rsid w:val="009616F3"/>
    <w:rsid w:val="009631B7"/>
    <w:rsid w:val="00966BA2"/>
    <w:rsid w:val="0096721C"/>
    <w:rsid w:val="0097156B"/>
    <w:rsid w:val="0097166A"/>
    <w:rsid w:val="0097308E"/>
    <w:rsid w:val="00974CD8"/>
    <w:rsid w:val="00976328"/>
    <w:rsid w:val="0097680D"/>
    <w:rsid w:val="00980377"/>
    <w:rsid w:val="009805D8"/>
    <w:rsid w:val="00980B3A"/>
    <w:rsid w:val="009812FA"/>
    <w:rsid w:val="00981653"/>
    <w:rsid w:val="00982438"/>
    <w:rsid w:val="0098404C"/>
    <w:rsid w:val="00985283"/>
    <w:rsid w:val="0098530C"/>
    <w:rsid w:val="009933E6"/>
    <w:rsid w:val="0099368D"/>
    <w:rsid w:val="00995992"/>
    <w:rsid w:val="0099721B"/>
    <w:rsid w:val="009A03E5"/>
    <w:rsid w:val="009A073B"/>
    <w:rsid w:val="009A0869"/>
    <w:rsid w:val="009A0F3B"/>
    <w:rsid w:val="009A1BB4"/>
    <w:rsid w:val="009A2077"/>
    <w:rsid w:val="009A2628"/>
    <w:rsid w:val="009A30E7"/>
    <w:rsid w:val="009A3200"/>
    <w:rsid w:val="009A7413"/>
    <w:rsid w:val="009B0897"/>
    <w:rsid w:val="009B1398"/>
    <w:rsid w:val="009B2A06"/>
    <w:rsid w:val="009B40F4"/>
    <w:rsid w:val="009B4BA3"/>
    <w:rsid w:val="009B7BC1"/>
    <w:rsid w:val="009B7BD9"/>
    <w:rsid w:val="009C0178"/>
    <w:rsid w:val="009C0981"/>
    <w:rsid w:val="009C21EE"/>
    <w:rsid w:val="009C718C"/>
    <w:rsid w:val="009C7622"/>
    <w:rsid w:val="009C7DD5"/>
    <w:rsid w:val="009D4AD0"/>
    <w:rsid w:val="009D63A9"/>
    <w:rsid w:val="009D649B"/>
    <w:rsid w:val="009D71CA"/>
    <w:rsid w:val="009E227D"/>
    <w:rsid w:val="009E5019"/>
    <w:rsid w:val="009E6CF9"/>
    <w:rsid w:val="009E7408"/>
    <w:rsid w:val="009F1EC2"/>
    <w:rsid w:val="009F2174"/>
    <w:rsid w:val="009F6FB1"/>
    <w:rsid w:val="00A01DEE"/>
    <w:rsid w:val="00A03442"/>
    <w:rsid w:val="00A03778"/>
    <w:rsid w:val="00A04025"/>
    <w:rsid w:val="00A04F1B"/>
    <w:rsid w:val="00A0501B"/>
    <w:rsid w:val="00A07B51"/>
    <w:rsid w:val="00A121BD"/>
    <w:rsid w:val="00A145D7"/>
    <w:rsid w:val="00A14947"/>
    <w:rsid w:val="00A214A7"/>
    <w:rsid w:val="00A2360C"/>
    <w:rsid w:val="00A23929"/>
    <w:rsid w:val="00A243A6"/>
    <w:rsid w:val="00A2782E"/>
    <w:rsid w:val="00A31A59"/>
    <w:rsid w:val="00A32A83"/>
    <w:rsid w:val="00A368DB"/>
    <w:rsid w:val="00A37429"/>
    <w:rsid w:val="00A37DF1"/>
    <w:rsid w:val="00A423AA"/>
    <w:rsid w:val="00A51702"/>
    <w:rsid w:val="00A519C5"/>
    <w:rsid w:val="00A519E2"/>
    <w:rsid w:val="00A5291E"/>
    <w:rsid w:val="00A53EC6"/>
    <w:rsid w:val="00A54BA0"/>
    <w:rsid w:val="00A55C0F"/>
    <w:rsid w:val="00A566D3"/>
    <w:rsid w:val="00A6469B"/>
    <w:rsid w:val="00A64F6D"/>
    <w:rsid w:val="00A6517C"/>
    <w:rsid w:val="00A70830"/>
    <w:rsid w:val="00A738E5"/>
    <w:rsid w:val="00A74540"/>
    <w:rsid w:val="00A74AC3"/>
    <w:rsid w:val="00A76D5A"/>
    <w:rsid w:val="00A776F2"/>
    <w:rsid w:val="00A81075"/>
    <w:rsid w:val="00A81307"/>
    <w:rsid w:val="00A81A5B"/>
    <w:rsid w:val="00A8256A"/>
    <w:rsid w:val="00A827B3"/>
    <w:rsid w:val="00A82D00"/>
    <w:rsid w:val="00A8523F"/>
    <w:rsid w:val="00A85B11"/>
    <w:rsid w:val="00A8713F"/>
    <w:rsid w:val="00A87CD0"/>
    <w:rsid w:val="00A901DA"/>
    <w:rsid w:val="00A90BA1"/>
    <w:rsid w:val="00A916AB"/>
    <w:rsid w:val="00A91956"/>
    <w:rsid w:val="00A92294"/>
    <w:rsid w:val="00A939DC"/>
    <w:rsid w:val="00A93BEE"/>
    <w:rsid w:val="00A93EFD"/>
    <w:rsid w:val="00A94FAE"/>
    <w:rsid w:val="00A97A9A"/>
    <w:rsid w:val="00AA0671"/>
    <w:rsid w:val="00AA1B25"/>
    <w:rsid w:val="00AA2531"/>
    <w:rsid w:val="00AA43C0"/>
    <w:rsid w:val="00AB1E09"/>
    <w:rsid w:val="00AB1ECD"/>
    <w:rsid w:val="00AB248B"/>
    <w:rsid w:val="00AB31FD"/>
    <w:rsid w:val="00AB4BF8"/>
    <w:rsid w:val="00AB5330"/>
    <w:rsid w:val="00AB56FA"/>
    <w:rsid w:val="00AB7747"/>
    <w:rsid w:val="00AB7BEB"/>
    <w:rsid w:val="00AC0D6D"/>
    <w:rsid w:val="00AC14CE"/>
    <w:rsid w:val="00AC2A56"/>
    <w:rsid w:val="00AC41AA"/>
    <w:rsid w:val="00AC6A4E"/>
    <w:rsid w:val="00AC6F9C"/>
    <w:rsid w:val="00AC794F"/>
    <w:rsid w:val="00AD055E"/>
    <w:rsid w:val="00AD08BC"/>
    <w:rsid w:val="00AD47A7"/>
    <w:rsid w:val="00AD76DE"/>
    <w:rsid w:val="00AD7E57"/>
    <w:rsid w:val="00AE1C1B"/>
    <w:rsid w:val="00AE22F4"/>
    <w:rsid w:val="00AE2CA1"/>
    <w:rsid w:val="00AE382D"/>
    <w:rsid w:val="00AE41EE"/>
    <w:rsid w:val="00AE513D"/>
    <w:rsid w:val="00AE700E"/>
    <w:rsid w:val="00AF0CBF"/>
    <w:rsid w:val="00AF257F"/>
    <w:rsid w:val="00AF33CF"/>
    <w:rsid w:val="00AF3E55"/>
    <w:rsid w:val="00AF4D50"/>
    <w:rsid w:val="00AF5BE4"/>
    <w:rsid w:val="00AF6179"/>
    <w:rsid w:val="00B0016C"/>
    <w:rsid w:val="00B005C6"/>
    <w:rsid w:val="00B00E49"/>
    <w:rsid w:val="00B02676"/>
    <w:rsid w:val="00B03779"/>
    <w:rsid w:val="00B04A6F"/>
    <w:rsid w:val="00B11541"/>
    <w:rsid w:val="00B11F0E"/>
    <w:rsid w:val="00B12490"/>
    <w:rsid w:val="00B1295A"/>
    <w:rsid w:val="00B13425"/>
    <w:rsid w:val="00B13BE8"/>
    <w:rsid w:val="00B14A99"/>
    <w:rsid w:val="00B15C4E"/>
    <w:rsid w:val="00B20877"/>
    <w:rsid w:val="00B20A45"/>
    <w:rsid w:val="00B22211"/>
    <w:rsid w:val="00B22C5C"/>
    <w:rsid w:val="00B2465D"/>
    <w:rsid w:val="00B24F30"/>
    <w:rsid w:val="00B25695"/>
    <w:rsid w:val="00B273B1"/>
    <w:rsid w:val="00B275F3"/>
    <w:rsid w:val="00B278E7"/>
    <w:rsid w:val="00B3072F"/>
    <w:rsid w:val="00B31ABF"/>
    <w:rsid w:val="00B33BE3"/>
    <w:rsid w:val="00B47195"/>
    <w:rsid w:val="00B4744C"/>
    <w:rsid w:val="00B47741"/>
    <w:rsid w:val="00B477F4"/>
    <w:rsid w:val="00B5036F"/>
    <w:rsid w:val="00B513BB"/>
    <w:rsid w:val="00B52BBF"/>
    <w:rsid w:val="00B53B5D"/>
    <w:rsid w:val="00B546C1"/>
    <w:rsid w:val="00B6055E"/>
    <w:rsid w:val="00B6317D"/>
    <w:rsid w:val="00B64B46"/>
    <w:rsid w:val="00B64FF9"/>
    <w:rsid w:val="00B667F8"/>
    <w:rsid w:val="00B73BDD"/>
    <w:rsid w:val="00B746AF"/>
    <w:rsid w:val="00B74BEE"/>
    <w:rsid w:val="00B7723F"/>
    <w:rsid w:val="00B80534"/>
    <w:rsid w:val="00B8061E"/>
    <w:rsid w:val="00B8183F"/>
    <w:rsid w:val="00B83B6A"/>
    <w:rsid w:val="00B8433C"/>
    <w:rsid w:val="00B84B39"/>
    <w:rsid w:val="00B851CA"/>
    <w:rsid w:val="00B85BC0"/>
    <w:rsid w:val="00B87491"/>
    <w:rsid w:val="00B906D4"/>
    <w:rsid w:val="00B95E0F"/>
    <w:rsid w:val="00B96636"/>
    <w:rsid w:val="00BA0CBB"/>
    <w:rsid w:val="00BA232B"/>
    <w:rsid w:val="00BA29E9"/>
    <w:rsid w:val="00BA3FB7"/>
    <w:rsid w:val="00BA40BD"/>
    <w:rsid w:val="00BA47FF"/>
    <w:rsid w:val="00BA6957"/>
    <w:rsid w:val="00BA7142"/>
    <w:rsid w:val="00BB01D4"/>
    <w:rsid w:val="00BB17A3"/>
    <w:rsid w:val="00BB1E03"/>
    <w:rsid w:val="00BB237C"/>
    <w:rsid w:val="00BB26AB"/>
    <w:rsid w:val="00BB41A3"/>
    <w:rsid w:val="00BB54A2"/>
    <w:rsid w:val="00BC32DC"/>
    <w:rsid w:val="00BC35B6"/>
    <w:rsid w:val="00BC4137"/>
    <w:rsid w:val="00BC47F0"/>
    <w:rsid w:val="00BC5212"/>
    <w:rsid w:val="00BC5C6E"/>
    <w:rsid w:val="00BC78F6"/>
    <w:rsid w:val="00BC7D79"/>
    <w:rsid w:val="00BD1B51"/>
    <w:rsid w:val="00BD2171"/>
    <w:rsid w:val="00BD3B34"/>
    <w:rsid w:val="00BD4596"/>
    <w:rsid w:val="00BD67BC"/>
    <w:rsid w:val="00BE027B"/>
    <w:rsid w:val="00BE0467"/>
    <w:rsid w:val="00BE09F8"/>
    <w:rsid w:val="00BE1405"/>
    <w:rsid w:val="00BE1E88"/>
    <w:rsid w:val="00BE215B"/>
    <w:rsid w:val="00BE312D"/>
    <w:rsid w:val="00BE4ACF"/>
    <w:rsid w:val="00BE5D58"/>
    <w:rsid w:val="00BE6A15"/>
    <w:rsid w:val="00BF1B75"/>
    <w:rsid w:val="00BF1C20"/>
    <w:rsid w:val="00BF217B"/>
    <w:rsid w:val="00BF3050"/>
    <w:rsid w:val="00BF4723"/>
    <w:rsid w:val="00C00F2D"/>
    <w:rsid w:val="00C01DE5"/>
    <w:rsid w:val="00C02905"/>
    <w:rsid w:val="00C0589B"/>
    <w:rsid w:val="00C07B42"/>
    <w:rsid w:val="00C10578"/>
    <w:rsid w:val="00C10627"/>
    <w:rsid w:val="00C116C8"/>
    <w:rsid w:val="00C127E1"/>
    <w:rsid w:val="00C135BC"/>
    <w:rsid w:val="00C135D6"/>
    <w:rsid w:val="00C15C95"/>
    <w:rsid w:val="00C16477"/>
    <w:rsid w:val="00C16743"/>
    <w:rsid w:val="00C171B0"/>
    <w:rsid w:val="00C175B1"/>
    <w:rsid w:val="00C177DE"/>
    <w:rsid w:val="00C17A6F"/>
    <w:rsid w:val="00C22BE2"/>
    <w:rsid w:val="00C237DB"/>
    <w:rsid w:val="00C23B88"/>
    <w:rsid w:val="00C2596A"/>
    <w:rsid w:val="00C2662B"/>
    <w:rsid w:val="00C26E02"/>
    <w:rsid w:val="00C27537"/>
    <w:rsid w:val="00C30894"/>
    <w:rsid w:val="00C328FE"/>
    <w:rsid w:val="00C333CE"/>
    <w:rsid w:val="00C33507"/>
    <w:rsid w:val="00C33897"/>
    <w:rsid w:val="00C3476B"/>
    <w:rsid w:val="00C34CF0"/>
    <w:rsid w:val="00C42B1B"/>
    <w:rsid w:val="00C4409D"/>
    <w:rsid w:val="00C44E72"/>
    <w:rsid w:val="00C45A06"/>
    <w:rsid w:val="00C4717D"/>
    <w:rsid w:val="00C47E5B"/>
    <w:rsid w:val="00C51DFD"/>
    <w:rsid w:val="00C5667C"/>
    <w:rsid w:val="00C61E4B"/>
    <w:rsid w:val="00C61F57"/>
    <w:rsid w:val="00C640E9"/>
    <w:rsid w:val="00C64BFF"/>
    <w:rsid w:val="00C67741"/>
    <w:rsid w:val="00C704E9"/>
    <w:rsid w:val="00C713E3"/>
    <w:rsid w:val="00C7298E"/>
    <w:rsid w:val="00C72E17"/>
    <w:rsid w:val="00C73067"/>
    <w:rsid w:val="00C735F5"/>
    <w:rsid w:val="00C746DF"/>
    <w:rsid w:val="00C763C9"/>
    <w:rsid w:val="00C80057"/>
    <w:rsid w:val="00C82232"/>
    <w:rsid w:val="00C82913"/>
    <w:rsid w:val="00C8355B"/>
    <w:rsid w:val="00C83D63"/>
    <w:rsid w:val="00C868C8"/>
    <w:rsid w:val="00C872AC"/>
    <w:rsid w:val="00C87415"/>
    <w:rsid w:val="00C877E7"/>
    <w:rsid w:val="00C91F2D"/>
    <w:rsid w:val="00C949FB"/>
    <w:rsid w:val="00C972B1"/>
    <w:rsid w:val="00C972EF"/>
    <w:rsid w:val="00C97D8F"/>
    <w:rsid w:val="00CA2CCE"/>
    <w:rsid w:val="00CA43FD"/>
    <w:rsid w:val="00CA4A08"/>
    <w:rsid w:val="00CA68B2"/>
    <w:rsid w:val="00CA698F"/>
    <w:rsid w:val="00CA6B96"/>
    <w:rsid w:val="00CA72FF"/>
    <w:rsid w:val="00CA74C9"/>
    <w:rsid w:val="00CA7EF8"/>
    <w:rsid w:val="00CB0778"/>
    <w:rsid w:val="00CB328E"/>
    <w:rsid w:val="00CB38C4"/>
    <w:rsid w:val="00CC093F"/>
    <w:rsid w:val="00CC130D"/>
    <w:rsid w:val="00CC18BD"/>
    <w:rsid w:val="00CC1B2D"/>
    <w:rsid w:val="00CC1FDB"/>
    <w:rsid w:val="00CC489B"/>
    <w:rsid w:val="00CC4B3E"/>
    <w:rsid w:val="00CC61F9"/>
    <w:rsid w:val="00CC6AE3"/>
    <w:rsid w:val="00CC6F17"/>
    <w:rsid w:val="00CD070C"/>
    <w:rsid w:val="00CD2BCD"/>
    <w:rsid w:val="00CD3A4C"/>
    <w:rsid w:val="00CD4008"/>
    <w:rsid w:val="00CD57DF"/>
    <w:rsid w:val="00CD79DA"/>
    <w:rsid w:val="00CE10E9"/>
    <w:rsid w:val="00CE2910"/>
    <w:rsid w:val="00CE2F17"/>
    <w:rsid w:val="00CE349D"/>
    <w:rsid w:val="00CE5393"/>
    <w:rsid w:val="00CF36BE"/>
    <w:rsid w:val="00CF44E8"/>
    <w:rsid w:val="00CF465F"/>
    <w:rsid w:val="00CF6000"/>
    <w:rsid w:val="00CF65B7"/>
    <w:rsid w:val="00D003F3"/>
    <w:rsid w:val="00D0364F"/>
    <w:rsid w:val="00D03F31"/>
    <w:rsid w:val="00D04C0B"/>
    <w:rsid w:val="00D059B3"/>
    <w:rsid w:val="00D06834"/>
    <w:rsid w:val="00D117C7"/>
    <w:rsid w:val="00D119E5"/>
    <w:rsid w:val="00D14040"/>
    <w:rsid w:val="00D14340"/>
    <w:rsid w:val="00D151F0"/>
    <w:rsid w:val="00D15950"/>
    <w:rsid w:val="00D20C3D"/>
    <w:rsid w:val="00D2141B"/>
    <w:rsid w:val="00D23F6C"/>
    <w:rsid w:val="00D247D4"/>
    <w:rsid w:val="00D26EFA"/>
    <w:rsid w:val="00D2752B"/>
    <w:rsid w:val="00D308ED"/>
    <w:rsid w:val="00D34224"/>
    <w:rsid w:val="00D36D86"/>
    <w:rsid w:val="00D4032B"/>
    <w:rsid w:val="00D428AA"/>
    <w:rsid w:val="00D50A34"/>
    <w:rsid w:val="00D50F59"/>
    <w:rsid w:val="00D53EFA"/>
    <w:rsid w:val="00D61971"/>
    <w:rsid w:val="00D619B2"/>
    <w:rsid w:val="00D6245D"/>
    <w:rsid w:val="00D64DA3"/>
    <w:rsid w:val="00D66461"/>
    <w:rsid w:val="00D70E36"/>
    <w:rsid w:val="00D71F55"/>
    <w:rsid w:val="00D74348"/>
    <w:rsid w:val="00D748D3"/>
    <w:rsid w:val="00D764F2"/>
    <w:rsid w:val="00D77401"/>
    <w:rsid w:val="00D8183E"/>
    <w:rsid w:val="00D82E53"/>
    <w:rsid w:val="00D860B5"/>
    <w:rsid w:val="00D86EC7"/>
    <w:rsid w:val="00D901DB"/>
    <w:rsid w:val="00D92801"/>
    <w:rsid w:val="00D935EE"/>
    <w:rsid w:val="00D93D61"/>
    <w:rsid w:val="00D93E7A"/>
    <w:rsid w:val="00D93FB1"/>
    <w:rsid w:val="00D94A7C"/>
    <w:rsid w:val="00D95896"/>
    <w:rsid w:val="00D96712"/>
    <w:rsid w:val="00DA1EA6"/>
    <w:rsid w:val="00DA5803"/>
    <w:rsid w:val="00DB181A"/>
    <w:rsid w:val="00DB2983"/>
    <w:rsid w:val="00DB462B"/>
    <w:rsid w:val="00DB4D25"/>
    <w:rsid w:val="00DC03F9"/>
    <w:rsid w:val="00DC1257"/>
    <w:rsid w:val="00DC3DC0"/>
    <w:rsid w:val="00DC5383"/>
    <w:rsid w:val="00DC5B2B"/>
    <w:rsid w:val="00DC70B9"/>
    <w:rsid w:val="00DC7FE7"/>
    <w:rsid w:val="00DD0D02"/>
    <w:rsid w:val="00DD0F07"/>
    <w:rsid w:val="00DD2318"/>
    <w:rsid w:val="00DD318D"/>
    <w:rsid w:val="00DD32A7"/>
    <w:rsid w:val="00DD4DE0"/>
    <w:rsid w:val="00DD54BE"/>
    <w:rsid w:val="00DD5994"/>
    <w:rsid w:val="00DE0A4A"/>
    <w:rsid w:val="00DE4987"/>
    <w:rsid w:val="00DE4A69"/>
    <w:rsid w:val="00DE5568"/>
    <w:rsid w:val="00DE5FE7"/>
    <w:rsid w:val="00DF2E12"/>
    <w:rsid w:val="00DF2E6E"/>
    <w:rsid w:val="00DF464B"/>
    <w:rsid w:val="00DF514A"/>
    <w:rsid w:val="00DF55E0"/>
    <w:rsid w:val="00DF6690"/>
    <w:rsid w:val="00DF6804"/>
    <w:rsid w:val="00DF6BBB"/>
    <w:rsid w:val="00E024B8"/>
    <w:rsid w:val="00E0358D"/>
    <w:rsid w:val="00E04323"/>
    <w:rsid w:val="00E04522"/>
    <w:rsid w:val="00E04BB6"/>
    <w:rsid w:val="00E065A4"/>
    <w:rsid w:val="00E070A2"/>
    <w:rsid w:val="00E1684E"/>
    <w:rsid w:val="00E16B31"/>
    <w:rsid w:val="00E17477"/>
    <w:rsid w:val="00E20C91"/>
    <w:rsid w:val="00E22DA8"/>
    <w:rsid w:val="00E2656A"/>
    <w:rsid w:val="00E318DF"/>
    <w:rsid w:val="00E32B23"/>
    <w:rsid w:val="00E32E10"/>
    <w:rsid w:val="00E35C6F"/>
    <w:rsid w:val="00E406AE"/>
    <w:rsid w:val="00E407A7"/>
    <w:rsid w:val="00E412D0"/>
    <w:rsid w:val="00E44897"/>
    <w:rsid w:val="00E44C0C"/>
    <w:rsid w:val="00E47059"/>
    <w:rsid w:val="00E5028F"/>
    <w:rsid w:val="00E5137A"/>
    <w:rsid w:val="00E53A0D"/>
    <w:rsid w:val="00E56322"/>
    <w:rsid w:val="00E56F99"/>
    <w:rsid w:val="00E572F4"/>
    <w:rsid w:val="00E57B80"/>
    <w:rsid w:val="00E60982"/>
    <w:rsid w:val="00E62019"/>
    <w:rsid w:val="00E62C62"/>
    <w:rsid w:val="00E6512F"/>
    <w:rsid w:val="00E654C1"/>
    <w:rsid w:val="00E65722"/>
    <w:rsid w:val="00E65D97"/>
    <w:rsid w:val="00E6772F"/>
    <w:rsid w:val="00E71D14"/>
    <w:rsid w:val="00E721B5"/>
    <w:rsid w:val="00E72A5A"/>
    <w:rsid w:val="00E73354"/>
    <w:rsid w:val="00E759C2"/>
    <w:rsid w:val="00E81552"/>
    <w:rsid w:val="00E82E4C"/>
    <w:rsid w:val="00E85B1D"/>
    <w:rsid w:val="00E86D67"/>
    <w:rsid w:val="00E8729E"/>
    <w:rsid w:val="00E9242D"/>
    <w:rsid w:val="00E953AC"/>
    <w:rsid w:val="00E97C11"/>
    <w:rsid w:val="00EA62BA"/>
    <w:rsid w:val="00EA660F"/>
    <w:rsid w:val="00EA70D3"/>
    <w:rsid w:val="00EB0CD4"/>
    <w:rsid w:val="00EB18C7"/>
    <w:rsid w:val="00EB247E"/>
    <w:rsid w:val="00EB4036"/>
    <w:rsid w:val="00EB5255"/>
    <w:rsid w:val="00EB5C47"/>
    <w:rsid w:val="00EB7D13"/>
    <w:rsid w:val="00EC0961"/>
    <w:rsid w:val="00EC3FFD"/>
    <w:rsid w:val="00EC6112"/>
    <w:rsid w:val="00EC691F"/>
    <w:rsid w:val="00EC78F8"/>
    <w:rsid w:val="00ED0639"/>
    <w:rsid w:val="00ED0BAD"/>
    <w:rsid w:val="00ED5B0B"/>
    <w:rsid w:val="00ED5E7C"/>
    <w:rsid w:val="00EE11EC"/>
    <w:rsid w:val="00EE1477"/>
    <w:rsid w:val="00EE16E3"/>
    <w:rsid w:val="00EE3C83"/>
    <w:rsid w:val="00EE6B6E"/>
    <w:rsid w:val="00EE7F4C"/>
    <w:rsid w:val="00EF14DF"/>
    <w:rsid w:val="00EF18B4"/>
    <w:rsid w:val="00EF2752"/>
    <w:rsid w:val="00EF4755"/>
    <w:rsid w:val="00EF4DEB"/>
    <w:rsid w:val="00EF7135"/>
    <w:rsid w:val="00EF7F18"/>
    <w:rsid w:val="00F00AF3"/>
    <w:rsid w:val="00F027DB"/>
    <w:rsid w:val="00F12A77"/>
    <w:rsid w:val="00F1470A"/>
    <w:rsid w:val="00F14A7A"/>
    <w:rsid w:val="00F15593"/>
    <w:rsid w:val="00F1702C"/>
    <w:rsid w:val="00F21B21"/>
    <w:rsid w:val="00F22985"/>
    <w:rsid w:val="00F251A4"/>
    <w:rsid w:val="00F26ECF"/>
    <w:rsid w:val="00F27485"/>
    <w:rsid w:val="00F278B1"/>
    <w:rsid w:val="00F279BA"/>
    <w:rsid w:val="00F27A33"/>
    <w:rsid w:val="00F32358"/>
    <w:rsid w:val="00F3383E"/>
    <w:rsid w:val="00F35693"/>
    <w:rsid w:val="00F3750F"/>
    <w:rsid w:val="00F416E2"/>
    <w:rsid w:val="00F447CF"/>
    <w:rsid w:val="00F46475"/>
    <w:rsid w:val="00F465A7"/>
    <w:rsid w:val="00F50B7C"/>
    <w:rsid w:val="00F516E3"/>
    <w:rsid w:val="00F54622"/>
    <w:rsid w:val="00F54B22"/>
    <w:rsid w:val="00F550E6"/>
    <w:rsid w:val="00F55989"/>
    <w:rsid w:val="00F56E6A"/>
    <w:rsid w:val="00F57C42"/>
    <w:rsid w:val="00F628FF"/>
    <w:rsid w:val="00F64EEE"/>
    <w:rsid w:val="00F66F93"/>
    <w:rsid w:val="00F67EE0"/>
    <w:rsid w:val="00F715F1"/>
    <w:rsid w:val="00F74345"/>
    <w:rsid w:val="00F774E0"/>
    <w:rsid w:val="00F8049D"/>
    <w:rsid w:val="00F80A0A"/>
    <w:rsid w:val="00F8171A"/>
    <w:rsid w:val="00F81F4F"/>
    <w:rsid w:val="00F82B19"/>
    <w:rsid w:val="00F8692F"/>
    <w:rsid w:val="00F872A4"/>
    <w:rsid w:val="00F90453"/>
    <w:rsid w:val="00F913CF"/>
    <w:rsid w:val="00F9212D"/>
    <w:rsid w:val="00F94040"/>
    <w:rsid w:val="00F9430A"/>
    <w:rsid w:val="00F965DA"/>
    <w:rsid w:val="00F9727A"/>
    <w:rsid w:val="00FA181B"/>
    <w:rsid w:val="00FA209E"/>
    <w:rsid w:val="00FA290B"/>
    <w:rsid w:val="00FA406A"/>
    <w:rsid w:val="00FA4D38"/>
    <w:rsid w:val="00FB0DE7"/>
    <w:rsid w:val="00FB16E0"/>
    <w:rsid w:val="00FB213E"/>
    <w:rsid w:val="00FB4547"/>
    <w:rsid w:val="00FB4A89"/>
    <w:rsid w:val="00FB4D72"/>
    <w:rsid w:val="00FB503A"/>
    <w:rsid w:val="00FB516C"/>
    <w:rsid w:val="00FB5A9D"/>
    <w:rsid w:val="00FB7058"/>
    <w:rsid w:val="00FC1DEA"/>
    <w:rsid w:val="00FC5868"/>
    <w:rsid w:val="00FC7071"/>
    <w:rsid w:val="00FC7BEF"/>
    <w:rsid w:val="00FD0236"/>
    <w:rsid w:val="00FD18F4"/>
    <w:rsid w:val="00FD3E3C"/>
    <w:rsid w:val="00FD54DB"/>
    <w:rsid w:val="00FD619F"/>
    <w:rsid w:val="00FD68B3"/>
    <w:rsid w:val="00FD6F02"/>
    <w:rsid w:val="00FD7C48"/>
    <w:rsid w:val="00FE09F0"/>
    <w:rsid w:val="00FE263E"/>
    <w:rsid w:val="00FE3C6C"/>
    <w:rsid w:val="00FE451F"/>
    <w:rsid w:val="00FE4B2D"/>
    <w:rsid w:val="00FE5FD9"/>
    <w:rsid w:val="00FE62C1"/>
    <w:rsid w:val="00FE6F26"/>
    <w:rsid w:val="00FE72EB"/>
    <w:rsid w:val="00FF1A5F"/>
    <w:rsid w:val="00FF579F"/>
    <w:rsid w:val="00FF618E"/>
    <w:rsid w:val="011B277A"/>
    <w:rsid w:val="01200ACA"/>
    <w:rsid w:val="012375FA"/>
    <w:rsid w:val="01290F7E"/>
    <w:rsid w:val="012D1688"/>
    <w:rsid w:val="01461CAA"/>
    <w:rsid w:val="014706D9"/>
    <w:rsid w:val="015422C1"/>
    <w:rsid w:val="015B3559"/>
    <w:rsid w:val="015D1E09"/>
    <w:rsid w:val="015D3F64"/>
    <w:rsid w:val="0179716F"/>
    <w:rsid w:val="0194631B"/>
    <w:rsid w:val="01A61BE6"/>
    <w:rsid w:val="01C4410E"/>
    <w:rsid w:val="01CA1CDE"/>
    <w:rsid w:val="01D6466C"/>
    <w:rsid w:val="01EA5390"/>
    <w:rsid w:val="021249DF"/>
    <w:rsid w:val="022842F2"/>
    <w:rsid w:val="02346E2A"/>
    <w:rsid w:val="02613039"/>
    <w:rsid w:val="02680A93"/>
    <w:rsid w:val="02681256"/>
    <w:rsid w:val="02697903"/>
    <w:rsid w:val="029660FC"/>
    <w:rsid w:val="02B75E8A"/>
    <w:rsid w:val="02B77950"/>
    <w:rsid w:val="02BF1E30"/>
    <w:rsid w:val="02C848FD"/>
    <w:rsid w:val="02CA1054"/>
    <w:rsid w:val="02CA5C73"/>
    <w:rsid w:val="02CF525E"/>
    <w:rsid w:val="02DF1892"/>
    <w:rsid w:val="02DF3456"/>
    <w:rsid w:val="02E31735"/>
    <w:rsid w:val="02F96569"/>
    <w:rsid w:val="032167B8"/>
    <w:rsid w:val="032E3E76"/>
    <w:rsid w:val="0338792E"/>
    <w:rsid w:val="03437920"/>
    <w:rsid w:val="03485512"/>
    <w:rsid w:val="035463F1"/>
    <w:rsid w:val="036208AE"/>
    <w:rsid w:val="03787A27"/>
    <w:rsid w:val="038D16A3"/>
    <w:rsid w:val="03993BA4"/>
    <w:rsid w:val="03B92498"/>
    <w:rsid w:val="03C6212D"/>
    <w:rsid w:val="03D165EE"/>
    <w:rsid w:val="03D64FD6"/>
    <w:rsid w:val="03D70B20"/>
    <w:rsid w:val="03D9346D"/>
    <w:rsid w:val="03DC2BB4"/>
    <w:rsid w:val="03EA7B21"/>
    <w:rsid w:val="04283069"/>
    <w:rsid w:val="04382436"/>
    <w:rsid w:val="044043DC"/>
    <w:rsid w:val="046441B2"/>
    <w:rsid w:val="048E7480"/>
    <w:rsid w:val="049A573D"/>
    <w:rsid w:val="049E59B4"/>
    <w:rsid w:val="04A4283F"/>
    <w:rsid w:val="04A64380"/>
    <w:rsid w:val="04AE3730"/>
    <w:rsid w:val="04C60867"/>
    <w:rsid w:val="04D72A71"/>
    <w:rsid w:val="04FA5829"/>
    <w:rsid w:val="052A2678"/>
    <w:rsid w:val="053A1034"/>
    <w:rsid w:val="055236F8"/>
    <w:rsid w:val="056014EC"/>
    <w:rsid w:val="05802928"/>
    <w:rsid w:val="05813BED"/>
    <w:rsid w:val="05A16D0A"/>
    <w:rsid w:val="05A75BC0"/>
    <w:rsid w:val="05BA211D"/>
    <w:rsid w:val="05CF5F5F"/>
    <w:rsid w:val="05D77483"/>
    <w:rsid w:val="05E11832"/>
    <w:rsid w:val="05F83EAE"/>
    <w:rsid w:val="0634010B"/>
    <w:rsid w:val="063D5962"/>
    <w:rsid w:val="063E7D85"/>
    <w:rsid w:val="064172B1"/>
    <w:rsid w:val="0642670C"/>
    <w:rsid w:val="0667119C"/>
    <w:rsid w:val="0682582D"/>
    <w:rsid w:val="068A316B"/>
    <w:rsid w:val="069420F9"/>
    <w:rsid w:val="06A222AE"/>
    <w:rsid w:val="06A52F07"/>
    <w:rsid w:val="06AF244F"/>
    <w:rsid w:val="06B034D9"/>
    <w:rsid w:val="06B76BA9"/>
    <w:rsid w:val="06BE014E"/>
    <w:rsid w:val="06BF357E"/>
    <w:rsid w:val="06ED7E79"/>
    <w:rsid w:val="06F01E74"/>
    <w:rsid w:val="06FC5985"/>
    <w:rsid w:val="07293586"/>
    <w:rsid w:val="07295285"/>
    <w:rsid w:val="074C2F22"/>
    <w:rsid w:val="07586659"/>
    <w:rsid w:val="07636392"/>
    <w:rsid w:val="07770C56"/>
    <w:rsid w:val="078E24B3"/>
    <w:rsid w:val="0792732F"/>
    <w:rsid w:val="07994B96"/>
    <w:rsid w:val="07AA7A3C"/>
    <w:rsid w:val="07AD118D"/>
    <w:rsid w:val="07DB2CEC"/>
    <w:rsid w:val="07E414E0"/>
    <w:rsid w:val="07E6215E"/>
    <w:rsid w:val="07ED23E6"/>
    <w:rsid w:val="0825771E"/>
    <w:rsid w:val="08355757"/>
    <w:rsid w:val="083640B7"/>
    <w:rsid w:val="0853247B"/>
    <w:rsid w:val="085E017F"/>
    <w:rsid w:val="08716E9D"/>
    <w:rsid w:val="088968DD"/>
    <w:rsid w:val="089C1F6B"/>
    <w:rsid w:val="08A02E88"/>
    <w:rsid w:val="08AA3DDD"/>
    <w:rsid w:val="08E02D4E"/>
    <w:rsid w:val="08E11D0F"/>
    <w:rsid w:val="08E20D7C"/>
    <w:rsid w:val="08EE17E9"/>
    <w:rsid w:val="08FE085E"/>
    <w:rsid w:val="090B5070"/>
    <w:rsid w:val="091156EA"/>
    <w:rsid w:val="09136153"/>
    <w:rsid w:val="092217DD"/>
    <w:rsid w:val="092D66A3"/>
    <w:rsid w:val="09334E76"/>
    <w:rsid w:val="09381FED"/>
    <w:rsid w:val="09385F51"/>
    <w:rsid w:val="09394B7A"/>
    <w:rsid w:val="093A7294"/>
    <w:rsid w:val="093B71F2"/>
    <w:rsid w:val="094A004E"/>
    <w:rsid w:val="094D2D64"/>
    <w:rsid w:val="096E2CB6"/>
    <w:rsid w:val="096F0BD8"/>
    <w:rsid w:val="09812927"/>
    <w:rsid w:val="09A92667"/>
    <w:rsid w:val="09AF3799"/>
    <w:rsid w:val="09B47970"/>
    <w:rsid w:val="09C32791"/>
    <w:rsid w:val="09C32A68"/>
    <w:rsid w:val="09C6113A"/>
    <w:rsid w:val="0A14667A"/>
    <w:rsid w:val="0A15791E"/>
    <w:rsid w:val="0A263993"/>
    <w:rsid w:val="0A2D3AC2"/>
    <w:rsid w:val="0A753466"/>
    <w:rsid w:val="0A8F1D90"/>
    <w:rsid w:val="0A972BF7"/>
    <w:rsid w:val="0A9F0911"/>
    <w:rsid w:val="0AA755DF"/>
    <w:rsid w:val="0AC21C32"/>
    <w:rsid w:val="0ACC0627"/>
    <w:rsid w:val="0B087E7F"/>
    <w:rsid w:val="0B120D44"/>
    <w:rsid w:val="0B291CB1"/>
    <w:rsid w:val="0B3B2B75"/>
    <w:rsid w:val="0B424B21"/>
    <w:rsid w:val="0B8C4E21"/>
    <w:rsid w:val="0B910E05"/>
    <w:rsid w:val="0BA2542A"/>
    <w:rsid w:val="0BBE1ABE"/>
    <w:rsid w:val="0BC018A7"/>
    <w:rsid w:val="0BD27BF6"/>
    <w:rsid w:val="0BD757B7"/>
    <w:rsid w:val="0BE53BA9"/>
    <w:rsid w:val="0BF5082C"/>
    <w:rsid w:val="0BF82869"/>
    <w:rsid w:val="0BFD1761"/>
    <w:rsid w:val="0C177398"/>
    <w:rsid w:val="0C3B3C7D"/>
    <w:rsid w:val="0C56469E"/>
    <w:rsid w:val="0C6110AF"/>
    <w:rsid w:val="0C6778AC"/>
    <w:rsid w:val="0C712995"/>
    <w:rsid w:val="0C713F66"/>
    <w:rsid w:val="0CAA41DC"/>
    <w:rsid w:val="0CAB2EAE"/>
    <w:rsid w:val="0CBC184E"/>
    <w:rsid w:val="0CBD3855"/>
    <w:rsid w:val="0CD45171"/>
    <w:rsid w:val="0CE938C4"/>
    <w:rsid w:val="0CF02344"/>
    <w:rsid w:val="0D1447BF"/>
    <w:rsid w:val="0D1611F7"/>
    <w:rsid w:val="0D184B59"/>
    <w:rsid w:val="0D237764"/>
    <w:rsid w:val="0D2D682D"/>
    <w:rsid w:val="0D527221"/>
    <w:rsid w:val="0D621C7D"/>
    <w:rsid w:val="0D6F24D2"/>
    <w:rsid w:val="0D8D30EE"/>
    <w:rsid w:val="0D930278"/>
    <w:rsid w:val="0DB20C17"/>
    <w:rsid w:val="0E1C22C9"/>
    <w:rsid w:val="0E473A68"/>
    <w:rsid w:val="0E4D4868"/>
    <w:rsid w:val="0E607940"/>
    <w:rsid w:val="0E707C78"/>
    <w:rsid w:val="0E73034D"/>
    <w:rsid w:val="0E7D2A40"/>
    <w:rsid w:val="0EA01A80"/>
    <w:rsid w:val="0EA413DD"/>
    <w:rsid w:val="0ECB3F41"/>
    <w:rsid w:val="0ECF3F4E"/>
    <w:rsid w:val="0F0C791F"/>
    <w:rsid w:val="0F13775A"/>
    <w:rsid w:val="0F1E5984"/>
    <w:rsid w:val="0F272863"/>
    <w:rsid w:val="0F3634EF"/>
    <w:rsid w:val="0F3F1AA3"/>
    <w:rsid w:val="0F5F45FE"/>
    <w:rsid w:val="0F62030C"/>
    <w:rsid w:val="0F791204"/>
    <w:rsid w:val="0F902F82"/>
    <w:rsid w:val="0F9A112B"/>
    <w:rsid w:val="0FA20DEA"/>
    <w:rsid w:val="0FC05E94"/>
    <w:rsid w:val="0FC244D8"/>
    <w:rsid w:val="0FCD16E5"/>
    <w:rsid w:val="0FDA7D83"/>
    <w:rsid w:val="0FE215CC"/>
    <w:rsid w:val="10007BDE"/>
    <w:rsid w:val="1010343F"/>
    <w:rsid w:val="10122D30"/>
    <w:rsid w:val="1026446E"/>
    <w:rsid w:val="102750EC"/>
    <w:rsid w:val="103435D2"/>
    <w:rsid w:val="10387DA1"/>
    <w:rsid w:val="103E56C3"/>
    <w:rsid w:val="105B2393"/>
    <w:rsid w:val="106D2F64"/>
    <w:rsid w:val="107734BE"/>
    <w:rsid w:val="1084447C"/>
    <w:rsid w:val="109202F8"/>
    <w:rsid w:val="10A26FAA"/>
    <w:rsid w:val="10AD0C8E"/>
    <w:rsid w:val="10B63710"/>
    <w:rsid w:val="10BB29C4"/>
    <w:rsid w:val="10C8473D"/>
    <w:rsid w:val="10D02F2A"/>
    <w:rsid w:val="10E0218F"/>
    <w:rsid w:val="10E71EB0"/>
    <w:rsid w:val="10EA1A0B"/>
    <w:rsid w:val="10F10820"/>
    <w:rsid w:val="10F91F06"/>
    <w:rsid w:val="11165294"/>
    <w:rsid w:val="111C2F7A"/>
    <w:rsid w:val="111D7547"/>
    <w:rsid w:val="1123238C"/>
    <w:rsid w:val="11350622"/>
    <w:rsid w:val="1135092D"/>
    <w:rsid w:val="11514A9C"/>
    <w:rsid w:val="11665CA1"/>
    <w:rsid w:val="116A6B7F"/>
    <w:rsid w:val="11971849"/>
    <w:rsid w:val="11A9721D"/>
    <w:rsid w:val="11C9452E"/>
    <w:rsid w:val="11D0732A"/>
    <w:rsid w:val="11DF4762"/>
    <w:rsid w:val="11E077D0"/>
    <w:rsid w:val="121308DB"/>
    <w:rsid w:val="1223418E"/>
    <w:rsid w:val="12267AD6"/>
    <w:rsid w:val="122D02D9"/>
    <w:rsid w:val="122F6E5E"/>
    <w:rsid w:val="123C2DB5"/>
    <w:rsid w:val="126B2BAF"/>
    <w:rsid w:val="12791770"/>
    <w:rsid w:val="1284579A"/>
    <w:rsid w:val="12897D99"/>
    <w:rsid w:val="12BF5678"/>
    <w:rsid w:val="12C44884"/>
    <w:rsid w:val="12E3729E"/>
    <w:rsid w:val="12E43BA2"/>
    <w:rsid w:val="12F824AD"/>
    <w:rsid w:val="13011978"/>
    <w:rsid w:val="13082A7C"/>
    <w:rsid w:val="130C25E4"/>
    <w:rsid w:val="130E124C"/>
    <w:rsid w:val="131077B2"/>
    <w:rsid w:val="13291F68"/>
    <w:rsid w:val="13295A6B"/>
    <w:rsid w:val="133E6D11"/>
    <w:rsid w:val="136658E6"/>
    <w:rsid w:val="136974FA"/>
    <w:rsid w:val="136F285F"/>
    <w:rsid w:val="1378772D"/>
    <w:rsid w:val="137A18D7"/>
    <w:rsid w:val="13951726"/>
    <w:rsid w:val="1397242F"/>
    <w:rsid w:val="139F34CD"/>
    <w:rsid w:val="13AE5449"/>
    <w:rsid w:val="13AF16AB"/>
    <w:rsid w:val="13DD7540"/>
    <w:rsid w:val="13F217DA"/>
    <w:rsid w:val="14043CCF"/>
    <w:rsid w:val="1417538B"/>
    <w:rsid w:val="14190158"/>
    <w:rsid w:val="14332B36"/>
    <w:rsid w:val="14396509"/>
    <w:rsid w:val="14447A8A"/>
    <w:rsid w:val="144E0A71"/>
    <w:rsid w:val="1450037D"/>
    <w:rsid w:val="14602098"/>
    <w:rsid w:val="146D286C"/>
    <w:rsid w:val="146F2E2A"/>
    <w:rsid w:val="14776C9F"/>
    <w:rsid w:val="148425DE"/>
    <w:rsid w:val="14871B07"/>
    <w:rsid w:val="1494521F"/>
    <w:rsid w:val="14A82850"/>
    <w:rsid w:val="14AC175F"/>
    <w:rsid w:val="14C46695"/>
    <w:rsid w:val="14DD2C3C"/>
    <w:rsid w:val="14ED2227"/>
    <w:rsid w:val="15062C64"/>
    <w:rsid w:val="150C68CB"/>
    <w:rsid w:val="15101422"/>
    <w:rsid w:val="15521EFD"/>
    <w:rsid w:val="155C6F40"/>
    <w:rsid w:val="156D4E90"/>
    <w:rsid w:val="15877C46"/>
    <w:rsid w:val="158C5033"/>
    <w:rsid w:val="15B00B29"/>
    <w:rsid w:val="15CC1968"/>
    <w:rsid w:val="15CE68E7"/>
    <w:rsid w:val="15D72CAD"/>
    <w:rsid w:val="15D815ED"/>
    <w:rsid w:val="15E429F7"/>
    <w:rsid w:val="16035375"/>
    <w:rsid w:val="16087E1D"/>
    <w:rsid w:val="160F135E"/>
    <w:rsid w:val="162C08FC"/>
    <w:rsid w:val="162C6AF9"/>
    <w:rsid w:val="16404052"/>
    <w:rsid w:val="164879A0"/>
    <w:rsid w:val="165A15B9"/>
    <w:rsid w:val="16772C39"/>
    <w:rsid w:val="167F3C36"/>
    <w:rsid w:val="1684040D"/>
    <w:rsid w:val="16842F23"/>
    <w:rsid w:val="168F5B01"/>
    <w:rsid w:val="16AB1D95"/>
    <w:rsid w:val="16C057AB"/>
    <w:rsid w:val="16C519FA"/>
    <w:rsid w:val="16DC47E4"/>
    <w:rsid w:val="16E3540A"/>
    <w:rsid w:val="17090292"/>
    <w:rsid w:val="1712246D"/>
    <w:rsid w:val="172B407F"/>
    <w:rsid w:val="172D0183"/>
    <w:rsid w:val="17333FFF"/>
    <w:rsid w:val="173601DE"/>
    <w:rsid w:val="174D31CB"/>
    <w:rsid w:val="17530504"/>
    <w:rsid w:val="176C6877"/>
    <w:rsid w:val="17701D14"/>
    <w:rsid w:val="17735226"/>
    <w:rsid w:val="17A35487"/>
    <w:rsid w:val="17A4103D"/>
    <w:rsid w:val="17A7669C"/>
    <w:rsid w:val="17B1305C"/>
    <w:rsid w:val="17BC6742"/>
    <w:rsid w:val="17CD6C41"/>
    <w:rsid w:val="17D56466"/>
    <w:rsid w:val="17EF52D0"/>
    <w:rsid w:val="18001FEB"/>
    <w:rsid w:val="180052A4"/>
    <w:rsid w:val="1804300D"/>
    <w:rsid w:val="180438B0"/>
    <w:rsid w:val="18124B3A"/>
    <w:rsid w:val="181D30C3"/>
    <w:rsid w:val="182D7E85"/>
    <w:rsid w:val="18354CE3"/>
    <w:rsid w:val="183B4B6A"/>
    <w:rsid w:val="184400AB"/>
    <w:rsid w:val="184441D6"/>
    <w:rsid w:val="18572DE6"/>
    <w:rsid w:val="187C3D68"/>
    <w:rsid w:val="188007D8"/>
    <w:rsid w:val="18842C1C"/>
    <w:rsid w:val="188A1F77"/>
    <w:rsid w:val="189B534A"/>
    <w:rsid w:val="189F624C"/>
    <w:rsid w:val="18A82141"/>
    <w:rsid w:val="18BC031C"/>
    <w:rsid w:val="18BC287C"/>
    <w:rsid w:val="18D61DDC"/>
    <w:rsid w:val="18E11CC6"/>
    <w:rsid w:val="19067AD5"/>
    <w:rsid w:val="192E4C07"/>
    <w:rsid w:val="1930762E"/>
    <w:rsid w:val="195046BD"/>
    <w:rsid w:val="19910B9E"/>
    <w:rsid w:val="19A54BF8"/>
    <w:rsid w:val="19A70E16"/>
    <w:rsid w:val="19A83C76"/>
    <w:rsid w:val="19AC6B64"/>
    <w:rsid w:val="19AE0E9C"/>
    <w:rsid w:val="19B30C70"/>
    <w:rsid w:val="19C028F1"/>
    <w:rsid w:val="19C842F1"/>
    <w:rsid w:val="19DB12DE"/>
    <w:rsid w:val="19DE125E"/>
    <w:rsid w:val="19FC5C2D"/>
    <w:rsid w:val="1A1C66C0"/>
    <w:rsid w:val="1A282310"/>
    <w:rsid w:val="1A313962"/>
    <w:rsid w:val="1A3457A7"/>
    <w:rsid w:val="1A3A4511"/>
    <w:rsid w:val="1A42393B"/>
    <w:rsid w:val="1A4B568D"/>
    <w:rsid w:val="1A547289"/>
    <w:rsid w:val="1A6D627C"/>
    <w:rsid w:val="1A75737D"/>
    <w:rsid w:val="1AAC2AA4"/>
    <w:rsid w:val="1AAC61C9"/>
    <w:rsid w:val="1AAD45DE"/>
    <w:rsid w:val="1AD45597"/>
    <w:rsid w:val="1AF0003A"/>
    <w:rsid w:val="1AF06347"/>
    <w:rsid w:val="1AF66DD7"/>
    <w:rsid w:val="1AFA6C5B"/>
    <w:rsid w:val="1B000330"/>
    <w:rsid w:val="1B046F80"/>
    <w:rsid w:val="1B256122"/>
    <w:rsid w:val="1B2A1051"/>
    <w:rsid w:val="1B2E1135"/>
    <w:rsid w:val="1B3267B5"/>
    <w:rsid w:val="1B40161D"/>
    <w:rsid w:val="1B441859"/>
    <w:rsid w:val="1B524121"/>
    <w:rsid w:val="1B54217F"/>
    <w:rsid w:val="1B547A2B"/>
    <w:rsid w:val="1B633DA2"/>
    <w:rsid w:val="1B6606B1"/>
    <w:rsid w:val="1B7A3E63"/>
    <w:rsid w:val="1B8B0499"/>
    <w:rsid w:val="1B8D1DA7"/>
    <w:rsid w:val="1BAB019B"/>
    <w:rsid w:val="1BAC7975"/>
    <w:rsid w:val="1BAD4B36"/>
    <w:rsid w:val="1BB248D2"/>
    <w:rsid w:val="1BC3547E"/>
    <w:rsid w:val="1BC76F62"/>
    <w:rsid w:val="1BD40EFC"/>
    <w:rsid w:val="1BE31CC9"/>
    <w:rsid w:val="1BE47AD4"/>
    <w:rsid w:val="1C073402"/>
    <w:rsid w:val="1C0F7920"/>
    <w:rsid w:val="1C11441E"/>
    <w:rsid w:val="1C1B0F6D"/>
    <w:rsid w:val="1C4126E9"/>
    <w:rsid w:val="1C462183"/>
    <w:rsid w:val="1C4F709D"/>
    <w:rsid w:val="1C5E7925"/>
    <w:rsid w:val="1C693CE4"/>
    <w:rsid w:val="1C7963E3"/>
    <w:rsid w:val="1C8036FB"/>
    <w:rsid w:val="1CA26FDB"/>
    <w:rsid w:val="1CB01E91"/>
    <w:rsid w:val="1CB33AD0"/>
    <w:rsid w:val="1CBF05F1"/>
    <w:rsid w:val="1CDC1565"/>
    <w:rsid w:val="1CDD504A"/>
    <w:rsid w:val="1CFD070F"/>
    <w:rsid w:val="1D2E6911"/>
    <w:rsid w:val="1D457D4C"/>
    <w:rsid w:val="1D5F6196"/>
    <w:rsid w:val="1D6132A5"/>
    <w:rsid w:val="1D631052"/>
    <w:rsid w:val="1D8E4129"/>
    <w:rsid w:val="1D8E56D5"/>
    <w:rsid w:val="1D9122AD"/>
    <w:rsid w:val="1DA66FC9"/>
    <w:rsid w:val="1DB45DBF"/>
    <w:rsid w:val="1DBC78EF"/>
    <w:rsid w:val="1DD159E2"/>
    <w:rsid w:val="1DF718BD"/>
    <w:rsid w:val="1DFB28D0"/>
    <w:rsid w:val="1E0A26AE"/>
    <w:rsid w:val="1E3D7672"/>
    <w:rsid w:val="1E437E86"/>
    <w:rsid w:val="1E6105BE"/>
    <w:rsid w:val="1E695419"/>
    <w:rsid w:val="1E7A43DA"/>
    <w:rsid w:val="1E8E0351"/>
    <w:rsid w:val="1EA16702"/>
    <w:rsid w:val="1EB1403F"/>
    <w:rsid w:val="1EBE7AE5"/>
    <w:rsid w:val="1EDB6AFD"/>
    <w:rsid w:val="1EDD158D"/>
    <w:rsid w:val="1EFC5836"/>
    <w:rsid w:val="1F070C5D"/>
    <w:rsid w:val="1F07748A"/>
    <w:rsid w:val="1F185E6D"/>
    <w:rsid w:val="1F394C55"/>
    <w:rsid w:val="1F4D3A9D"/>
    <w:rsid w:val="1F6875E6"/>
    <w:rsid w:val="1F7008CC"/>
    <w:rsid w:val="1F713F53"/>
    <w:rsid w:val="1F7E663E"/>
    <w:rsid w:val="1F896D6A"/>
    <w:rsid w:val="1F8D2B3E"/>
    <w:rsid w:val="1FA5430F"/>
    <w:rsid w:val="1FAC1C02"/>
    <w:rsid w:val="1FB72858"/>
    <w:rsid w:val="1FBA17BE"/>
    <w:rsid w:val="1FC3227C"/>
    <w:rsid w:val="1FD27C73"/>
    <w:rsid w:val="1FD955FC"/>
    <w:rsid w:val="1FDF2642"/>
    <w:rsid w:val="1FE7539E"/>
    <w:rsid w:val="1FF02946"/>
    <w:rsid w:val="1FFC12EA"/>
    <w:rsid w:val="201971AD"/>
    <w:rsid w:val="20201F07"/>
    <w:rsid w:val="203C0B25"/>
    <w:rsid w:val="20487A38"/>
    <w:rsid w:val="204B41C7"/>
    <w:rsid w:val="205D1159"/>
    <w:rsid w:val="20671BE0"/>
    <w:rsid w:val="206B7395"/>
    <w:rsid w:val="20713A86"/>
    <w:rsid w:val="20880DD0"/>
    <w:rsid w:val="208B2CFC"/>
    <w:rsid w:val="20947775"/>
    <w:rsid w:val="20963CB8"/>
    <w:rsid w:val="209A5049"/>
    <w:rsid w:val="20A01DF3"/>
    <w:rsid w:val="20A81A1B"/>
    <w:rsid w:val="20AD41C3"/>
    <w:rsid w:val="20B07FB6"/>
    <w:rsid w:val="20B646FB"/>
    <w:rsid w:val="20D07379"/>
    <w:rsid w:val="20DD7274"/>
    <w:rsid w:val="20EC5803"/>
    <w:rsid w:val="210B07A3"/>
    <w:rsid w:val="211647D3"/>
    <w:rsid w:val="211A2E9E"/>
    <w:rsid w:val="21271617"/>
    <w:rsid w:val="212B0D6C"/>
    <w:rsid w:val="213B74B1"/>
    <w:rsid w:val="21404423"/>
    <w:rsid w:val="21425C57"/>
    <w:rsid w:val="215A2310"/>
    <w:rsid w:val="215C2FAE"/>
    <w:rsid w:val="219C3D3D"/>
    <w:rsid w:val="219E1EEC"/>
    <w:rsid w:val="21A3776C"/>
    <w:rsid w:val="21C46D49"/>
    <w:rsid w:val="21C76B8A"/>
    <w:rsid w:val="21CB5C86"/>
    <w:rsid w:val="21DE318A"/>
    <w:rsid w:val="21E024F4"/>
    <w:rsid w:val="21E06D3E"/>
    <w:rsid w:val="21EF5B80"/>
    <w:rsid w:val="21F56CFF"/>
    <w:rsid w:val="21FC3E40"/>
    <w:rsid w:val="220E594E"/>
    <w:rsid w:val="22192627"/>
    <w:rsid w:val="2224432D"/>
    <w:rsid w:val="22290A6E"/>
    <w:rsid w:val="22326065"/>
    <w:rsid w:val="2241059C"/>
    <w:rsid w:val="22431452"/>
    <w:rsid w:val="22434CED"/>
    <w:rsid w:val="2245150D"/>
    <w:rsid w:val="22576990"/>
    <w:rsid w:val="22AF4D3A"/>
    <w:rsid w:val="22BB3EB7"/>
    <w:rsid w:val="22DF35BD"/>
    <w:rsid w:val="22EE5769"/>
    <w:rsid w:val="22EF1C2D"/>
    <w:rsid w:val="22F47480"/>
    <w:rsid w:val="22F563F5"/>
    <w:rsid w:val="2309350F"/>
    <w:rsid w:val="231C5064"/>
    <w:rsid w:val="231E495D"/>
    <w:rsid w:val="232C638A"/>
    <w:rsid w:val="23425E7A"/>
    <w:rsid w:val="239F090A"/>
    <w:rsid w:val="23AA3369"/>
    <w:rsid w:val="23AA6B74"/>
    <w:rsid w:val="23B564F8"/>
    <w:rsid w:val="23B7280F"/>
    <w:rsid w:val="23D01EF0"/>
    <w:rsid w:val="23DE1C48"/>
    <w:rsid w:val="23EB1DF0"/>
    <w:rsid w:val="23F07822"/>
    <w:rsid w:val="240210CD"/>
    <w:rsid w:val="2405104B"/>
    <w:rsid w:val="245D2750"/>
    <w:rsid w:val="246A29E4"/>
    <w:rsid w:val="246D33A3"/>
    <w:rsid w:val="248D05EE"/>
    <w:rsid w:val="24A24B56"/>
    <w:rsid w:val="24A64293"/>
    <w:rsid w:val="24BB682F"/>
    <w:rsid w:val="24BF09F7"/>
    <w:rsid w:val="24CB5B71"/>
    <w:rsid w:val="24CF13EB"/>
    <w:rsid w:val="24D070C4"/>
    <w:rsid w:val="24D60827"/>
    <w:rsid w:val="24DA6891"/>
    <w:rsid w:val="24E974BA"/>
    <w:rsid w:val="24EC52B4"/>
    <w:rsid w:val="24FA7982"/>
    <w:rsid w:val="250261CB"/>
    <w:rsid w:val="251161D5"/>
    <w:rsid w:val="2512514D"/>
    <w:rsid w:val="252B156E"/>
    <w:rsid w:val="252D53FE"/>
    <w:rsid w:val="253F6DAA"/>
    <w:rsid w:val="25511985"/>
    <w:rsid w:val="25740658"/>
    <w:rsid w:val="2575365A"/>
    <w:rsid w:val="25787665"/>
    <w:rsid w:val="257B0F03"/>
    <w:rsid w:val="25987B4D"/>
    <w:rsid w:val="259D7067"/>
    <w:rsid w:val="259E4A89"/>
    <w:rsid w:val="25CA2F29"/>
    <w:rsid w:val="25CA4F55"/>
    <w:rsid w:val="25CD79B1"/>
    <w:rsid w:val="25DB4B18"/>
    <w:rsid w:val="25EC2D81"/>
    <w:rsid w:val="26086100"/>
    <w:rsid w:val="26087C65"/>
    <w:rsid w:val="261F3972"/>
    <w:rsid w:val="262519CF"/>
    <w:rsid w:val="263961BB"/>
    <w:rsid w:val="264F34EB"/>
    <w:rsid w:val="26753EE4"/>
    <w:rsid w:val="267E0CAB"/>
    <w:rsid w:val="269C50D3"/>
    <w:rsid w:val="26A34BB6"/>
    <w:rsid w:val="26B93DA9"/>
    <w:rsid w:val="26E81CEF"/>
    <w:rsid w:val="26F539CC"/>
    <w:rsid w:val="271122B0"/>
    <w:rsid w:val="2711757F"/>
    <w:rsid w:val="27340456"/>
    <w:rsid w:val="274A4AFC"/>
    <w:rsid w:val="27517109"/>
    <w:rsid w:val="275928EF"/>
    <w:rsid w:val="275D65A5"/>
    <w:rsid w:val="2768039A"/>
    <w:rsid w:val="277057A2"/>
    <w:rsid w:val="27735821"/>
    <w:rsid w:val="277420AE"/>
    <w:rsid w:val="277F07BF"/>
    <w:rsid w:val="27851F88"/>
    <w:rsid w:val="27A856B0"/>
    <w:rsid w:val="27AB3D22"/>
    <w:rsid w:val="27B454A0"/>
    <w:rsid w:val="27DA3688"/>
    <w:rsid w:val="27FE0215"/>
    <w:rsid w:val="281C0F13"/>
    <w:rsid w:val="28241CFA"/>
    <w:rsid w:val="283F7031"/>
    <w:rsid w:val="28530EB1"/>
    <w:rsid w:val="28553C8E"/>
    <w:rsid w:val="285553C0"/>
    <w:rsid w:val="28985A0C"/>
    <w:rsid w:val="28A80F57"/>
    <w:rsid w:val="28B516B5"/>
    <w:rsid w:val="28CC03F4"/>
    <w:rsid w:val="28D12A3F"/>
    <w:rsid w:val="28D91C14"/>
    <w:rsid w:val="28E538A1"/>
    <w:rsid w:val="29206EB8"/>
    <w:rsid w:val="294E705B"/>
    <w:rsid w:val="29595666"/>
    <w:rsid w:val="296056EA"/>
    <w:rsid w:val="297C4AEF"/>
    <w:rsid w:val="29851821"/>
    <w:rsid w:val="29874881"/>
    <w:rsid w:val="298903D6"/>
    <w:rsid w:val="2990733E"/>
    <w:rsid w:val="299E070A"/>
    <w:rsid w:val="29AB6F7A"/>
    <w:rsid w:val="29BB34E6"/>
    <w:rsid w:val="29C33DBE"/>
    <w:rsid w:val="29D74E20"/>
    <w:rsid w:val="29E325E0"/>
    <w:rsid w:val="2A0249AB"/>
    <w:rsid w:val="2A0251D7"/>
    <w:rsid w:val="2A1C65C3"/>
    <w:rsid w:val="2A240CA2"/>
    <w:rsid w:val="2A245105"/>
    <w:rsid w:val="2A291622"/>
    <w:rsid w:val="2A2D5960"/>
    <w:rsid w:val="2A452503"/>
    <w:rsid w:val="2A5F2B4C"/>
    <w:rsid w:val="2A7D127A"/>
    <w:rsid w:val="2A894D36"/>
    <w:rsid w:val="2A9A1E2C"/>
    <w:rsid w:val="2AB7478C"/>
    <w:rsid w:val="2ABE3473"/>
    <w:rsid w:val="2AC43A89"/>
    <w:rsid w:val="2ADE7A5F"/>
    <w:rsid w:val="2AE412F9"/>
    <w:rsid w:val="2AEC1E40"/>
    <w:rsid w:val="2AFB5A87"/>
    <w:rsid w:val="2B0133A6"/>
    <w:rsid w:val="2B0A0D5F"/>
    <w:rsid w:val="2B0B4C25"/>
    <w:rsid w:val="2B1D195C"/>
    <w:rsid w:val="2B1F11CE"/>
    <w:rsid w:val="2B2C3D40"/>
    <w:rsid w:val="2B3446C6"/>
    <w:rsid w:val="2B5D3E56"/>
    <w:rsid w:val="2B6014C9"/>
    <w:rsid w:val="2B616AC5"/>
    <w:rsid w:val="2B74267D"/>
    <w:rsid w:val="2B866E8E"/>
    <w:rsid w:val="2B8E113F"/>
    <w:rsid w:val="2BA174C8"/>
    <w:rsid w:val="2BA936A8"/>
    <w:rsid w:val="2BB314EE"/>
    <w:rsid w:val="2BB31CB7"/>
    <w:rsid w:val="2BDE7848"/>
    <w:rsid w:val="2BDF7086"/>
    <w:rsid w:val="2BE11CDE"/>
    <w:rsid w:val="2BFA49CF"/>
    <w:rsid w:val="2C011DBD"/>
    <w:rsid w:val="2C1B06B1"/>
    <w:rsid w:val="2C315A5A"/>
    <w:rsid w:val="2C4368D7"/>
    <w:rsid w:val="2C497C25"/>
    <w:rsid w:val="2C4B1C25"/>
    <w:rsid w:val="2C55010D"/>
    <w:rsid w:val="2C662116"/>
    <w:rsid w:val="2C7B1AEF"/>
    <w:rsid w:val="2C8A6422"/>
    <w:rsid w:val="2C92793F"/>
    <w:rsid w:val="2C9F0D7E"/>
    <w:rsid w:val="2CA40EE5"/>
    <w:rsid w:val="2CC156B5"/>
    <w:rsid w:val="2CD631DF"/>
    <w:rsid w:val="2CDF5D7E"/>
    <w:rsid w:val="2D067C4C"/>
    <w:rsid w:val="2D07221A"/>
    <w:rsid w:val="2D08355B"/>
    <w:rsid w:val="2D350C91"/>
    <w:rsid w:val="2D4135F1"/>
    <w:rsid w:val="2D5029C5"/>
    <w:rsid w:val="2D9E56F5"/>
    <w:rsid w:val="2DA743CC"/>
    <w:rsid w:val="2DA776DC"/>
    <w:rsid w:val="2DB9081B"/>
    <w:rsid w:val="2DDD6BFF"/>
    <w:rsid w:val="2DDF78BC"/>
    <w:rsid w:val="2DE0049D"/>
    <w:rsid w:val="2DF2421D"/>
    <w:rsid w:val="2E0C01D1"/>
    <w:rsid w:val="2E1F154B"/>
    <w:rsid w:val="2E201960"/>
    <w:rsid w:val="2E342923"/>
    <w:rsid w:val="2E4A28D6"/>
    <w:rsid w:val="2E4E4BFE"/>
    <w:rsid w:val="2E667F96"/>
    <w:rsid w:val="2E804F16"/>
    <w:rsid w:val="2E8226AB"/>
    <w:rsid w:val="2E967E42"/>
    <w:rsid w:val="2EC67A1B"/>
    <w:rsid w:val="2ED64D17"/>
    <w:rsid w:val="2EDA21A9"/>
    <w:rsid w:val="2F16253C"/>
    <w:rsid w:val="2F175EEA"/>
    <w:rsid w:val="2F2047B7"/>
    <w:rsid w:val="2F250638"/>
    <w:rsid w:val="2F2A082E"/>
    <w:rsid w:val="2F5C786B"/>
    <w:rsid w:val="2F6E7DDF"/>
    <w:rsid w:val="2F994708"/>
    <w:rsid w:val="2F9E6293"/>
    <w:rsid w:val="2FBA4F68"/>
    <w:rsid w:val="2FCA1612"/>
    <w:rsid w:val="2FD01C8A"/>
    <w:rsid w:val="2FD065E6"/>
    <w:rsid w:val="2FD96870"/>
    <w:rsid w:val="2FF00E50"/>
    <w:rsid w:val="2FF266E5"/>
    <w:rsid w:val="2FF30C5B"/>
    <w:rsid w:val="2FFF3A59"/>
    <w:rsid w:val="30044626"/>
    <w:rsid w:val="300833B1"/>
    <w:rsid w:val="300D74DD"/>
    <w:rsid w:val="30204730"/>
    <w:rsid w:val="302A4E2F"/>
    <w:rsid w:val="303A214D"/>
    <w:rsid w:val="304C0225"/>
    <w:rsid w:val="30580BC9"/>
    <w:rsid w:val="306D63B7"/>
    <w:rsid w:val="30700B11"/>
    <w:rsid w:val="3081342E"/>
    <w:rsid w:val="309702F4"/>
    <w:rsid w:val="309B4B1C"/>
    <w:rsid w:val="30A90A41"/>
    <w:rsid w:val="30DC7749"/>
    <w:rsid w:val="30EF6F47"/>
    <w:rsid w:val="30F0202F"/>
    <w:rsid w:val="30F2476F"/>
    <w:rsid w:val="30FC739C"/>
    <w:rsid w:val="30FD168D"/>
    <w:rsid w:val="311E2ED7"/>
    <w:rsid w:val="312A6D95"/>
    <w:rsid w:val="313A08C2"/>
    <w:rsid w:val="315619EE"/>
    <w:rsid w:val="315C449C"/>
    <w:rsid w:val="31852005"/>
    <w:rsid w:val="31886C6C"/>
    <w:rsid w:val="319E148A"/>
    <w:rsid w:val="31B82709"/>
    <w:rsid w:val="31C854D0"/>
    <w:rsid w:val="31D05482"/>
    <w:rsid w:val="31D24707"/>
    <w:rsid w:val="31D51EA8"/>
    <w:rsid w:val="31DE1711"/>
    <w:rsid w:val="31F14A27"/>
    <w:rsid w:val="31F938DC"/>
    <w:rsid w:val="32005E73"/>
    <w:rsid w:val="321E7364"/>
    <w:rsid w:val="322466AC"/>
    <w:rsid w:val="323C7F83"/>
    <w:rsid w:val="32400B34"/>
    <w:rsid w:val="32540C9A"/>
    <w:rsid w:val="325C051C"/>
    <w:rsid w:val="32734433"/>
    <w:rsid w:val="328C3A47"/>
    <w:rsid w:val="328C6723"/>
    <w:rsid w:val="329E6876"/>
    <w:rsid w:val="32A95784"/>
    <w:rsid w:val="32C35874"/>
    <w:rsid w:val="32CD6D20"/>
    <w:rsid w:val="32D96431"/>
    <w:rsid w:val="32DF0D23"/>
    <w:rsid w:val="32EF160C"/>
    <w:rsid w:val="32FE2484"/>
    <w:rsid w:val="33103D3A"/>
    <w:rsid w:val="3319275D"/>
    <w:rsid w:val="331E68F0"/>
    <w:rsid w:val="332474D1"/>
    <w:rsid w:val="333015F2"/>
    <w:rsid w:val="33380434"/>
    <w:rsid w:val="334B6320"/>
    <w:rsid w:val="33521F5E"/>
    <w:rsid w:val="335934B2"/>
    <w:rsid w:val="33806E96"/>
    <w:rsid w:val="33812B59"/>
    <w:rsid w:val="33825273"/>
    <w:rsid w:val="33882415"/>
    <w:rsid w:val="338E62A6"/>
    <w:rsid w:val="33B128F9"/>
    <w:rsid w:val="33BC2F6E"/>
    <w:rsid w:val="33D83F8D"/>
    <w:rsid w:val="33D934D4"/>
    <w:rsid w:val="33FE2F6A"/>
    <w:rsid w:val="33FF6B03"/>
    <w:rsid w:val="340E07E5"/>
    <w:rsid w:val="34235BF7"/>
    <w:rsid w:val="342E7B02"/>
    <w:rsid w:val="342F3579"/>
    <w:rsid w:val="344A041F"/>
    <w:rsid w:val="34510E4C"/>
    <w:rsid w:val="345733B3"/>
    <w:rsid w:val="346040E6"/>
    <w:rsid w:val="34623B74"/>
    <w:rsid w:val="347A2111"/>
    <w:rsid w:val="348E321C"/>
    <w:rsid w:val="34993E2F"/>
    <w:rsid w:val="349D0E96"/>
    <w:rsid w:val="34AE6BFF"/>
    <w:rsid w:val="34CB54BF"/>
    <w:rsid w:val="34CB78A0"/>
    <w:rsid w:val="34DB5BD3"/>
    <w:rsid w:val="34E651F8"/>
    <w:rsid w:val="34F47AD9"/>
    <w:rsid w:val="350A11BB"/>
    <w:rsid w:val="350B6670"/>
    <w:rsid w:val="353E6772"/>
    <w:rsid w:val="35453E03"/>
    <w:rsid w:val="3552554F"/>
    <w:rsid w:val="355F2D79"/>
    <w:rsid w:val="35781AC2"/>
    <w:rsid w:val="358C5FA8"/>
    <w:rsid w:val="359A59C3"/>
    <w:rsid w:val="35A30C19"/>
    <w:rsid w:val="35A3490F"/>
    <w:rsid w:val="35A525D9"/>
    <w:rsid w:val="35A63A3C"/>
    <w:rsid w:val="35AE62B5"/>
    <w:rsid w:val="35C15DF1"/>
    <w:rsid w:val="35C754D3"/>
    <w:rsid w:val="35DA600B"/>
    <w:rsid w:val="35DE051F"/>
    <w:rsid w:val="35DE52C2"/>
    <w:rsid w:val="35E211CE"/>
    <w:rsid w:val="35EA25D4"/>
    <w:rsid w:val="35EB3E83"/>
    <w:rsid w:val="35ED16EB"/>
    <w:rsid w:val="35F34D58"/>
    <w:rsid w:val="35F5030F"/>
    <w:rsid w:val="35F83609"/>
    <w:rsid w:val="36074A7F"/>
    <w:rsid w:val="360B5E87"/>
    <w:rsid w:val="360F369C"/>
    <w:rsid w:val="361E1B63"/>
    <w:rsid w:val="36277AC3"/>
    <w:rsid w:val="36392B39"/>
    <w:rsid w:val="363C7BB1"/>
    <w:rsid w:val="364A7726"/>
    <w:rsid w:val="36523FA8"/>
    <w:rsid w:val="36563B79"/>
    <w:rsid w:val="366F1CA2"/>
    <w:rsid w:val="367E12E6"/>
    <w:rsid w:val="36923549"/>
    <w:rsid w:val="369722A4"/>
    <w:rsid w:val="36A51B6A"/>
    <w:rsid w:val="36A55AEE"/>
    <w:rsid w:val="36A55DE0"/>
    <w:rsid w:val="36B2744A"/>
    <w:rsid w:val="36B36661"/>
    <w:rsid w:val="36B75FBF"/>
    <w:rsid w:val="36BB5604"/>
    <w:rsid w:val="36BD0C45"/>
    <w:rsid w:val="36BF2D09"/>
    <w:rsid w:val="36E13C5D"/>
    <w:rsid w:val="37157582"/>
    <w:rsid w:val="372A369B"/>
    <w:rsid w:val="372B5E2E"/>
    <w:rsid w:val="37363B63"/>
    <w:rsid w:val="373643C9"/>
    <w:rsid w:val="375657DC"/>
    <w:rsid w:val="376C68FE"/>
    <w:rsid w:val="377A48C2"/>
    <w:rsid w:val="37993AD8"/>
    <w:rsid w:val="3799660A"/>
    <w:rsid w:val="37AE6E32"/>
    <w:rsid w:val="37D22CE2"/>
    <w:rsid w:val="37E00298"/>
    <w:rsid w:val="37E312B6"/>
    <w:rsid w:val="37E9160B"/>
    <w:rsid w:val="37F57497"/>
    <w:rsid w:val="37FD592D"/>
    <w:rsid w:val="381E22EE"/>
    <w:rsid w:val="381F7804"/>
    <w:rsid w:val="382676CE"/>
    <w:rsid w:val="38312359"/>
    <w:rsid w:val="384D3002"/>
    <w:rsid w:val="385C5BD0"/>
    <w:rsid w:val="387D1AA8"/>
    <w:rsid w:val="387E5030"/>
    <w:rsid w:val="38832151"/>
    <w:rsid w:val="388D565C"/>
    <w:rsid w:val="38AB2CA1"/>
    <w:rsid w:val="38B302F9"/>
    <w:rsid w:val="38D04086"/>
    <w:rsid w:val="38DE675E"/>
    <w:rsid w:val="38E7387E"/>
    <w:rsid w:val="38F12CD3"/>
    <w:rsid w:val="38F94775"/>
    <w:rsid w:val="39136775"/>
    <w:rsid w:val="391A124C"/>
    <w:rsid w:val="3929156E"/>
    <w:rsid w:val="392971ED"/>
    <w:rsid w:val="392A081F"/>
    <w:rsid w:val="39325651"/>
    <w:rsid w:val="39331403"/>
    <w:rsid w:val="393F49A3"/>
    <w:rsid w:val="3942200C"/>
    <w:rsid w:val="396F531B"/>
    <w:rsid w:val="39882115"/>
    <w:rsid w:val="39A567E1"/>
    <w:rsid w:val="39A91DF3"/>
    <w:rsid w:val="39BF470A"/>
    <w:rsid w:val="39FF7A3B"/>
    <w:rsid w:val="3A193B03"/>
    <w:rsid w:val="3A287454"/>
    <w:rsid w:val="3A3C4DF1"/>
    <w:rsid w:val="3A540881"/>
    <w:rsid w:val="3A661559"/>
    <w:rsid w:val="3A6855F4"/>
    <w:rsid w:val="3A850071"/>
    <w:rsid w:val="3A872856"/>
    <w:rsid w:val="3AA86AE2"/>
    <w:rsid w:val="3AAA34FC"/>
    <w:rsid w:val="3ACA6342"/>
    <w:rsid w:val="3ACC319B"/>
    <w:rsid w:val="3ADC721B"/>
    <w:rsid w:val="3ADF26B3"/>
    <w:rsid w:val="3ADF5F31"/>
    <w:rsid w:val="3AFC2F5D"/>
    <w:rsid w:val="3B0A6386"/>
    <w:rsid w:val="3B152347"/>
    <w:rsid w:val="3B3763D1"/>
    <w:rsid w:val="3B561ECE"/>
    <w:rsid w:val="3B5F2B36"/>
    <w:rsid w:val="3B716C00"/>
    <w:rsid w:val="3BAF6B93"/>
    <w:rsid w:val="3BB6480A"/>
    <w:rsid w:val="3BBA3EBD"/>
    <w:rsid w:val="3BC72E96"/>
    <w:rsid w:val="3BC9096F"/>
    <w:rsid w:val="3BCE4F4F"/>
    <w:rsid w:val="3BEA1007"/>
    <w:rsid w:val="3BF36505"/>
    <w:rsid w:val="3BF75330"/>
    <w:rsid w:val="3BF84C04"/>
    <w:rsid w:val="3BFF2985"/>
    <w:rsid w:val="3C027831"/>
    <w:rsid w:val="3C060031"/>
    <w:rsid w:val="3C0C7D80"/>
    <w:rsid w:val="3C232307"/>
    <w:rsid w:val="3C2F6E1E"/>
    <w:rsid w:val="3C300459"/>
    <w:rsid w:val="3C31550F"/>
    <w:rsid w:val="3C3F59BB"/>
    <w:rsid w:val="3C3F7F9B"/>
    <w:rsid w:val="3C4F64BA"/>
    <w:rsid w:val="3C5877A6"/>
    <w:rsid w:val="3C667602"/>
    <w:rsid w:val="3C6B6C4F"/>
    <w:rsid w:val="3C8126B5"/>
    <w:rsid w:val="3C9E129F"/>
    <w:rsid w:val="3CA02F73"/>
    <w:rsid w:val="3CAD4859"/>
    <w:rsid w:val="3CCE15C7"/>
    <w:rsid w:val="3CDA245A"/>
    <w:rsid w:val="3CE413CA"/>
    <w:rsid w:val="3CF72E60"/>
    <w:rsid w:val="3CFD4328"/>
    <w:rsid w:val="3D026C12"/>
    <w:rsid w:val="3D1E06B7"/>
    <w:rsid w:val="3D1E410E"/>
    <w:rsid w:val="3D241DF6"/>
    <w:rsid w:val="3D430B38"/>
    <w:rsid w:val="3D4F3E78"/>
    <w:rsid w:val="3D665E3D"/>
    <w:rsid w:val="3D7129EF"/>
    <w:rsid w:val="3DA45043"/>
    <w:rsid w:val="3DC6585A"/>
    <w:rsid w:val="3DD87C62"/>
    <w:rsid w:val="3DE12BE7"/>
    <w:rsid w:val="3DF00453"/>
    <w:rsid w:val="3E023640"/>
    <w:rsid w:val="3E0F737B"/>
    <w:rsid w:val="3E1366DC"/>
    <w:rsid w:val="3E1F7F27"/>
    <w:rsid w:val="3E2712AB"/>
    <w:rsid w:val="3E351006"/>
    <w:rsid w:val="3E7D762B"/>
    <w:rsid w:val="3E8B33C1"/>
    <w:rsid w:val="3E8D5AD7"/>
    <w:rsid w:val="3EA47D60"/>
    <w:rsid w:val="3EB923E1"/>
    <w:rsid w:val="3EC11DEC"/>
    <w:rsid w:val="3EDA0523"/>
    <w:rsid w:val="3EE84AD5"/>
    <w:rsid w:val="3EE85942"/>
    <w:rsid w:val="3EF248A6"/>
    <w:rsid w:val="3F067DCC"/>
    <w:rsid w:val="3F1D4DD0"/>
    <w:rsid w:val="3F335E82"/>
    <w:rsid w:val="3F3C1038"/>
    <w:rsid w:val="3F435507"/>
    <w:rsid w:val="3F441A7D"/>
    <w:rsid w:val="3F463268"/>
    <w:rsid w:val="3F48496D"/>
    <w:rsid w:val="3F5174B6"/>
    <w:rsid w:val="3F534A4D"/>
    <w:rsid w:val="3F5F61C7"/>
    <w:rsid w:val="3F664F5A"/>
    <w:rsid w:val="3F697A3E"/>
    <w:rsid w:val="3F6D1C21"/>
    <w:rsid w:val="3F813644"/>
    <w:rsid w:val="3F8B3517"/>
    <w:rsid w:val="3FAC3F6F"/>
    <w:rsid w:val="3FB51576"/>
    <w:rsid w:val="3FCE45FA"/>
    <w:rsid w:val="3FD8621B"/>
    <w:rsid w:val="3FDC4CAC"/>
    <w:rsid w:val="3FE43E1D"/>
    <w:rsid w:val="3FF37E0C"/>
    <w:rsid w:val="3FF83425"/>
    <w:rsid w:val="4022565A"/>
    <w:rsid w:val="40241831"/>
    <w:rsid w:val="402B0959"/>
    <w:rsid w:val="4031451E"/>
    <w:rsid w:val="40490456"/>
    <w:rsid w:val="4053653B"/>
    <w:rsid w:val="40611AD1"/>
    <w:rsid w:val="406642E3"/>
    <w:rsid w:val="407A6407"/>
    <w:rsid w:val="40874E95"/>
    <w:rsid w:val="40994F3A"/>
    <w:rsid w:val="409D7F9B"/>
    <w:rsid w:val="40AC4BEA"/>
    <w:rsid w:val="40B82BB4"/>
    <w:rsid w:val="40BC6C4D"/>
    <w:rsid w:val="40BD3180"/>
    <w:rsid w:val="410257C3"/>
    <w:rsid w:val="410744AB"/>
    <w:rsid w:val="41104F89"/>
    <w:rsid w:val="41137300"/>
    <w:rsid w:val="411946C9"/>
    <w:rsid w:val="411A3E54"/>
    <w:rsid w:val="4126586E"/>
    <w:rsid w:val="41684A21"/>
    <w:rsid w:val="417443E2"/>
    <w:rsid w:val="41924CE0"/>
    <w:rsid w:val="419F6759"/>
    <w:rsid w:val="41A51AFA"/>
    <w:rsid w:val="41BB4F9E"/>
    <w:rsid w:val="41D932F0"/>
    <w:rsid w:val="41E179CD"/>
    <w:rsid w:val="41E974C9"/>
    <w:rsid w:val="41EF77EF"/>
    <w:rsid w:val="4200449D"/>
    <w:rsid w:val="421F6FBB"/>
    <w:rsid w:val="423A3BCC"/>
    <w:rsid w:val="42470693"/>
    <w:rsid w:val="424E57D2"/>
    <w:rsid w:val="425D4D4F"/>
    <w:rsid w:val="426B71E0"/>
    <w:rsid w:val="429332B5"/>
    <w:rsid w:val="429F44C8"/>
    <w:rsid w:val="42AD0B36"/>
    <w:rsid w:val="42B26C49"/>
    <w:rsid w:val="42C76898"/>
    <w:rsid w:val="42CD2946"/>
    <w:rsid w:val="42D969D7"/>
    <w:rsid w:val="42E8378D"/>
    <w:rsid w:val="42F508F3"/>
    <w:rsid w:val="42F70516"/>
    <w:rsid w:val="43110EB7"/>
    <w:rsid w:val="431549F4"/>
    <w:rsid w:val="4318152E"/>
    <w:rsid w:val="43291AF6"/>
    <w:rsid w:val="43326C4D"/>
    <w:rsid w:val="433A6FE6"/>
    <w:rsid w:val="433B2D6F"/>
    <w:rsid w:val="433C6067"/>
    <w:rsid w:val="43480868"/>
    <w:rsid w:val="4350713C"/>
    <w:rsid w:val="43586A8F"/>
    <w:rsid w:val="436653E0"/>
    <w:rsid w:val="436B5777"/>
    <w:rsid w:val="436B7559"/>
    <w:rsid w:val="439732EB"/>
    <w:rsid w:val="43A46C72"/>
    <w:rsid w:val="43A9146B"/>
    <w:rsid w:val="43BA332C"/>
    <w:rsid w:val="43BB7C60"/>
    <w:rsid w:val="43C4431A"/>
    <w:rsid w:val="43E13F58"/>
    <w:rsid w:val="43E31D6D"/>
    <w:rsid w:val="43F349C9"/>
    <w:rsid w:val="43F83687"/>
    <w:rsid w:val="43FD36FF"/>
    <w:rsid w:val="440C749E"/>
    <w:rsid w:val="441C7509"/>
    <w:rsid w:val="44336BFB"/>
    <w:rsid w:val="4435440B"/>
    <w:rsid w:val="444454E4"/>
    <w:rsid w:val="4444657D"/>
    <w:rsid w:val="444A6E62"/>
    <w:rsid w:val="44510ED9"/>
    <w:rsid w:val="44580D74"/>
    <w:rsid w:val="446F7A2D"/>
    <w:rsid w:val="448751CB"/>
    <w:rsid w:val="448B5126"/>
    <w:rsid w:val="44AB1977"/>
    <w:rsid w:val="44B951CC"/>
    <w:rsid w:val="44C2744E"/>
    <w:rsid w:val="44CD14E0"/>
    <w:rsid w:val="44DC663D"/>
    <w:rsid w:val="44E03889"/>
    <w:rsid w:val="44E80CBF"/>
    <w:rsid w:val="44E93D00"/>
    <w:rsid w:val="44EF3B5A"/>
    <w:rsid w:val="44F20B0B"/>
    <w:rsid w:val="452E5F4C"/>
    <w:rsid w:val="4537448E"/>
    <w:rsid w:val="453F0F59"/>
    <w:rsid w:val="4542075B"/>
    <w:rsid w:val="45592BB7"/>
    <w:rsid w:val="45612018"/>
    <w:rsid w:val="456A589F"/>
    <w:rsid w:val="45837F57"/>
    <w:rsid w:val="458946E9"/>
    <w:rsid w:val="45914AD1"/>
    <w:rsid w:val="45A47C0E"/>
    <w:rsid w:val="45D108FB"/>
    <w:rsid w:val="45D537D2"/>
    <w:rsid w:val="45E1148D"/>
    <w:rsid w:val="45E944F0"/>
    <w:rsid w:val="45FB0738"/>
    <w:rsid w:val="460511BA"/>
    <w:rsid w:val="46091D57"/>
    <w:rsid w:val="463F5A9C"/>
    <w:rsid w:val="4641045E"/>
    <w:rsid w:val="464D7AD2"/>
    <w:rsid w:val="465313B5"/>
    <w:rsid w:val="46577FD6"/>
    <w:rsid w:val="467F04C8"/>
    <w:rsid w:val="469F284C"/>
    <w:rsid w:val="46AD75F6"/>
    <w:rsid w:val="46CA196C"/>
    <w:rsid w:val="46D955A7"/>
    <w:rsid w:val="46E00FD3"/>
    <w:rsid w:val="46E20621"/>
    <w:rsid w:val="46FD0DE1"/>
    <w:rsid w:val="47133957"/>
    <w:rsid w:val="474E31FD"/>
    <w:rsid w:val="4757775B"/>
    <w:rsid w:val="47775A74"/>
    <w:rsid w:val="47891225"/>
    <w:rsid w:val="478B2001"/>
    <w:rsid w:val="47A07E0C"/>
    <w:rsid w:val="47A910C7"/>
    <w:rsid w:val="47CB16F1"/>
    <w:rsid w:val="47E439F9"/>
    <w:rsid w:val="47E65681"/>
    <w:rsid w:val="47FB5EEE"/>
    <w:rsid w:val="47FC0820"/>
    <w:rsid w:val="480C0CAC"/>
    <w:rsid w:val="480C2900"/>
    <w:rsid w:val="480D7024"/>
    <w:rsid w:val="4818364C"/>
    <w:rsid w:val="482C16B8"/>
    <w:rsid w:val="4830426A"/>
    <w:rsid w:val="48515DC8"/>
    <w:rsid w:val="4870272E"/>
    <w:rsid w:val="489615F0"/>
    <w:rsid w:val="48A00AFD"/>
    <w:rsid w:val="48B37ADC"/>
    <w:rsid w:val="48B42397"/>
    <w:rsid w:val="48B50F97"/>
    <w:rsid w:val="48B5598F"/>
    <w:rsid w:val="48C02B11"/>
    <w:rsid w:val="48C61F79"/>
    <w:rsid w:val="48CF1D57"/>
    <w:rsid w:val="48DF5182"/>
    <w:rsid w:val="48F23922"/>
    <w:rsid w:val="48F564A7"/>
    <w:rsid w:val="48F652D4"/>
    <w:rsid w:val="490B241B"/>
    <w:rsid w:val="490C6374"/>
    <w:rsid w:val="493B365D"/>
    <w:rsid w:val="49487857"/>
    <w:rsid w:val="49511A3A"/>
    <w:rsid w:val="49660706"/>
    <w:rsid w:val="49672E96"/>
    <w:rsid w:val="496854E9"/>
    <w:rsid w:val="49694109"/>
    <w:rsid w:val="496E10BA"/>
    <w:rsid w:val="49747A71"/>
    <w:rsid w:val="498B543D"/>
    <w:rsid w:val="4996378E"/>
    <w:rsid w:val="49A76C47"/>
    <w:rsid w:val="49BD1603"/>
    <w:rsid w:val="49BF310B"/>
    <w:rsid w:val="49C0270A"/>
    <w:rsid w:val="49D60DF1"/>
    <w:rsid w:val="49DC7715"/>
    <w:rsid w:val="49DE0CD3"/>
    <w:rsid w:val="49F40CE0"/>
    <w:rsid w:val="4A023139"/>
    <w:rsid w:val="4A0C4C3E"/>
    <w:rsid w:val="4A263586"/>
    <w:rsid w:val="4A2C50E1"/>
    <w:rsid w:val="4A3E412A"/>
    <w:rsid w:val="4A4134C4"/>
    <w:rsid w:val="4A544985"/>
    <w:rsid w:val="4A6948AC"/>
    <w:rsid w:val="4A7B576F"/>
    <w:rsid w:val="4A851BAB"/>
    <w:rsid w:val="4A873338"/>
    <w:rsid w:val="4A9249EF"/>
    <w:rsid w:val="4AAF210A"/>
    <w:rsid w:val="4ADC21B7"/>
    <w:rsid w:val="4AF561A9"/>
    <w:rsid w:val="4B14769A"/>
    <w:rsid w:val="4B176121"/>
    <w:rsid w:val="4B2B0B52"/>
    <w:rsid w:val="4B3F3247"/>
    <w:rsid w:val="4B471359"/>
    <w:rsid w:val="4B4A4494"/>
    <w:rsid w:val="4B4F64CB"/>
    <w:rsid w:val="4B53052D"/>
    <w:rsid w:val="4B580ECF"/>
    <w:rsid w:val="4B722731"/>
    <w:rsid w:val="4B732F2E"/>
    <w:rsid w:val="4B856B5C"/>
    <w:rsid w:val="4B985684"/>
    <w:rsid w:val="4BAF7FC1"/>
    <w:rsid w:val="4BBB2BA4"/>
    <w:rsid w:val="4BEA3186"/>
    <w:rsid w:val="4BFF40AA"/>
    <w:rsid w:val="4C072155"/>
    <w:rsid w:val="4C0A2348"/>
    <w:rsid w:val="4C0B7D32"/>
    <w:rsid w:val="4C4A0649"/>
    <w:rsid w:val="4C785F21"/>
    <w:rsid w:val="4C7E5ECA"/>
    <w:rsid w:val="4C876AA5"/>
    <w:rsid w:val="4C8E4935"/>
    <w:rsid w:val="4C9722A4"/>
    <w:rsid w:val="4CAA019C"/>
    <w:rsid w:val="4CB1256E"/>
    <w:rsid w:val="4CEC4E25"/>
    <w:rsid w:val="4CF23240"/>
    <w:rsid w:val="4CF26446"/>
    <w:rsid w:val="4CFA4A2F"/>
    <w:rsid w:val="4D010BB1"/>
    <w:rsid w:val="4D0E00FB"/>
    <w:rsid w:val="4D176606"/>
    <w:rsid w:val="4D477799"/>
    <w:rsid w:val="4D4E4225"/>
    <w:rsid w:val="4D5748E3"/>
    <w:rsid w:val="4D6F39E6"/>
    <w:rsid w:val="4D743F0E"/>
    <w:rsid w:val="4D9C1453"/>
    <w:rsid w:val="4DA65774"/>
    <w:rsid w:val="4DBC6AF1"/>
    <w:rsid w:val="4DCE1C69"/>
    <w:rsid w:val="4DD27253"/>
    <w:rsid w:val="4DDD70B3"/>
    <w:rsid w:val="4DEC4FB0"/>
    <w:rsid w:val="4DF10BDE"/>
    <w:rsid w:val="4E075D8A"/>
    <w:rsid w:val="4E0A1F7E"/>
    <w:rsid w:val="4E124779"/>
    <w:rsid w:val="4E516B22"/>
    <w:rsid w:val="4E726A98"/>
    <w:rsid w:val="4E747AA8"/>
    <w:rsid w:val="4E813805"/>
    <w:rsid w:val="4E8F4436"/>
    <w:rsid w:val="4E9702AC"/>
    <w:rsid w:val="4E981972"/>
    <w:rsid w:val="4EBB3F9B"/>
    <w:rsid w:val="4EC00FAD"/>
    <w:rsid w:val="4EC63D8E"/>
    <w:rsid w:val="4ED11CB1"/>
    <w:rsid w:val="4EEB1AFF"/>
    <w:rsid w:val="4EFE2CBB"/>
    <w:rsid w:val="4F095116"/>
    <w:rsid w:val="4F4C1394"/>
    <w:rsid w:val="4F4F2C3C"/>
    <w:rsid w:val="4F5D1BF5"/>
    <w:rsid w:val="4F71212E"/>
    <w:rsid w:val="4F777E10"/>
    <w:rsid w:val="4F79327A"/>
    <w:rsid w:val="4F9843DC"/>
    <w:rsid w:val="4F986201"/>
    <w:rsid w:val="4FBA411C"/>
    <w:rsid w:val="4FC62A8C"/>
    <w:rsid w:val="4FDD5087"/>
    <w:rsid w:val="4FE20F0D"/>
    <w:rsid w:val="4FE51552"/>
    <w:rsid w:val="4FF5172F"/>
    <w:rsid w:val="4FF87BA2"/>
    <w:rsid w:val="4FFA5294"/>
    <w:rsid w:val="500C759A"/>
    <w:rsid w:val="500E5916"/>
    <w:rsid w:val="503404A9"/>
    <w:rsid w:val="5045626C"/>
    <w:rsid w:val="50504C4B"/>
    <w:rsid w:val="505F0588"/>
    <w:rsid w:val="507C59AC"/>
    <w:rsid w:val="50805964"/>
    <w:rsid w:val="50983310"/>
    <w:rsid w:val="509A7751"/>
    <w:rsid w:val="509C6E7C"/>
    <w:rsid w:val="50A123A2"/>
    <w:rsid w:val="50AB15F2"/>
    <w:rsid w:val="50C0349B"/>
    <w:rsid w:val="50C966C3"/>
    <w:rsid w:val="50CE1B34"/>
    <w:rsid w:val="50D15CF8"/>
    <w:rsid w:val="50FD27AE"/>
    <w:rsid w:val="510548EF"/>
    <w:rsid w:val="510F6820"/>
    <w:rsid w:val="51102D13"/>
    <w:rsid w:val="51134F78"/>
    <w:rsid w:val="51167B81"/>
    <w:rsid w:val="5123084B"/>
    <w:rsid w:val="51233E47"/>
    <w:rsid w:val="51394026"/>
    <w:rsid w:val="51590C41"/>
    <w:rsid w:val="515C4FC4"/>
    <w:rsid w:val="51610889"/>
    <w:rsid w:val="5162104E"/>
    <w:rsid w:val="517A37C5"/>
    <w:rsid w:val="518D5599"/>
    <w:rsid w:val="519877BB"/>
    <w:rsid w:val="51AA3367"/>
    <w:rsid w:val="51B8492B"/>
    <w:rsid w:val="51C770FB"/>
    <w:rsid w:val="51E54DC6"/>
    <w:rsid w:val="51F3293E"/>
    <w:rsid w:val="51FA2F72"/>
    <w:rsid w:val="52057D65"/>
    <w:rsid w:val="520C6973"/>
    <w:rsid w:val="5217531C"/>
    <w:rsid w:val="52182B09"/>
    <w:rsid w:val="521A36CE"/>
    <w:rsid w:val="5234712B"/>
    <w:rsid w:val="523A4625"/>
    <w:rsid w:val="525D235B"/>
    <w:rsid w:val="525F1C70"/>
    <w:rsid w:val="525F631B"/>
    <w:rsid w:val="52741030"/>
    <w:rsid w:val="52754DA9"/>
    <w:rsid w:val="527B1AD2"/>
    <w:rsid w:val="52EC1F74"/>
    <w:rsid w:val="52F91575"/>
    <w:rsid w:val="531C6FD2"/>
    <w:rsid w:val="53211EB9"/>
    <w:rsid w:val="53213410"/>
    <w:rsid w:val="53394028"/>
    <w:rsid w:val="534501EE"/>
    <w:rsid w:val="534E27B1"/>
    <w:rsid w:val="534E5803"/>
    <w:rsid w:val="535A6478"/>
    <w:rsid w:val="535B6D97"/>
    <w:rsid w:val="536F4228"/>
    <w:rsid w:val="537A3091"/>
    <w:rsid w:val="537B5D87"/>
    <w:rsid w:val="53937294"/>
    <w:rsid w:val="53963FE6"/>
    <w:rsid w:val="539A6875"/>
    <w:rsid w:val="53A039CC"/>
    <w:rsid w:val="53A1505A"/>
    <w:rsid w:val="53AF597A"/>
    <w:rsid w:val="53CF606B"/>
    <w:rsid w:val="53D64F65"/>
    <w:rsid w:val="53E04E54"/>
    <w:rsid w:val="53F1045F"/>
    <w:rsid w:val="53FB7482"/>
    <w:rsid w:val="54063E08"/>
    <w:rsid w:val="54066AC0"/>
    <w:rsid w:val="54195201"/>
    <w:rsid w:val="541A7502"/>
    <w:rsid w:val="542B57BD"/>
    <w:rsid w:val="542E45C7"/>
    <w:rsid w:val="543437E8"/>
    <w:rsid w:val="54484BF0"/>
    <w:rsid w:val="544F7ABB"/>
    <w:rsid w:val="54566FE8"/>
    <w:rsid w:val="545A1CB4"/>
    <w:rsid w:val="547E3E59"/>
    <w:rsid w:val="54977258"/>
    <w:rsid w:val="54980C95"/>
    <w:rsid w:val="54AA2CDB"/>
    <w:rsid w:val="54B470DE"/>
    <w:rsid w:val="54C43717"/>
    <w:rsid w:val="54CD4A28"/>
    <w:rsid w:val="54DA7145"/>
    <w:rsid w:val="54DC10C5"/>
    <w:rsid w:val="54E30F12"/>
    <w:rsid w:val="54F73313"/>
    <w:rsid w:val="54F7402E"/>
    <w:rsid w:val="54F80955"/>
    <w:rsid w:val="54FB3921"/>
    <w:rsid w:val="55216B22"/>
    <w:rsid w:val="55262E97"/>
    <w:rsid w:val="554C5C73"/>
    <w:rsid w:val="555170A7"/>
    <w:rsid w:val="555D4090"/>
    <w:rsid w:val="556F0636"/>
    <w:rsid w:val="55726D96"/>
    <w:rsid w:val="557D5727"/>
    <w:rsid w:val="5587536D"/>
    <w:rsid w:val="559B174B"/>
    <w:rsid w:val="55A51501"/>
    <w:rsid w:val="55AE3E0A"/>
    <w:rsid w:val="55AE559C"/>
    <w:rsid w:val="55B7767B"/>
    <w:rsid w:val="55B81234"/>
    <w:rsid w:val="55C85872"/>
    <w:rsid w:val="55CE0CF4"/>
    <w:rsid w:val="55EA5A50"/>
    <w:rsid w:val="55EF57E2"/>
    <w:rsid w:val="561F25E1"/>
    <w:rsid w:val="563805C7"/>
    <w:rsid w:val="5652713D"/>
    <w:rsid w:val="566B599E"/>
    <w:rsid w:val="566F2CD2"/>
    <w:rsid w:val="56A54C43"/>
    <w:rsid w:val="56AA1B26"/>
    <w:rsid w:val="56AF67AD"/>
    <w:rsid w:val="56B22A9C"/>
    <w:rsid w:val="56C3273D"/>
    <w:rsid w:val="56CA0C52"/>
    <w:rsid w:val="56CE1B3B"/>
    <w:rsid w:val="56E021B3"/>
    <w:rsid w:val="57193F55"/>
    <w:rsid w:val="57224F0D"/>
    <w:rsid w:val="57236B81"/>
    <w:rsid w:val="572C6429"/>
    <w:rsid w:val="573A794D"/>
    <w:rsid w:val="57622442"/>
    <w:rsid w:val="576948B0"/>
    <w:rsid w:val="57792F37"/>
    <w:rsid w:val="5787620A"/>
    <w:rsid w:val="578C4726"/>
    <w:rsid w:val="57A96041"/>
    <w:rsid w:val="57B72A76"/>
    <w:rsid w:val="57C3426C"/>
    <w:rsid w:val="57CE1F93"/>
    <w:rsid w:val="57E15C79"/>
    <w:rsid w:val="57EC776F"/>
    <w:rsid w:val="57FF13C3"/>
    <w:rsid w:val="5801241D"/>
    <w:rsid w:val="580B20D7"/>
    <w:rsid w:val="58142598"/>
    <w:rsid w:val="58242BB1"/>
    <w:rsid w:val="58535244"/>
    <w:rsid w:val="588743D1"/>
    <w:rsid w:val="5887701A"/>
    <w:rsid w:val="5896670C"/>
    <w:rsid w:val="58974460"/>
    <w:rsid w:val="58A556C9"/>
    <w:rsid w:val="58AD457A"/>
    <w:rsid w:val="58BB00A5"/>
    <w:rsid w:val="58C7267A"/>
    <w:rsid w:val="58E72928"/>
    <w:rsid w:val="58EC1BA5"/>
    <w:rsid w:val="58EF14C3"/>
    <w:rsid w:val="59431A98"/>
    <w:rsid w:val="594C0774"/>
    <w:rsid w:val="595446F3"/>
    <w:rsid w:val="59640F51"/>
    <w:rsid w:val="59657925"/>
    <w:rsid w:val="596827D0"/>
    <w:rsid w:val="59684D1F"/>
    <w:rsid w:val="596A60F9"/>
    <w:rsid w:val="59806C4E"/>
    <w:rsid w:val="5984268E"/>
    <w:rsid w:val="59984347"/>
    <w:rsid w:val="59A355C5"/>
    <w:rsid w:val="59B5268C"/>
    <w:rsid w:val="59C0439F"/>
    <w:rsid w:val="59C6656A"/>
    <w:rsid w:val="59CB7209"/>
    <w:rsid w:val="59E06FAB"/>
    <w:rsid w:val="59EC40DF"/>
    <w:rsid w:val="59F11CAF"/>
    <w:rsid w:val="5A0E5D14"/>
    <w:rsid w:val="5A107CBE"/>
    <w:rsid w:val="5A1629CD"/>
    <w:rsid w:val="5A471C08"/>
    <w:rsid w:val="5A596CDA"/>
    <w:rsid w:val="5A6E2809"/>
    <w:rsid w:val="5A74657A"/>
    <w:rsid w:val="5A8B6F17"/>
    <w:rsid w:val="5AA6345B"/>
    <w:rsid w:val="5ABE2233"/>
    <w:rsid w:val="5AC60BB6"/>
    <w:rsid w:val="5ACA75CA"/>
    <w:rsid w:val="5ACE5056"/>
    <w:rsid w:val="5AE2261F"/>
    <w:rsid w:val="5AF42EB8"/>
    <w:rsid w:val="5B0A3EFC"/>
    <w:rsid w:val="5B1433B1"/>
    <w:rsid w:val="5B17546C"/>
    <w:rsid w:val="5B2540C1"/>
    <w:rsid w:val="5B277E36"/>
    <w:rsid w:val="5B391AA7"/>
    <w:rsid w:val="5B3E042E"/>
    <w:rsid w:val="5B423D09"/>
    <w:rsid w:val="5B503CA4"/>
    <w:rsid w:val="5B5640D3"/>
    <w:rsid w:val="5B766D04"/>
    <w:rsid w:val="5B7E082A"/>
    <w:rsid w:val="5B8843F7"/>
    <w:rsid w:val="5B9479C3"/>
    <w:rsid w:val="5BAC546F"/>
    <w:rsid w:val="5BDF5D95"/>
    <w:rsid w:val="5BEA374B"/>
    <w:rsid w:val="5BFE7528"/>
    <w:rsid w:val="5C003935"/>
    <w:rsid w:val="5C0C257E"/>
    <w:rsid w:val="5C0E718C"/>
    <w:rsid w:val="5C1A46B7"/>
    <w:rsid w:val="5C2138C7"/>
    <w:rsid w:val="5C4035E0"/>
    <w:rsid w:val="5C456B88"/>
    <w:rsid w:val="5C46575E"/>
    <w:rsid w:val="5C5E2044"/>
    <w:rsid w:val="5C6000DC"/>
    <w:rsid w:val="5C6914DA"/>
    <w:rsid w:val="5CAD1D45"/>
    <w:rsid w:val="5CB94DD6"/>
    <w:rsid w:val="5CBA1D36"/>
    <w:rsid w:val="5CBE2FE5"/>
    <w:rsid w:val="5CC12488"/>
    <w:rsid w:val="5CC82D6C"/>
    <w:rsid w:val="5CCB3E7D"/>
    <w:rsid w:val="5D012C19"/>
    <w:rsid w:val="5D0268CF"/>
    <w:rsid w:val="5D030703"/>
    <w:rsid w:val="5D0E2D34"/>
    <w:rsid w:val="5D3D64C3"/>
    <w:rsid w:val="5D591E4C"/>
    <w:rsid w:val="5D68056A"/>
    <w:rsid w:val="5D746389"/>
    <w:rsid w:val="5D747BFB"/>
    <w:rsid w:val="5D767473"/>
    <w:rsid w:val="5D783617"/>
    <w:rsid w:val="5D8F4F70"/>
    <w:rsid w:val="5DA71EED"/>
    <w:rsid w:val="5DBF3174"/>
    <w:rsid w:val="5DCA244C"/>
    <w:rsid w:val="5DD7273A"/>
    <w:rsid w:val="5DE50903"/>
    <w:rsid w:val="5DF115E0"/>
    <w:rsid w:val="5E0B3AC1"/>
    <w:rsid w:val="5E0C27AA"/>
    <w:rsid w:val="5E101BDD"/>
    <w:rsid w:val="5E2467F1"/>
    <w:rsid w:val="5E5701C7"/>
    <w:rsid w:val="5E5F56F4"/>
    <w:rsid w:val="5E5F664B"/>
    <w:rsid w:val="5E833DD4"/>
    <w:rsid w:val="5E8B4CDA"/>
    <w:rsid w:val="5E8B55BF"/>
    <w:rsid w:val="5E9725FA"/>
    <w:rsid w:val="5EAE1B77"/>
    <w:rsid w:val="5EB558FD"/>
    <w:rsid w:val="5EDB481E"/>
    <w:rsid w:val="5EFD23AE"/>
    <w:rsid w:val="5EFF7020"/>
    <w:rsid w:val="5F020903"/>
    <w:rsid w:val="5F1A2B43"/>
    <w:rsid w:val="5F3523CE"/>
    <w:rsid w:val="5F443B39"/>
    <w:rsid w:val="5F860C73"/>
    <w:rsid w:val="5FA27196"/>
    <w:rsid w:val="5FA840C8"/>
    <w:rsid w:val="5FAD406B"/>
    <w:rsid w:val="5FAE3015"/>
    <w:rsid w:val="5FB837BB"/>
    <w:rsid w:val="5FC6558C"/>
    <w:rsid w:val="5FF10709"/>
    <w:rsid w:val="5FFA497D"/>
    <w:rsid w:val="600314A1"/>
    <w:rsid w:val="601C5F42"/>
    <w:rsid w:val="6032311E"/>
    <w:rsid w:val="6052193C"/>
    <w:rsid w:val="6052760D"/>
    <w:rsid w:val="60561F07"/>
    <w:rsid w:val="605B3B6D"/>
    <w:rsid w:val="609676D1"/>
    <w:rsid w:val="60984177"/>
    <w:rsid w:val="60A717B0"/>
    <w:rsid w:val="60B0460D"/>
    <w:rsid w:val="60C54708"/>
    <w:rsid w:val="60CC405A"/>
    <w:rsid w:val="60CE4002"/>
    <w:rsid w:val="60E2520F"/>
    <w:rsid w:val="61132A66"/>
    <w:rsid w:val="611A0FF5"/>
    <w:rsid w:val="611F2AAF"/>
    <w:rsid w:val="614150CD"/>
    <w:rsid w:val="61624EAD"/>
    <w:rsid w:val="61804E70"/>
    <w:rsid w:val="61815E79"/>
    <w:rsid w:val="61945001"/>
    <w:rsid w:val="6196551D"/>
    <w:rsid w:val="619A0388"/>
    <w:rsid w:val="61A763C8"/>
    <w:rsid w:val="61CD42B9"/>
    <w:rsid w:val="61E215D8"/>
    <w:rsid w:val="61F00A74"/>
    <w:rsid w:val="62037B7F"/>
    <w:rsid w:val="620E6240"/>
    <w:rsid w:val="62154056"/>
    <w:rsid w:val="621B3775"/>
    <w:rsid w:val="6225685F"/>
    <w:rsid w:val="62364782"/>
    <w:rsid w:val="624502F4"/>
    <w:rsid w:val="624B1D15"/>
    <w:rsid w:val="624E0F87"/>
    <w:rsid w:val="627F76A3"/>
    <w:rsid w:val="628047F7"/>
    <w:rsid w:val="628A21AA"/>
    <w:rsid w:val="629372B1"/>
    <w:rsid w:val="62A3109C"/>
    <w:rsid w:val="62A96C11"/>
    <w:rsid w:val="62AE1CFD"/>
    <w:rsid w:val="62B1604D"/>
    <w:rsid w:val="62BE30A2"/>
    <w:rsid w:val="62D0427D"/>
    <w:rsid w:val="62D95CBB"/>
    <w:rsid w:val="62EA458F"/>
    <w:rsid w:val="62F6339C"/>
    <w:rsid w:val="62F75879"/>
    <w:rsid w:val="630F5986"/>
    <w:rsid w:val="631D152C"/>
    <w:rsid w:val="633402E0"/>
    <w:rsid w:val="634560D1"/>
    <w:rsid w:val="635B58C4"/>
    <w:rsid w:val="635B760E"/>
    <w:rsid w:val="636B7B0E"/>
    <w:rsid w:val="63754B40"/>
    <w:rsid w:val="637B1AF3"/>
    <w:rsid w:val="637C7D45"/>
    <w:rsid w:val="638D53AC"/>
    <w:rsid w:val="6394356A"/>
    <w:rsid w:val="639C5DE9"/>
    <w:rsid w:val="63A8399A"/>
    <w:rsid w:val="63B23B01"/>
    <w:rsid w:val="63B47A5B"/>
    <w:rsid w:val="63B813BC"/>
    <w:rsid w:val="63B94D45"/>
    <w:rsid w:val="63BB7DF8"/>
    <w:rsid w:val="63C61B2C"/>
    <w:rsid w:val="63D032F7"/>
    <w:rsid w:val="63D14AB0"/>
    <w:rsid w:val="63D40BE9"/>
    <w:rsid w:val="63EA52B0"/>
    <w:rsid w:val="63EB1615"/>
    <w:rsid w:val="63F02D22"/>
    <w:rsid w:val="63F820F5"/>
    <w:rsid w:val="63F97104"/>
    <w:rsid w:val="63F97D8C"/>
    <w:rsid w:val="6408210D"/>
    <w:rsid w:val="64102431"/>
    <w:rsid w:val="64234664"/>
    <w:rsid w:val="643A631C"/>
    <w:rsid w:val="643E1650"/>
    <w:rsid w:val="64435DA9"/>
    <w:rsid w:val="645B4232"/>
    <w:rsid w:val="64926A60"/>
    <w:rsid w:val="64A5243A"/>
    <w:rsid w:val="64A66CA1"/>
    <w:rsid w:val="64D03A24"/>
    <w:rsid w:val="64F531DE"/>
    <w:rsid w:val="6521458A"/>
    <w:rsid w:val="65373578"/>
    <w:rsid w:val="653A3177"/>
    <w:rsid w:val="653E34F1"/>
    <w:rsid w:val="65473CFD"/>
    <w:rsid w:val="65A90B99"/>
    <w:rsid w:val="65AB02BB"/>
    <w:rsid w:val="65BF0A9A"/>
    <w:rsid w:val="65D42EF3"/>
    <w:rsid w:val="65FB24BF"/>
    <w:rsid w:val="65FE507B"/>
    <w:rsid w:val="660472A5"/>
    <w:rsid w:val="66252916"/>
    <w:rsid w:val="663D04FB"/>
    <w:rsid w:val="66426F7F"/>
    <w:rsid w:val="664D6AA2"/>
    <w:rsid w:val="665965C5"/>
    <w:rsid w:val="669771BE"/>
    <w:rsid w:val="66AE1D6C"/>
    <w:rsid w:val="66B0294F"/>
    <w:rsid w:val="66B84C3B"/>
    <w:rsid w:val="66C60727"/>
    <w:rsid w:val="66CA19C2"/>
    <w:rsid w:val="66E33E0D"/>
    <w:rsid w:val="66F61BBC"/>
    <w:rsid w:val="66F679F3"/>
    <w:rsid w:val="66F733F3"/>
    <w:rsid w:val="671F124A"/>
    <w:rsid w:val="67257FA5"/>
    <w:rsid w:val="672A7AB8"/>
    <w:rsid w:val="67427E11"/>
    <w:rsid w:val="67474C6D"/>
    <w:rsid w:val="674D3D6A"/>
    <w:rsid w:val="675E59B4"/>
    <w:rsid w:val="677A33C6"/>
    <w:rsid w:val="67993512"/>
    <w:rsid w:val="67BA5CB3"/>
    <w:rsid w:val="67BD2FCE"/>
    <w:rsid w:val="67C22B84"/>
    <w:rsid w:val="67C868FC"/>
    <w:rsid w:val="67C94E79"/>
    <w:rsid w:val="67EA5181"/>
    <w:rsid w:val="67EC3539"/>
    <w:rsid w:val="67EC5AA4"/>
    <w:rsid w:val="67F70CAD"/>
    <w:rsid w:val="680E0785"/>
    <w:rsid w:val="68154C77"/>
    <w:rsid w:val="681F6961"/>
    <w:rsid w:val="684D090E"/>
    <w:rsid w:val="68610A2F"/>
    <w:rsid w:val="68653735"/>
    <w:rsid w:val="686E573A"/>
    <w:rsid w:val="687B539D"/>
    <w:rsid w:val="68805514"/>
    <w:rsid w:val="68A62C6B"/>
    <w:rsid w:val="68A6612F"/>
    <w:rsid w:val="68B247C9"/>
    <w:rsid w:val="68BB31CB"/>
    <w:rsid w:val="68CE5508"/>
    <w:rsid w:val="68F744D5"/>
    <w:rsid w:val="68F91E38"/>
    <w:rsid w:val="6910093A"/>
    <w:rsid w:val="69194288"/>
    <w:rsid w:val="691E30C9"/>
    <w:rsid w:val="692D07C0"/>
    <w:rsid w:val="69316E2F"/>
    <w:rsid w:val="69381A6B"/>
    <w:rsid w:val="693A44B1"/>
    <w:rsid w:val="694E2071"/>
    <w:rsid w:val="696F3429"/>
    <w:rsid w:val="69766163"/>
    <w:rsid w:val="697A3B33"/>
    <w:rsid w:val="697E7653"/>
    <w:rsid w:val="6980418F"/>
    <w:rsid w:val="698523E1"/>
    <w:rsid w:val="698A0CE2"/>
    <w:rsid w:val="698B323F"/>
    <w:rsid w:val="69950046"/>
    <w:rsid w:val="69977471"/>
    <w:rsid w:val="699C4779"/>
    <w:rsid w:val="69A025C4"/>
    <w:rsid w:val="69A44A90"/>
    <w:rsid w:val="69AC6EAA"/>
    <w:rsid w:val="69BC0511"/>
    <w:rsid w:val="69BD1AD4"/>
    <w:rsid w:val="69C07C4F"/>
    <w:rsid w:val="69C9443A"/>
    <w:rsid w:val="69CB37D4"/>
    <w:rsid w:val="69D44760"/>
    <w:rsid w:val="69DD3FD2"/>
    <w:rsid w:val="69E703F8"/>
    <w:rsid w:val="69F81E9A"/>
    <w:rsid w:val="69FB4757"/>
    <w:rsid w:val="6A0B6864"/>
    <w:rsid w:val="6A1313D2"/>
    <w:rsid w:val="6A163ACB"/>
    <w:rsid w:val="6A1A02B8"/>
    <w:rsid w:val="6A1B7F2E"/>
    <w:rsid w:val="6A330F73"/>
    <w:rsid w:val="6A520EC7"/>
    <w:rsid w:val="6A577E85"/>
    <w:rsid w:val="6A585A81"/>
    <w:rsid w:val="6A7120AE"/>
    <w:rsid w:val="6A724D40"/>
    <w:rsid w:val="6A792B40"/>
    <w:rsid w:val="6A87045C"/>
    <w:rsid w:val="6AAA163C"/>
    <w:rsid w:val="6ACB14FA"/>
    <w:rsid w:val="6AD70C93"/>
    <w:rsid w:val="6AED1B45"/>
    <w:rsid w:val="6AF75C96"/>
    <w:rsid w:val="6AF87E20"/>
    <w:rsid w:val="6B036F9E"/>
    <w:rsid w:val="6B070A2D"/>
    <w:rsid w:val="6B0923F3"/>
    <w:rsid w:val="6B2E6B8B"/>
    <w:rsid w:val="6B322639"/>
    <w:rsid w:val="6B6656FA"/>
    <w:rsid w:val="6B7C3FBC"/>
    <w:rsid w:val="6B981E66"/>
    <w:rsid w:val="6BAE0739"/>
    <w:rsid w:val="6BBB5DAF"/>
    <w:rsid w:val="6BC83873"/>
    <w:rsid w:val="6BCC5E30"/>
    <w:rsid w:val="6BE566A3"/>
    <w:rsid w:val="6C0E2B2E"/>
    <w:rsid w:val="6C181BE1"/>
    <w:rsid w:val="6C332E72"/>
    <w:rsid w:val="6C337BCC"/>
    <w:rsid w:val="6C4471D8"/>
    <w:rsid w:val="6C636C38"/>
    <w:rsid w:val="6C67078F"/>
    <w:rsid w:val="6C715FA2"/>
    <w:rsid w:val="6C745289"/>
    <w:rsid w:val="6C891725"/>
    <w:rsid w:val="6C8A3472"/>
    <w:rsid w:val="6CB618FA"/>
    <w:rsid w:val="6CB97B51"/>
    <w:rsid w:val="6CBA59CB"/>
    <w:rsid w:val="6CCB287F"/>
    <w:rsid w:val="6CCF7983"/>
    <w:rsid w:val="6CE90717"/>
    <w:rsid w:val="6CF0518A"/>
    <w:rsid w:val="6CF32486"/>
    <w:rsid w:val="6CF7043C"/>
    <w:rsid w:val="6D1B7D70"/>
    <w:rsid w:val="6D1E68A9"/>
    <w:rsid w:val="6D2C27DC"/>
    <w:rsid w:val="6D34444E"/>
    <w:rsid w:val="6D5B09CB"/>
    <w:rsid w:val="6D91792C"/>
    <w:rsid w:val="6D9E77C3"/>
    <w:rsid w:val="6DB34098"/>
    <w:rsid w:val="6DB545B6"/>
    <w:rsid w:val="6DCB7BD2"/>
    <w:rsid w:val="6DD00DC1"/>
    <w:rsid w:val="6DD85B26"/>
    <w:rsid w:val="6DDA2238"/>
    <w:rsid w:val="6DDC63F3"/>
    <w:rsid w:val="6DE02FB4"/>
    <w:rsid w:val="6DFD2F3B"/>
    <w:rsid w:val="6E260EBA"/>
    <w:rsid w:val="6E386BB7"/>
    <w:rsid w:val="6E514CED"/>
    <w:rsid w:val="6E5F00A3"/>
    <w:rsid w:val="6E601042"/>
    <w:rsid w:val="6E7B33CA"/>
    <w:rsid w:val="6E8E5568"/>
    <w:rsid w:val="6E943872"/>
    <w:rsid w:val="6EA939B8"/>
    <w:rsid w:val="6EAB5982"/>
    <w:rsid w:val="6EB563D5"/>
    <w:rsid w:val="6ED81B58"/>
    <w:rsid w:val="6ED92677"/>
    <w:rsid w:val="6EDE4F6C"/>
    <w:rsid w:val="6EE50E53"/>
    <w:rsid w:val="6F052909"/>
    <w:rsid w:val="6F187715"/>
    <w:rsid w:val="6F225983"/>
    <w:rsid w:val="6F283514"/>
    <w:rsid w:val="6F315BAC"/>
    <w:rsid w:val="6F32790E"/>
    <w:rsid w:val="6F524FDC"/>
    <w:rsid w:val="6F557E46"/>
    <w:rsid w:val="6F6C53B2"/>
    <w:rsid w:val="6F734C92"/>
    <w:rsid w:val="6F88033D"/>
    <w:rsid w:val="6F985D36"/>
    <w:rsid w:val="6F9B3A6C"/>
    <w:rsid w:val="6FAF2132"/>
    <w:rsid w:val="6FB75FF1"/>
    <w:rsid w:val="6FB90D04"/>
    <w:rsid w:val="6FD63548"/>
    <w:rsid w:val="6FDC5069"/>
    <w:rsid w:val="6FE95FD5"/>
    <w:rsid w:val="6FEF5D43"/>
    <w:rsid w:val="6FFC5590"/>
    <w:rsid w:val="70076F26"/>
    <w:rsid w:val="701B36CC"/>
    <w:rsid w:val="701D4466"/>
    <w:rsid w:val="70283568"/>
    <w:rsid w:val="704A2307"/>
    <w:rsid w:val="705C1149"/>
    <w:rsid w:val="706D1DD0"/>
    <w:rsid w:val="7079658F"/>
    <w:rsid w:val="7085282D"/>
    <w:rsid w:val="70856B87"/>
    <w:rsid w:val="708C49F2"/>
    <w:rsid w:val="709010D6"/>
    <w:rsid w:val="70A42689"/>
    <w:rsid w:val="70A620EE"/>
    <w:rsid w:val="70A70F1E"/>
    <w:rsid w:val="70CB230C"/>
    <w:rsid w:val="70CB2889"/>
    <w:rsid w:val="70CF652C"/>
    <w:rsid w:val="70D435F4"/>
    <w:rsid w:val="70D527EE"/>
    <w:rsid w:val="70DA42FD"/>
    <w:rsid w:val="70DF09F6"/>
    <w:rsid w:val="711279E6"/>
    <w:rsid w:val="71184E25"/>
    <w:rsid w:val="712431FA"/>
    <w:rsid w:val="712437CA"/>
    <w:rsid w:val="712C5ABF"/>
    <w:rsid w:val="713E7F7D"/>
    <w:rsid w:val="714A7FB3"/>
    <w:rsid w:val="715B5300"/>
    <w:rsid w:val="716A44DC"/>
    <w:rsid w:val="717C4494"/>
    <w:rsid w:val="717D7A04"/>
    <w:rsid w:val="719046CF"/>
    <w:rsid w:val="71A41941"/>
    <w:rsid w:val="71AD78E3"/>
    <w:rsid w:val="71B00C8F"/>
    <w:rsid w:val="71B8230B"/>
    <w:rsid w:val="71BC66B1"/>
    <w:rsid w:val="71D27F8A"/>
    <w:rsid w:val="71E1307B"/>
    <w:rsid w:val="71E40182"/>
    <w:rsid w:val="71E73175"/>
    <w:rsid w:val="72124643"/>
    <w:rsid w:val="72187959"/>
    <w:rsid w:val="72553024"/>
    <w:rsid w:val="7255675B"/>
    <w:rsid w:val="725E0CC4"/>
    <w:rsid w:val="72726E0C"/>
    <w:rsid w:val="72827352"/>
    <w:rsid w:val="72867EC4"/>
    <w:rsid w:val="72C15CD3"/>
    <w:rsid w:val="72E35F03"/>
    <w:rsid w:val="72E53207"/>
    <w:rsid w:val="72F010D2"/>
    <w:rsid w:val="73027474"/>
    <w:rsid w:val="730A1D09"/>
    <w:rsid w:val="73122968"/>
    <w:rsid w:val="731D4E50"/>
    <w:rsid w:val="731F5D5E"/>
    <w:rsid w:val="73375A36"/>
    <w:rsid w:val="7355410F"/>
    <w:rsid w:val="73572BFD"/>
    <w:rsid w:val="735A4DF1"/>
    <w:rsid w:val="736F6F5C"/>
    <w:rsid w:val="73722F12"/>
    <w:rsid w:val="73790825"/>
    <w:rsid w:val="73895FD2"/>
    <w:rsid w:val="73911760"/>
    <w:rsid w:val="739120DF"/>
    <w:rsid w:val="739452C2"/>
    <w:rsid w:val="739538AE"/>
    <w:rsid w:val="73A870A4"/>
    <w:rsid w:val="73AC0778"/>
    <w:rsid w:val="73B317D5"/>
    <w:rsid w:val="73B9724A"/>
    <w:rsid w:val="73BB6668"/>
    <w:rsid w:val="73C51AD5"/>
    <w:rsid w:val="73D16C5C"/>
    <w:rsid w:val="73F1197F"/>
    <w:rsid w:val="740B15E7"/>
    <w:rsid w:val="740C736A"/>
    <w:rsid w:val="74175970"/>
    <w:rsid w:val="741E793C"/>
    <w:rsid w:val="74314522"/>
    <w:rsid w:val="74363F40"/>
    <w:rsid w:val="743722C7"/>
    <w:rsid w:val="74373814"/>
    <w:rsid w:val="7444118B"/>
    <w:rsid w:val="745E3944"/>
    <w:rsid w:val="746777B5"/>
    <w:rsid w:val="7470006C"/>
    <w:rsid w:val="748220CA"/>
    <w:rsid w:val="74827185"/>
    <w:rsid w:val="74855DD6"/>
    <w:rsid w:val="74917649"/>
    <w:rsid w:val="74923DA0"/>
    <w:rsid w:val="74AD7F8A"/>
    <w:rsid w:val="74BC2C75"/>
    <w:rsid w:val="74CD6472"/>
    <w:rsid w:val="74D26A6C"/>
    <w:rsid w:val="74F07405"/>
    <w:rsid w:val="750F5996"/>
    <w:rsid w:val="75100625"/>
    <w:rsid w:val="75135818"/>
    <w:rsid w:val="75377F70"/>
    <w:rsid w:val="75412AC2"/>
    <w:rsid w:val="754206C3"/>
    <w:rsid w:val="755D265B"/>
    <w:rsid w:val="75630FC9"/>
    <w:rsid w:val="756A4CB5"/>
    <w:rsid w:val="756B7C19"/>
    <w:rsid w:val="756E3266"/>
    <w:rsid w:val="756E5FD2"/>
    <w:rsid w:val="758F05DE"/>
    <w:rsid w:val="75901566"/>
    <w:rsid w:val="75936615"/>
    <w:rsid w:val="7596618A"/>
    <w:rsid w:val="75A740EB"/>
    <w:rsid w:val="75BF037E"/>
    <w:rsid w:val="75CC3749"/>
    <w:rsid w:val="75CF1CBB"/>
    <w:rsid w:val="75CF65E9"/>
    <w:rsid w:val="75D31551"/>
    <w:rsid w:val="75D82220"/>
    <w:rsid w:val="760F1807"/>
    <w:rsid w:val="7635099D"/>
    <w:rsid w:val="76493ABD"/>
    <w:rsid w:val="765A62D6"/>
    <w:rsid w:val="76683243"/>
    <w:rsid w:val="766E2333"/>
    <w:rsid w:val="76782E3C"/>
    <w:rsid w:val="76B33E72"/>
    <w:rsid w:val="76BC4D7C"/>
    <w:rsid w:val="76D435FA"/>
    <w:rsid w:val="76D90BB3"/>
    <w:rsid w:val="775841CD"/>
    <w:rsid w:val="775E4DD3"/>
    <w:rsid w:val="77672F95"/>
    <w:rsid w:val="77762421"/>
    <w:rsid w:val="77841D2D"/>
    <w:rsid w:val="779F5EF3"/>
    <w:rsid w:val="77A411B2"/>
    <w:rsid w:val="77B56B1F"/>
    <w:rsid w:val="77CD0408"/>
    <w:rsid w:val="77F749FC"/>
    <w:rsid w:val="77F93E24"/>
    <w:rsid w:val="780A2FB5"/>
    <w:rsid w:val="780F09F4"/>
    <w:rsid w:val="780F13EF"/>
    <w:rsid w:val="7815343C"/>
    <w:rsid w:val="78156E92"/>
    <w:rsid w:val="7821362E"/>
    <w:rsid w:val="785A34F0"/>
    <w:rsid w:val="788531F2"/>
    <w:rsid w:val="788A6C2B"/>
    <w:rsid w:val="78905B6E"/>
    <w:rsid w:val="78A250D0"/>
    <w:rsid w:val="78A90480"/>
    <w:rsid w:val="78B44E54"/>
    <w:rsid w:val="78BC55DC"/>
    <w:rsid w:val="78C75F90"/>
    <w:rsid w:val="78D67D8F"/>
    <w:rsid w:val="78E13314"/>
    <w:rsid w:val="78E35D19"/>
    <w:rsid w:val="791F4954"/>
    <w:rsid w:val="79206F6D"/>
    <w:rsid w:val="7922079C"/>
    <w:rsid w:val="795A46BC"/>
    <w:rsid w:val="795D1317"/>
    <w:rsid w:val="79694493"/>
    <w:rsid w:val="79791349"/>
    <w:rsid w:val="79955687"/>
    <w:rsid w:val="79955887"/>
    <w:rsid w:val="79AE0B42"/>
    <w:rsid w:val="79C70310"/>
    <w:rsid w:val="79E81839"/>
    <w:rsid w:val="79E9519F"/>
    <w:rsid w:val="7A060811"/>
    <w:rsid w:val="7A0F0D7D"/>
    <w:rsid w:val="7A122135"/>
    <w:rsid w:val="7A364017"/>
    <w:rsid w:val="7A3E2C3E"/>
    <w:rsid w:val="7A3E4403"/>
    <w:rsid w:val="7A540F4A"/>
    <w:rsid w:val="7A6D4434"/>
    <w:rsid w:val="7A8265E1"/>
    <w:rsid w:val="7AA5597C"/>
    <w:rsid w:val="7AAB0D1D"/>
    <w:rsid w:val="7AAC6D0A"/>
    <w:rsid w:val="7AB67B89"/>
    <w:rsid w:val="7AC91DC8"/>
    <w:rsid w:val="7ACA59BE"/>
    <w:rsid w:val="7AD06B08"/>
    <w:rsid w:val="7AD4369E"/>
    <w:rsid w:val="7AF56FAE"/>
    <w:rsid w:val="7AFA5271"/>
    <w:rsid w:val="7AFE7A15"/>
    <w:rsid w:val="7B2043F1"/>
    <w:rsid w:val="7B2666F2"/>
    <w:rsid w:val="7B460F96"/>
    <w:rsid w:val="7B4F00EA"/>
    <w:rsid w:val="7B686D42"/>
    <w:rsid w:val="7B7C3402"/>
    <w:rsid w:val="7B841746"/>
    <w:rsid w:val="7B8B5415"/>
    <w:rsid w:val="7B8C70FC"/>
    <w:rsid w:val="7B9220A2"/>
    <w:rsid w:val="7BA31B44"/>
    <w:rsid w:val="7BC82DEA"/>
    <w:rsid w:val="7BCE1C46"/>
    <w:rsid w:val="7BD82798"/>
    <w:rsid w:val="7BDA14A1"/>
    <w:rsid w:val="7BDD1C3D"/>
    <w:rsid w:val="7C0D4297"/>
    <w:rsid w:val="7C17245F"/>
    <w:rsid w:val="7C180B58"/>
    <w:rsid w:val="7C3F09A2"/>
    <w:rsid w:val="7C464F3C"/>
    <w:rsid w:val="7C4C14B2"/>
    <w:rsid w:val="7C6C5AC7"/>
    <w:rsid w:val="7C741B15"/>
    <w:rsid w:val="7C75312C"/>
    <w:rsid w:val="7C7A4BE6"/>
    <w:rsid w:val="7C855A65"/>
    <w:rsid w:val="7C866551"/>
    <w:rsid w:val="7C885555"/>
    <w:rsid w:val="7C9422F8"/>
    <w:rsid w:val="7C96350B"/>
    <w:rsid w:val="7CA0464C"/>
    <w:rsid w:val="7CAE4E94"/>
    <w:rsid w:val="7CC6544B"/>
    <w:rsid w:val="7CE6437A"/>
    <w:rsid w:val="7CF3307C"/>
    <w:rsid w:val="7CF93525"/>
    <w:rsid w:val="7CFF1156"/>
    <w:rsid w:val="7D01301F"/>
    <w:rsid w:val="7D0239FF"/>
    <w:rsid w:val="7D0C4A8B"/>
    <w:rsid w:val="7D0D1638"/>
    <w:rsid w:val="7D156EDD"/>
    <w:rsid w:val="7D1F0248"/>
    <w:rsid w:val="7D212736"/>
    <w:rsid w:val="7D3015F4"/>
    <w:rsid w:val="7D3E3E65"/>
    <w:rsid w:val="7D5E40CD"/>
    <w:rsid w:val="7D6B2EAC"/>
    <w:rsid w:val="7D734B88"/>
    <w:rsid w:val="7D906276"/>
    <w:rsid w:val="7D9B2BE6"/>
    <w:rsid w:val="7DCD56F2"/>
    <w:rsid w:val="7DD51989"/>
    <w:rsid w:val="7DEB48BB"/>
    <w:rsid w:val="7E0A75A1"/>
    <w:rsid w:val="7E17157E"/>
    <w:rsid w:val="7E1E051B"/>
    <w:rsid w:val="7E565506"/>
    <w:rsid w:val="7E5A6A7D"/>
    <w:rsid w:val="7E7553C7"/>
    <w:rsid w:val="7E7B37EB"/>
    <w:rsid w:val="7E7B7369"/>
    <w:rsid w:val="7E950A95"/>
    <w:rsid w:val="7E9D0D87"/>
    <w:rsid w:val="7EA2588B"/>
    <w:rsid w:val="7EBC3294"/>
    <w:rsid w:val="7EE8052D"/>
    <w:rsid w:val="7EEA552D"/>
    <w:rsid w:val="7F001CE7"/>
    <w:rsid w:val="7F017F0F"/>
    <w:rsid w:val="7F0937C9"/>
    <w:rsid w:val="7F1745B4"/>
    <w:rsid w:val="7F175953"/>
    <w:rsid w:val="7F30382B"/>
    <w:rsid w:val="7F3C4096"/>
    <w:rsid w:val="7F412432"/>
    <w:rsid w:val="7F4A262F"/>
    <w:rsid w:val="7F4C0ABC"/>
    <w:rsid w:val="7F6429EA"/>
    <w:rsid w:val="7F822CDF"/>
    <w:rsid w:val="7FA04B1B"/>
    <w:rsid w:val="7FB22C02"/>
    <w:rsid w:val="7FBF66E4"/>
    <w:rsid w:val="7FC90C4F"/>
    <w:rsid w:val="7FCD7330"/>
    <w:rsid w:val="7FE47E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nhideWhenUsed="0" w:uiPriority="0" w:semiHidden="0" w:name="heading 2" w:locked="1"/>
    <w:lsdException w:qFormat="1" w:unhideWhenUsed="0" w:uiPriority="0" w:semiHidden="0" w:name="heading 3" w:locked="1"/>
    <w:lsdException w:qFormat="1" w:unhideWhenUsed="0" w:uiPriority="0" w:semiHidden="0" w:name="heading 4" w:locked="1"/>
    <w:lsdException w:qFormat="1" w:unhideWhenUsed="0" w:uiPriority="9" w:semiHidden="0" w:name="heading 5" w:locked="1"/>
    <w:lsdException w:qFormat="1" w:unhideWhenUsed="0" w:uiPriority="9" w:semiHidden="0" w:name="heading 6" w:locked="1"/>
    <w:lsdException w:qFormat="1" w:unhideWhenUsed="0" w:uiPriority="9" w:semiHidden="0" w:name="heading 7" w:locked="1"/>
    <w:lsdException w:qFormat="1" w:unhideWhenUsed="0" w:uiPriority="0" w:semiHidden="0" w:name="heading 8" w:locked="1"/>
    <w:lsdException w:qFormat="1" w:unhideWhenUsed="0" w:uiPriority="9" w:semiHidden="0" w:name="heading 9" w:locked="1"/>
    <w:lsdException w:qFormat="1"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qFormat="1" w:unhideWhenUsed="0" w:uiPriority="39" w:semiHidden="0" w:name="toc 4" w:locked="1"/>
    <w:lsdException w:qFormat="1" w:unhideWhenUsed="0" w:uiPriority="39" w:semiHidden="0" w:name="toc 5" w:locked="1"/>
    <w:lsdException w:qFormat="1" w:unhideWhenUsed="0" w:uiPriority="39" w:semiHidden="0" w:name="toc 6" w:locked="1"/>
    <w:lsdException w:qFormat="1" w:unhideWhenUsed="0" w:uiPriority="39" w:semiHidden="0" w:name="toc 7" w:locked="1"/>
    <w:lsdException w:qFormat="1" w:unhideWhenUsed="0" w:uiPriority="39" w:semiHidden="0" w:name="toc 8" w:locked="1"/>
    <w:lsdException w:qFormat="1" w:unhideWhenUsed="0" w:uiPriority="39" w:semiHidden="0" w:name="toc 9" w:locked="1"/>
    <w:lsdException w:qFormat="1" w:unhideWhenUsed="0" w:uiPriority="0" w:semiHidden="0" w:name="Normal Indent" w:locked="1"/>
    <w:lsdException w:unhideWhenUsed="0" w:uiPriority="0" w:semiHidden="0" w:name="footnote text" w:locked="1"/>
    <w:lsdException w:qFormat="1" w:unhideWhenUsed="0" w:uiPriority="99" w:semiHidden="0" w:name="annotation text"/>
    <w:lsdException w:qFormat="1" w:unhideWhenUsed="0" w:uiPriority="0" w:semiHidden="0" w:name="header"/>
    <w:lsdException w:qFormat="1" w:unhideWhenUsed="0" w:uiPriority="0" w:semiHidden="0" w:name="footer"/>
    <w:lsdException w:qFormat="1" w:uiPriority="0" w:semiHidden="0" w:name="index heading" w:locked="1"/>
    <w:lsdException w:qFormat="1" w:unhideWhenUsed="0" w:uiPriority="0" w:semiHidden="0" w:name="caption" w:locked="1"/>
    <w:lsdException w:qFormat="1"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semiHidden="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qFormat="1" w:unhideWhenUsed="0" w:uiPriority="0" w:semiHidden="0" w:name="table of authorities" w:locked="1"/>
    <w:lsdException w:unhideWhenUsed="0" w:uiPriority="0" w:semiHidden="0" w:name="macro" w:locked="1"/>
    <w:lsdException w:qFormat="1" w:unhideWhenUsed="0" w:uiPriority="0" w:semiHidden="0" w:name="toa heading" w:locked="1"/>
    <w:lsdException w:qFormat="1" w:unhideWhenUsed="0" w:uiPriority="0" w:semiHidden="0" w:name="List" w:locked="1"/>
    <w:lsdException w:qFormat="1" w:unhideWhenUsed="0" w:uiPriority="0" w:semiHidden="0" w:name="List Bullet" w:locked="1"/>
    <w:lsdException w:qFormat="1" w:unhideWhenUsed="0" w:uiPriority="0" w:semiHidden="0" w:name="List Number" w:locked="1"/>
    <w:lsdException w:qFormat="1" w:unhideWhenUsed="0" w:uiPriority="0" w:semiHidden="0" w:name="List 2" w:locked="1"/>
    <w:lsdException w:qFormat="1" w:unhideWhenUsed="0" w:uiPriority="0" w:semiHidden="0" w:name="List 3" w:locked="1"/>
    <w:lsdException w:unhideWhenUsed="0" w:uiPriority="0" w:semiHidden="0" w:name="List 4" w:locked="1"/>
    <w:lsdException w:unhideWhenUsed="0" w:uiPriority="0" w:semiHidden="0" w:name="List 5" w:locked="1"/>
    <w:lsdException w:qFormat="1" w:unhideWhenUsed="0" w:uiPriority="0" w:semiHidden="0" w:name="List Bullet 2" w:locked="1"/>
    <w:lsdException w:unhideWhenUsed="0" w:uiPriority="0" w:semiHidden="0" w:name="List Bullet 3" w:locked="1"/>
    <w:lsdException w:unhideWhenUsed="0" w:uiPriority="0" w:semiHidden="0" w:name="List Bullet 4" w:locked="1"/>
    <w:lsdException w:qFormat="1"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iPriority="1" w:name="Default Paragraph Font"/>
    <w:lsdException w:qFormat="1" w:unhideWhenUsed="0" w:uiPriority="0" w:semiHidden="0" w:name="Body Text"/>
    <w:lsdException w:qFormat="1" w:unhideWhenUsed="0" w:uiPriority="0" w:semiHidden="0" w:name="Body Text Indent"/>
    <w:lsdException w:qFormat="1" w:unhideWhenUsed="0" w:uiPriority="99" w:semiHidden="0" w:name="List Continue" w:locked="1"/>
    <w:lsdException w:qFormat="1"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qFormat="1" w:unhideWhenUsed="0" w:uiPriority="0" w:semiHidden="0" w:name="Message Header" w:locked="1"/>
    <w:lsdException w:qFormat="1" w:unhideWhenUsed="0" w:uiPriority="11" w:semiHidden="0" w:name="Subtitle" w:locked="1"/>
    <w:lsdException w:qFormat="1" w:unhideWhenUsed="0" w:uiPriority="0" w:semiHidden="0" w:name="Salutation" w:locked="1"/>
    <w:lsdException w:qFormat="1" w:unhideWhenUsed="0" w:uiPriority="0" w:semiHidden="0" w:name="Date"/>
    <w:lsdException w:qFormat="1" w:unhideWhenUsed="0" w:uiPriority="0" w:semiHidden="0" w:name="Body Text First Indent" w:locked="1"/>
    <w:lsdException w:qFormat="1" w:unhideWhenUsed="0" w:uiPriority="0" w:semiHidden="0" w:name="Body Text First Indent 2" w:locked="1"/>
    <w:lsdException w:unhideWhenUsed="0" w:uiPriority="0" w:semiHidden="0" w:name="Note Heading" w:locked="1"/>
    <w:lsdException w:qFormat="1" w:unhideWhenUsed="0" w:uiPriority="0" w:semiHidden="0" w:name="Body Text 2" w:locked="1"/>
    <w:lsdException w:qFormat="1" w:unhideWhenUsed="0" w:uiPriority="0" w:semiHidden="0" w:name="Body Text 3" w:locked="1"/>
    <w:lsdException w:qFormat="1" w:unhideWhenUsed="0" w:uiPriority="0" w:semiHidden="0" w:name="Body Text Indent 2" w:locked="1"/>
    <w:lsdException w:qFormat="1" w:unhideWhenUsed="0" w:uiPriority="0" w:semiHidden="0" w:name="Body Text Indent 3" w:locked="1"/>
    <w:lsdException w:qFormat="1" w:unhideWhenUsed="0" w:uiPriority="0" w:semiHidden="0" w:name="Block Text" w:locked="1"/>
    <w:lsdException w:qFormat="1" w:unhideWhenUsed="0" w:uiPriority="99" w:semiHidden="0" w:name="Hyperlink" w:locked="1"/>
    <w:lsdException w:qFormat="1" w:unhideWhenUsed="0" w:uiPriority="0" w:semiHidden="0" w:name="FollowedHyperlink" w:locked="1"/>
    <w:lsdException w:qFormat="1" w:unhideWhenUsed="0" w:uiPriority="22" w:semiHidden="0" w:name="Strong" w:locked="1"/>
    <w:lsdException w:qFormat="1" w:unhideWhenUsed="0" w:uiPriority="20" w:semiHidden="0" w:name="Emphasis" w:locked="1"/>
    <w:lsdException w:qFormat="1"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qFormat="1" w:unhideWhenUsed="0" w:uiPriority="0" w:semiHidden="0" w:name="HTML Code" w:locked="1"/>
    <w:lsdException w:unhideWhenUsed="0" w:uiPriority="0" w:semiHidden="0" w:name="HTML Definition" w:locked="1"/>
    <w:lsdException w:unhideWhenUsed="0" w:uiPriority="0" w:semiHidden="0" w:name="HTML Keyboard" w:locked="1"/>
    <w:lsdException w:qFormat="1" w:unhideWhenUsed="0" w:uiPriority="99"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iPriority="99" w:name="Normal Table"/>
    <w:lsdException w:qFormat="1" w:unhideWhenUsed="0" w:uiPriority="0" w:semiHidden="0" w:name="annotation subject"/>
    <w:lsdException w:uiPriority="0" w:name="Table Simple 1" w:locked="1"/>
    <w:lsdException w:uiPriority="0" w:name="Table Simple 2" w:locked="1"/>
    <w:lsdException w:uiPriority="0" w:name="Table Simple 3" w:locked="1"/>
    <w:lsdException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qFormat="1" w:unhideWhenUsed="0" w:uiPriority="0" w:semiHidden="0" w:name="Table Grid 1" w:locked="1"/>
    <w:lsdException w:uiPriority="0" w:name="Table Grid 2" w:locked="1"/>
    <w:lsdException w:uiPriority="0" w:name="Table Grid 3" w:locked="1"/>
    <w:lsdException w:uiPriority="0" w:name="Table Grid 4" w:locked="1"/>
    <w:lsdException w:uiPriority="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qFormat="1" w:unhideWhenUsed="0" w:uiPriority="0" w:semiHidden="0" w:name="Table Elegant" w:locked="1"/>
    <w:lsdException w:uiPriority="0" w:name="Table Professional" w:locked="1"/>
    <w:lsdException w:uiPriority="0" w:name="Table Subtle 1" w:locked="1"/>
    <w:lsdException w:uiPriority="0" w:name="Table Subtle 2" w:locked="1"/>
    <w:lsdException w:uiPriority="0" w:name="Table Web 1" w:locked="1"/>
    <w:lsdException w:uiPriority="0" w:name="Table Web 2" w:locked="1"/>
    <w:lsdException w:uiPriority="0" w:name="Table Web 3" w:locked="1"/>
    <w:lsdException w:qFormat="1" w:unhideWhenUsed="0" w:uiPriority="0" w:semiHidden="0" w:name="Balloon Text"/>
    <w:lsdException w:qFormat="1" w:unhideWhenUsed="0" w:uiPriority="39" w:semiHidden="0" w:name="Table Grid"/>
    <w:lsdException w:qFormat="1" w:unhideWhenUsed="0" w:uiPriority="0" w:semiHidden="0" w:name="Table Theme" w:locked="1"/>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0"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snapToGrid w:val="0"/>
      <w:kern w:val="2"/>
      <w:sz w:val="21"/>
      <w:szCs w:val="21"/>
      <w:lang w:val="en-US" w:eastAsia="zh-CN" w:bidi="ar-SA"/>
    </w:rPr>
  </w:style>
  <w:style w:type="paragraph" w:styleId="3">
    <w:name w:val="heading 1"/>
    <w:basedOn w:val="1"/>
    <w:next w:val="1"/>
    <w:link w:val="74"/>
    <w:autoRedefine/>
    <w:qFormat/>
    <w:locked/>
    <w:uiPriority w:val="0"/>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4">
    <w:name w:val="heading 2"/>
    <w:basedOn w:val="1"/>
    <w:next w:val="5"/>
    <w:link w:val="75"/>
    <w:autoRedefine/>
    <w:qFormat/>
    <w:locked/>
    <w:uiPriority w:val="0"/>
    <w:pPr>
      <w:keepNext/>
      <w:jc w:val="center"/>
      <w:outlineLvl w:val="1"/>
    </w:pPr>
    <w:rPr>
      <w:sz w:val="24"/>
      <w:szCs w:val="20"/>
    </w:rPr>
  </w:style>
  <w:style w:type="paragraph" w:styleId="2">
    <w:name w:val="heading 3"/>
    <w:basedOn w:val="1"/>
    <w:next w:val="1"/>
    <w:link w:val="77"/>
    <w:autoRedefine/>
    <w:qFormat/>
    <w:locked/>
    <w:uiPriority w:val="0"/>
    <w:pPr>
      <w:keepNext/>
      <w:keepLines/>
      <w:spacing w:before="260" w:after="260" w:line="416" w:lineRule="auto"/>
      <w:outlineLvl w:val="2"/>
    </w:pPr>
    <w:rPr>
      <w:b/>
      <w:bCs/>
      <w:sz w:val="32"/>
      <w:szCs w:val="32"/>
    </w:rPr>
  </w:style>
  <w:style w:type="paragraph" w:styleId="6">
    <w:name w:val="heading 4"/>
    <w:basedOn w:val="1"/>
    <w:next w:val="1"/>
    <w:link w:val="78"/>
    <w:autoRedefine/>
    <w:qFormat/>
    <w:locked/>
    <w:uiPriority w:val="0"/>
    <w:pPr>
      <w:keepNext/>
      <w:keepLines/>
      <w:adjustRightInd w:val="0"/>
      <w:spacing w:before="120" w:after="120"/>
      <w:jc w:val="left"/>
      <w:textAlignment w:val="baseline"/>
      <w:outlineLvl w:val="3"/>
    </w:pPr>
    <w:rPr>
      <w:rFonts w:ascii="Arial" w:hAnsi="Arial"/>
      <w:sz w:val="24"/>
      <w:szCs w:val="20"/>
    </w:rPr>
  </w:style>
  <w:style w:type="paragraph" w:styleId="7">
    <w:name w:val="heading 5"/>
    <w:basedOn w:val="1"/>
    <w:next w:val="1"/>
    <w:link w:val="79"/>
    <w:autoRedefine/>
    <w:qFormat/>
    <w:locked/>
    <w:uiPriority w:val="9"/>
    <w:pPr>
      <w:keepNext/>
      <w:outlineLvl w:val="4"/>
    </w:pPr>
    <w:rPr>
      <w:b/>
      <w:bCs/>
      <w:sz w:val="24"/>
      <w:szCs w:val="20"/>
    </w:rPr>
  </w:style>
  <w:style w:type="paragraph" w:styleId="8">
    <w:name w:val="heading 6"/>
    <w:basedOn w:val="1"/>
    <w:next w:val="1"/>
    <w:link w:val="80"/>
    <w:autoRedefine/>
    <w:qFormat/>
    <w:locked/>
    <w:uiPriority w:val="9"/>
    <w:pPr>
      <w:keepNext/>
      <w:keepLines/>
      <w:spacing w:before="240" w:after="64" w:line="320" w:lineRule="auto"/>
      <w:outlineLvl w:val="5"/>
    </w:pPr>
    <w:rPr>
      <w:rFonts w:ascii="Arial" w:hAnsi="Arial" w:eastAsia="黑体"/>
      <w:b/>
      <w:bCs/>
      <w:sz w:val="24"/>
    </w:rPr>
  </w:style>
  <w:style w:type="paragraph" w:styleId="9">
    <w:name w:val="heading 7"/>
    <w:basedOn w:val="1"/>
    <w:next w:val="1"/>
    <w:link w:val="81"/>
    <w:autoRedefine/>
    <w:qFormat/>
    <w:locked/>
    <w:uiPriority w:val="9"/>
    <w:pPr>
      <w:keepNext/>
      <w:keepLines/>
      <w:spacing w:before="240" w:after="64" w:line="320" w:lineRule="auto"/>
      <w:outlineLvl w:val="6"/>
    </w:pPr>
    <w:rPr>
      <w:rFonts w:eastAsia="仿宋_GB2312"/>
      <w:b/>
      <w:bCs/>
      <w:sz w:val="24"/>
    </w:rPr>
  </w:style>
  <w:style w:type="paragraph" w:styleId="10">
    <w:name w:val="heading 8"/>
    <w:basedOn w:val="1"/>
    <w:next w:val="1"/>
    <w:link w:val="82"/>
    <w:autoRedefine/>
    <w:qFormat/>
    <w:locked/>
    <w:uiPriority w:val="0"/>
    <w:pPr>
      <w:keepNext/>
      <w:widowControl/>
      <w:numPr>
        <w:ilvl w:val="0"/>
        <w:numId w:val="1"/>
      </w:numPr>
      <w:spacing w:line="360" w:lineRule="atLeast"/>
      <w:outlineLvl w:val="7"/>
    </w:pPr>
    <w:rPr>
      <w:b/>
      <w:bCs/>
      <w:kern w:val="0"/>
      <w:sz w:val="32"/>
      <w:lang w:val="en-GB" w:eastAsia="es-ES"/>
    </w:rPr>
  </w:style>
  <w:style w:type="paragraph" w:styleId="11">
    <w:name w:val="heading 9"/>
    <w:basedOn w:val="1"/>
    <w:next w:val="1"/>
    <w:link w:val="83"/>
    <w:autoRedefine/>
    <w:qFormat/>
    <w:locked/>
    <w:uiPriority w:val="9"/>
    <w:pPr>
      <w:keepNext/>
      <w:keepLines/>
      <w:spacing w:before="240" w:after="64" w:line="320" w:lineRule="auto"/>
      <w:outlineLvl w:val="8"/>
    </w:pPr>
    <w:rPr>
      <w:rFonts w:ascii="Arial" w:hAnsi="Arial" w:eastAsia="黑体"/>
    </w:rPr>
  </w:style>
  <w:style w:type="character" w:default="1" w:styleId="64">
    <w:name w:val="Default Paragraph Font"/>
    <w:semiHidden/>
    <w:unhideWhenUsed/>
    <w:qFormat/>
    <w:uiPriority w:val="1"/>
  </w:style>
  <w:style w:type="table" w:default="1" w:styleId="59">
    <w:name w:val="Normal Table"/>
    <w:semiHidden/>
    <w:unhideWhenUsed/>
    <w:qFormat/>
    <w:uiPriority w:val="99"/>
    <w:tblPr>
      <w:tblCellMar>
        <w:top w:w="0" w:type="dxa"/>
        <w:left w:w="108" w:type="dxa"/>
        <w:bottom w:w="0" w:type="dxa"/>
        <w:right w:w="108" w:type="dxa"/>
      </w:tblCellMar>
    </w:tblPr>
  </w:style>
  <w:style w:type="paragraph" w:styleId="5">
    <w:name w:val="Normal Indent"/>
    <w:basedOn w:val="1"/>
    <w:link w:val="76"/>
    <w:autoRedefine/>
    <w:qFormat/>
    <w:locked/>
    <w:uiPriority w:val="0"/>
    <w:pPr>
      <w:ind w:firstLine="420"/>
    </w:pPr>
    <w:rPr>
      <w:szCs w:val="20"/>
    </w:rPr>
  </w:style>
  <w:style w:type="paragraph" w:styleId="12">
    <w:name w:val="List 3"/>
    <w:basedOn w:val="1"/>
    <w:autoRedefine/>
    <w:qFormat/>
    <w:locked/>
    <w:uiPriority w:val="0"/>
    <w:pPr>
      <w:ind w:left="1260" w:hanging="420"/>
    </w:pPr>
    <w:rPr>
      <w:szCs w:val="20"/>
    </w:rPr>
  </w:style>
  <w:style w:type="paragraph" w:styleId="13">
    <w:name w:val="toc 7"/>
    <w:basedOn w:val="1"/>
    <w:next w:val="1"/>
    <w:autoRedefine/>
    <w:qFormat/>
    <w:locked/>
    <w:uiPriority w:val="39"/>
    <w:pPr>
      <w:ind w:left="1260"/>
      <w:jc w:val="left"/>
    </w:pPr>
    <w:rPr>
      <w:sz w:val="18"/>
      <w:szCs w:val="18"/>
    </w:rPr>
  </w:style>
  <w:style w:type="paragraph" w:styleId="14">
    <w:name w:val="table of authorities"/>
    <w:basedOn w:val="1"/>
    <w:next w:val="1"/>
    <w:autoRedefine/>
    <w:qFormat/>
    <w:locked/>
    <w:uiPriority w:val="0"/>
    <w:pPr>
      <w:ind w:left="420" w:leftChars="200"/>
    </w:pPr>
    <w:rPr>
      <w:rFonts w:eastAsia="仿宋_GB2312"/>
      <w:sz w:val="28"/>
      <w:szCs w:val="20"/>
    </w:rPr>
  </w:style>
  <w:style w:type="paragraph" w:styleId="15">
    <w:name w:val="List Number"/>
    <w:basedOn w:val="1"/>
    <w:autoRedefine/>
    <w:qFormat/>
    <w:locked/>
    <w:uiPriority w:val="0"/>
    <w:pPr>
      <w:numPr>
        <w:ilvl w:val="0"/>
        <w:numId w:val="2"/>
      </w:numPr>
    </w:pPr>
  </w:style>
  <w:style w:type="paragraph" w:styleId="16">
    <w:name w:val="caption"/>
    <w:basedOn w:val="1"/>
    <w:next w:val="1"/>
    <w:link w:val="84"/>
    <w:autoRedefine/>
    <w:qFormat/>
    <w:locked/>
    <w:uiPriority w:val="0"/>
    <w:rPr>
      <w:rFonts w:ascii="等线 Light" w:hAnsi="等线 Light" w:eastAsia="黑体"/>
      <w:sz w:val="20"/>
      <w:szCs w:val="20"/>
    </w:rPr>
  </w:style>
  <w:style w:type="paragraph" w:styleId="17">
    <w:name w:val="List Bullet"/>
    <w:basedOn w:val="1"/>
    <w:autoRedefine/>
    <w:qFormat/>
    <w:locked/>
    <w:uiPriority w:val="0"/>
    <w:pPr>
      <w:tabs>
        <w:tab w:val="left" w:pos="360"/>
      </w:tabs>
      <w:contextualSpacing/>
    </w:pPr>
  </w:style>
  <w:style w:type="paragraph" w:styleId="18">
    <w:name w:val="Document Map"/>
    <w:basedOn w:val="1"/>
    <w:link w:val="85"/>
    <w:autoRedefine/>
    <w:qFormat/>
    <w:locked/>
    <w:uiPriority w:val="0"/>
    <w:pPr>
      <w:shd w:val="clear" w:color="auto" w:fill="000080"/>
    </w:pPr>
  </w:style>
  <w:style w:type="paragraph" w:styleId="19">
    <w:name w:val="toa heading"/>
    <w:basedOn w:val="1"/>
    <w:next w:val="1"/>
    <w:autoRedefine/>
    <w:qFormat/>
    <w:locked/>
    <w:uiPriority w:val="0"/>
    <w:pPr>
      <w:spacing w:before="120"/>
    </w:pPr>
    <w:rPr>
      <w:rFonts w:ascii="Arial" w:hAnsi="Arial" w:eastAsia="仿宋_GB2312"/>
      <w:b/>
      <w:bCs/>
      <w:sz w:val="28"/>
    </w:rPr>
  </w:style>
  <w:style w:type="paragraph" w:styleId="20">
    <w:name w:val="annotation text"/>
    <w:basedOn w:val="1"/>
    <w:link w:val="86"/>
    <w:autoRedefine/>
    <w:qFormat/>
    <w:uiPriority w:val="99"/>
    <w:pPr>
      <w:jc w:val="left"/>
    </w:pPr>
    <w:rPr>
      <w:kern w:val="0"/>
      <w:sz w:val="24"/>
      <w:szCs w:val="20"/>
    </w:rPr>
  </w:style>
  <w:style w:type="paragraph" w:styleId="21">
    <w:name w:val="Salutation"/>
    <w:basedOn w:val="1"/>
    <w:next w:val="1"/>
    <w:link w:val="87"/>
    <w:autoRedefine/>
    <w:qFormat/>
    <w:locked/>
    <w:uiPriority w:val="0"/>
    <w:rPr>
      <w:rFonts w:ascii="宋体" w:hAnsi="Courier New"/>
      <w:szCs w:val="20"/>
    </w:rPr>
  </w:style>
  <w:style w:type="paragraph" w:styleId="22">
    <w:name w:val="Body Text 3"/>
    <w:basedOn w:val="1"/>
    <w:link w:val="88"/>
    <w:autoRedefine/>
    <w:qFormat/>
    <w:locked/>
    <w:uiPriority w:val="0"/>
    <w:rPr>
      <w:b/>
      <w:bCs/>
      <w:sz w:val="24"/>
    </w:rPr>
  </w:style>
  <w:style w:type="paragraph" w:styleId="23">
    <w:name w:val="Body Text"/>
    <w:basedOn w:val="1"/>
    <w:next w:val="1"/>
    <w:link w:val="73"/>
    <w:autoRedefine/>
    <w:qFormat/>
    <w:uiPriority w:val="0"/>
    <w:pPr>
      <w:widowControl/>
      <w:adjustRightInd w:val="0"/>
      <w:snapToGrid w:val="0"/>
      <w:spacing w:line="360" w:lineRule="auto"/>
      <w:outlineLvl w:val="0"/>
    </w:pPr>
    <w:rPr>
      <w:kern w:val="0"/>
      <w:sz w:val="18"/>
      <w:szCs w:val="20"/>
    </w:rPr>
  </w:style>
  <w:style w:type="paragraph" w:styleId="24">
    <w:name w:val="Body Text Indent"/>
    <w:basedOn w:val="1"/>
    <w:link w:val="89"/>
    <w:autoRedefine/>
    <w:qFormat/>
    <w:uiPriority w:val="0"/>
    <w:pPr>
      <w:spacing w:after="120"/>
      <w:ind w:left="420" w:leftChars="200"/>
    </w:pPr>
    <w:rPr>
      <w:kern w:val="0"/>
      <w:sz w:val="24"/>
      <w:szCs w:val="20"/>
    </w:rPr>
  </w:style>
  <w:style w:type="paragraph" w:styleId="25">
    <w:name w:val="List 2"/>
    <w:basedOn w:val="1"/>
    <w:autoRedefine/>
    <w:qFormat/>
    <w:locked/>
    <w:uiPriority w:val="0"/>
    <w:pPr>
      <w:spacing w:line="400" w:lineRule="atLeast"/>
      <w:jc w:val="center"/>
    </w:pPr>
  </w:style>
  <w:style w:type="paragraph" w:styleId="26">
    <w:name w:val="List Continue"/>
    <w:basedOn w:val="1"/>
    <w:autoRedefine/>
    <w:qFormat/>
    <w:locked/>
    <w:uiPriority w:val="99"/>
    <w:pPr>
      <w:spacing w:after="120"/>
      <w:ind w:left="420"/>
    </w:pPr>
    <w:rPr>
      <w:sz w:val="26"/>
      <w:szCs w:val="26"/>
    </w:rPr>
  </w:style>
  <w:style w:type="paragraph" w:styleId="27">
    <w:name w:val="Block Text"/>
    <w:basedOn w:val="1"/>
    <w:autoRedefine/>
    <w:qFormat/>
    <w:locked/>
    <w:uiPriority w:val="0"/>
    <w:pPr>
      <w:adjustRightInd w:val="0"/>
      <w:snapToGrid w:val="0"/>
      <w:spacing w:line="490" w:lineRule="atLeast"/>
      <w:ind w:left="10" w:leftChars="5" w:right="-449" w:rightChars="-214" w:firstLine="560" w:firstLineChars="200"/>
    </w:pPr>
    <w:rPr>
      <w:color w:val="000000"/>
      <w:sz w:val="28"/>
    </w:rPr>
  </w:style>
  <w:style w:type="paragraph" w:styleId="28">
    <w:name w:val="List Bullet 2"/>
    <w:basedOn w:val="1"/>
    <w:next w:val="29"/>
    <w:autoRedefine/>
    <w:qFormat/>
    <w:locked/>
    <w:uiPriority w:val="0"/>
    <w:pPr>
      <w:adjustRightInd w:val="0"/>
      <w:snapToGrid w:val="0"/>
      <w:ind w:left="-119" w:right="-143"/>
      <w:jc w:val="center"/>
      <w:textAlignment w:val="baseline"/>
    </w:pPr>
    <w:rPr>
      <w:kern w:val="0"/>
    </w:rPr>
  </w:style>
  <w:style w:type="paragraph" w:styleId="29">
    <w:name w:val="Body Text First Indent"/>
    <w:basedOn w:val="23"/>
    <w:next w:val="1"/>
    <w:link w:val="90"/>
    <w:autoRedefine/>
    <w:qFormat/>
    <w:locked/>
    <w:uiPriority w:val="0"/>
    <w:pPr>
      <w:widowControl w:val="0"/>
      <w:snapToGrid/>
      <w:ind w:firstLine="560"/>
      <w:textAlignment w:val="baseline"/>
    </w:pPr>
    <w:rPr>
      <w:rFonts w:ascii="宋体"/>
      <w:kern w:val="28"/>
      <w:sz w:val="24"/>
    </w:rPr>
  </w:style>
  <w:style w:type="paragraph" w:styleId="30">
    <w:name w:val="toc 5"/>
    <w:basedOn w:val="1"/>
    <w:next w:val="1"/>
    <w:autoRedefine/>
    <w:qFormat/>
    <w:locked/>
    <w:uiPriority w:val="39"/>
    <w:pPr>
      <w:ind w:left="840"/>
      <w:jc w:val="left"/>
    </w:pPr>
    <w:rPr>
      <w:sz w:val="18"/>
      <w:szCs w:val="18"/>
    </w:rPr>
  </w:style>
  <w:style w:type="paragraph" w:styleId="31">
    <w:name w:val="toc 3"/>
    <w:basedOn w:val="1"/>
    <w:next w:val="1"/>
    <w:autoRedefine/>
    <w:qFormat/>
    <w:locked/>
    <w:uiPriority w:val="39"/>
    <w:pPr>
      <w:ind w:left="420"/>
      <w:jc w:val="left"/>
    </w:pPr>
    <w:rPr>
      <w:i/>
      <w:iCs/>
      <w:sz w:val="20"/>
      <w:szCs w:val="20"/>
    </w:rPr>
  </w:style>
  <w:style w:type="paragraph" w:styleId="32">
    <w:name w:val="Plain Text"/>
    <w:basedOn w:val="1"/>
    <w:next w:val="1"/>
    <w:link w:val="91"/>
    <w:autoRedefine/>
    <w:qFormat/>
    <w:locked/>
    <w:uiPriority w:val="0"/>
    <w:rPr>
      <w:rFonts w:ascii="宋体" w:hAnsi="Courier New"/>
      <w:szCs w:val="20"/>
    </w:rPr>
  </w:style>
  <w:style w:type="paragraph" w:styleId="33">
    <w:name w:val="List Bullet 5"/>
    <w:basedOn w:val="1"/>
    <w:autoRedefine/>
    <w:qFormat/>
    <w:locked/>
    <w:uiPriority w:val="0"/>
    <w:pPr>
      <w:numPr>
        <w:ilvl w:val="0"/>
        <w:numId w:val="3"/>
      </w:numPr>
    </w:pPr>
  </w:style>
  <w:style w:type="paragraph" w:styleId="34">
    <w:name w:val="toc 8"/>
    <w:basedOn w:val="1"/>
    <w:next w:val="1"/>
    <w:autoRedefine/>
    <w:qFormat/>
    <w:locked/>
    <w:uiPriority w:val="39"/>
    <w:pPr>
      <w:ind w:left="1470"/>
      <w:jc w:val="left"/>
    </w:pPr>
    <w:rPr>
      <w:sz w:val="18"/>
      <w:szCs w:val="18"/>
    </w:rPr>
  </w:style>
  <w:style w:type="paragraph" w:styleId="35">
    <w:name w:val="Date"/>
    <w:basedOn w:val="1"/>
    <w:next w:val="1"/>
    <w:link w:val="92"/>
    <w:autoRedefine/>
    <w:qFormat/>
    <w:uiPriority w:val="0"/>
    <w:pPr>
      <w:ind w:left="100" w:leftChars="2500"/>
    </w:pPr>
    <w:rPr>
      <w:kern w:val="0"/>
      <w:sz w:val="24"/>
      <w:szCs w:val="20"/>
    </w:rPr>
  </w:style>
  <w:style w:type="paragraph" w:styleId="36">
    <w:name w:val="Body Text Indent 2"/>
    <w:basedOn w:val="1"/>
    <w:link w:val="93"/>
    <w:autoRedefine/>
    <w:qFormat/>
    <w:locked/>
    <w:uiPriority w:val="0"/>
    <w:pPr>
      <w:spacing w:line="480" w:lineRule="exact"/>
      <w:ind w:firstLine="480" w:firstLineChars="200"/>
      <w:jc w:val="left"/>
    </w:pPr>
    <w:rPr>
      <w:sz w:val="24"/>
    </w:rPr>
  </w:style>
  <w:style w:type="paragraph" w:styleId="37">
    <w:name w:val="Balloon Text"/>
    <w:basedOn w:val="1"/>
    <w:link w:val="94"/>
    <w:autoRedefine/>
    <w:qFormat/>
    <w:uiPriority w:val="0"/>
    <w:rPr>
      <w:kern w:val="0"/>
      <w:sz w:val="18"/>
      <w:szCs w:val="20"/>
    </w:rPr>
  </w:style>
  <w:style w:type="paragraph" w:styleId="38">
    <w:name w:val="footer"/>
    <w:basedOn w:val="1"/>
    <w:link w:val="95"/>
    <w:autoRedefine/>
    <w:qFormat/>
    <w:uiPriority w:val="0"/>
    <w:pPr>
      <w:tabs>
        <w:tab w:val="center" w:pos="4153"/>
        <w:tab w:val="right" w:pos="8306"/>
      </w:tabs>
      <w:snapToGrid w:val="0"/>
      <w:jc w:val="left"/>
    </w:pPr>
    <w:rPr>
      <w:kern w:val="0"/>
      <w:sz w:val="18"/>
      <w:szCs w:val="20"/>
    </w:rPr>
  </w:style>
  <w:style w:type="paragraph" w:styleId="39">
    <w:name w:val="header"/>
    <w:basedOn w:val="1"/>
    <w:link w:val="96"/>
    <w:autoRedefine/>
    <w:qFormat/>
    <w:uiPriority w:val="0"/>
    <w:pPr>
      <w:pBdr>
        <w:bottom w:val="single" w:color="auto" w:sz="6" w:space="1"/>
      </w:pBdr>
      <w:tabs>
        <w:tab w:val="center" w:pos="4153"/>
        <w:tab w:val="right" w:pos="8306"/>
      </w:tabs>
      <w:snapToGrid w:val="0"/>
      <w:jc w:val="center"/>
    </w:pPr>
    <w:rPr>
      <w:kern w:val="0"/>
      <w:sz w:val="18"/>
      <w:szCs w:val="20"/>
    </w:rPr>
  </w:style>
  <w:style w:type="paragraph" w:styleId="40">
    <w:name w:val="toc 1"/>
    <w:basedOn w:val="1"/>
    <w:next w:val="1"/>
    <w:autoRedefine/>
    <w:qFormat/>
    <w:locked/>
    <w:uiPriority w:val="39"/>
    <w:pPr>
      <w:tabs>
        <w:tab w:val="right" w:leader="dot" w:pos="8296"/>
      </w:tabs>
      <w:spacing w:line="360" w:lineRule="auto"/>
      <w:jc w:val="left"/>
    </w:pPr>
    <w:rPr>
      <w:b/>
      <w:bCs/>
      <w:caps/>
      <w:sz w:val="20"/>
      <w:szCs w:val="20"/>
    </w:rPr>
  </w:style>
  <w:style w:type="paragraph" w:styleId="41">
    <w:name w:val="toc 4"/>
    <w:basedOn w:val="1"/>
    <w:next w:val="1"/>
    <w:autoRedefine/>
    <w:qFormat/>
    <w:locked/>
    <w:uiPriority w:val="39"/>
    <w:pPr>
      <w:ind w:left="630"/>
      <w:jc w:val="left"/>
    </w:pPr>
    <w:rPr>
      <w:sz w:val="18"/>
      <w:szCs w:val="18"/>
    </w:rPr>
  </w:style>
  <w:style w:type="paragraph" w:styleId="42">
    <w:name w:val="index heading"/>
    <w:basedOn w:val="1"/>
    <w:next w:val="43"/>
    <w:autoRedefine/>
    <w:unhideWhenUsed/>
    <w:qFormat/>
    <w:locked/>
    <w:uiPriority w:val="0"/>
    <w:rPr>
      <w:rFonts w:ascii="Cambria" w:hAnsi="Cambria"/>
      <w:b/>
      <w:bCs/>
    </w:rPr>
  </w:style>
  <w:style w:type="paragraph" w:styleId="43">
    <w:name w:val="index 1"/>
    <w:basedOn w:val="1"/>
    <w:next w:val="1"/>
    <w:autoRedefine/>
    <w:qFormat/>
    <w:locked/>
    <w:uiPriority w:val="0"/>
  </w:style>
  <w:style w:type="paragraph" w:styleId="44">
    <w:name w:val="Subtitle"/>
    <w:basedOn w:val="1"/>
    <w:next w:val="1"/>
    <w:link w:val="97"/>
    <w:autoRedefine/>
    <w:qFormat/>
    <w:locked/>
    <w:uiPriority w:val="11"/>
    <w:pPr>
      <w:widowControl/>
      <w:spacing w:after="160" w:line="259" w:lineRule="auto"/>
      <w:jc w:val="left"/>
    </w:pPr>
    <w:rPr>
      <w:rFonts w:ascii="Calibri" w:hAnsi="Calibri"/>
      <w:color w:val="5A5A5A"/>
      <w:spacing w:val="15"/>
      <w:kern w:val="0"/>
      <w:sz w:val="22"/>
      <w:szCs w:val="22"/>
    </w:rPr>
  </w:style>
  <w:style w:type="paragraph" w:styleId="45">
    <w:name w:val="List"/>
    <w:basedOn w:val="1"/>
    <w:autoRedefine/>
    <w:qFormat/>
    <w:locked/>
    <w:uiPriority w:val="0"/>
    <w:pPr>
      <w:ind w:left="200" w:hanging="200" w:hangingChars="200"/>
      <w:contextualSpacing/>
    </w:pPr>
    <w:rPr>
      <w:kern w:val="0"/>
      <w:sz w:val="24"/>
      <w:szCs w:val="20"/>
    </w:rPr>
  </w:style>
  <w:style w:type="paragraph" w:styleId="46">
    <w:name w:val="toc 6"/>
    <w:basedOn w:val="1"/>
    <w:next w:val="1"/>
    <w:autoRedefine/>
    <w:qFormat/>
    <w:locked/>
    <w:uiPriority w:val="39"/>
    <w:pPr>
      <w:ind w:left="1050"/>
      <w:jc w:val="left"/>
    </w:pPr>
    <w:rPr>
      <w:sz w:val="18"/>
      <w:szCs w:val="18"/>
    </w:rPr>
  </w:style>
  <w:style w:type="paragraph" w:styleId="47">
    <w:name w:val="Body Text Indent 3"/>
    <w:basedOn w:val="1"/>
    <w:link w:val="98"/>
    <w:autoRedefine/>
    <w:qFormat/>
    <w:locked/>
    <w:uiPriority w:val="0"/>
    <w:pPr>
      <w:snapToGrid w:val="0"/>
      <w:spacing w:line="480" w:lineRule="exact"/>
      <w:ind w:firstLine="480" w:firstLineChars="200"/>
    </w:pPr>
    <w:rPr>
      <w:sz w:val="24"/>
    </w:rPr>
  </w:style>
  <w:style w:type="paragraph" w:styleId="48">
    <w:name w:val="table of figures"/>
    <w:basedOn w:val="1"/>
    <w:next w:val="1"/>
    <w:autoRedefine/>
    <w:qFormat/>
    <w:locked/>
    <w:uiPriority w:val="0"/>
    <w:pPr>
      <w:ind w:left="840" w:leftChars="200" w:hanging="420" w:hangingChars="200"/>
    </w:pPr>
    <w:rPr>
      <w:sz w:val="28"/>
      <w:szCs w:val="20"/>
    </w:rPr>
  </w:style>
  <w:style w:type="paragraph" w:styleId="49">
    <w:name w:val="toc 2"/>
    <w:basedOn w:val="1"/>
    <w:next w:val="1"/>
    <w:autoRedefine/>
    <w:qFormat/>
    <w:locked/>
    <w:uiPriority w:val="39"/>
    <w:pPr>
      <w:ind w:left="210"/>
      <w:jc w:val="left"/>
    </w:pPr>
    <w:rPr>
      <w:smallCaps/>
      <w:sz w:val="20"/>
      <w:szCs w:val="20"/>
    </w:rPr>
  </w:style>
  <w:style w:type="paragraph" w:styleId="50">
    <w:name w:val="toc 9"/>
    <w:basedOn w:val="1"/>
    <w:next w:val="1"/>
    <w:autoRedefine/>
    <w:qFormat/>
    <w:locked/>
    <w:uiPriority w:val="39"/>
    <w:pPr>
      <w:ind w:left="1680"/>
      <w:jc w:val="left"/>
    </w:pPr>
    <w:rPr>
      <w:sz w:val="18"/>
      <w:szCs w:val="18"/>
    </w:rPr>
  </w:style>
  <w:style w:type="paragraph" w:styleId="51">
    <w:name w:val="Body Text 2"/>
    <w:basedOn w:val="1"/>
    <w:link w:val="99"/>
    <w:autoRedefine/>
    <w:qFormat/>
    <w:locked/>
    <w:uiPriority w:val="0"/>
    <w:pPr>
      <w:spacing w:line="288" w:lineRule="auto"/>
    </w:pPr>
    <w:rPr>
      <w:b/>
      <w:color w:val="000000"/>
      <w:sz w:val="28"/>
    </w:rPr>
  </w:style>
  <w:style w:type="paragraph" w:styleId="52">
    <w:name w:val="List Continue 2"/>
    <w:basedOn w:val="1"/>
    <w:autoRedefine/>
    <w:qFormat/>
    <w:locked/>
    <w:uiPriority w:val="0"/>
    <w:pPr>
      <w:spacing w:after="120"/>
      <w:ind w:left="840" w:leftChars="400"/>
    </w:pPr>
    <w:rPr>
      <w:kern w:val="0"/>
      <w:sz w:val="24"/>
      <w:szCs w:val="20"/>
    </w:rPr>
  </w:style>
  <w:style w:type="paragraph" w:styleId="53">
    <w:name w:val="Message Header"/>
    <w:basedOn w:val="1"/>
    <w:link w:val="100"/>
    <w:autoRedefine/>
    <w:qFormat/>
    <w:locked/>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Arial" w:hAnsi="Arial"/>
      <w:sz w:val="24"/>
    </w:rPr>
  </w:style>
  <w:style w:type="paragraph" w:styleId="54">
    <w:name w:val="HTML Preformatted"/>
    <w:basedOn w:val="1"/>
    <w:link w:val="101"/>
    <w:autoRedefine/>
    <w:qFormat/>
    <w:locked/>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pPr>
    <w:rPr>
      <w:rFonts w:ascii="Arial" w:hAnsi="Arial"/>
      <w:kern w:val="0"/>
    </w:rPr>
  </w:style>
  <w:style w:type="paragraph" w:styleId="55">
    <w:name w:val="Normal (Web)"/>
    <w:basedOn w:val="1"/>
    <w:link w:val="102"/>
    <w:autoRedefine/>
    <w:qFormat/>
    <w:uiPriority w:val="0"/>
    <w:pPr>
      <w:widowControl/>
      <w:adjustRightInd w:val="0"/>
      <w:snapToGrid w:val="0"/>
      <w:jc w:val="center"/>
      <w:outlineLvl w:val="0"/>
    </w:pPr>
    <w:rPr>
      <w:b/>
      <w:bCs/>
      <w:kern w:val="0"/>
      <w:sz w:val="24"/>
      <w:szCs w:val="20"/>
    </w:rPr>
  </w:style>
  <w:style w:type="paragraph" w:styleId="56">
    <w:name w:val="Title"/>
    <w:basedOn w:val="1"/>
    <w:next w:val="23"/>
    <w:link w:val="103"/>
    <w:autoRedefine/>
    <w:qFormat/>
    <w:locked/>
    <w:uiPriority w:val="0"/>
    <w:pPr>
      <w:keepNext/>
      <w:keepLines/>
      <w:widowControl/>
      <w:spacing w:before="480" w:after="360" w:line="480" w:lineRule="atLeast"/>
      <w:jc w:val="center"/>
    </w:pPr>
    <w:rPr>
      <w:rFonts w:ascii="Courier New" w:hAnsi="Courier New"/>
      <w:b/>
      <w:kern w:val="28"/>
      <w:sz w:val="36"/>
      <w:szCs w:val="20"/>
    </w:rPr>
  </w:style>
  <w:style w:type="paragraph" w:styleId="57">
    <w:name w:val="annotation subject"/>
    <w:basedOn w:val="20"/>
    <w:next w:val="20"/>
    <w:link w:val="104"/>
    <w:autoRedefine/>
    <w:qFormat/>
    <w:uiPriority w:val="0"/>
    <w:rPr>
      <w:b/>
      <w:kern w:val="2"/>
    </w:rPr>
  </w:style>
  <w:style w:type="paragraph" w:styleId="58">
    <w:name w:val="Body Text First Indent 2"/>
    <w:basedOn w:val="24"/>
    <w:next w:val="29"/>
    <w:link w:val="105"/>
    <w:autoRedefine/>
    <w:qFormat/>
    <w:locked/>
    <w:uiPriority w:val="0"/>
    <w:pPr>
      <w:ind w:firstLine="420" w:firstLineChars="200"/>
    </w:pPr>
    <w:rPr>
      <w:kern w:val="2"/>
      <w:sz w:val="28"/>
    </w:rPr>
  </w:style>
  <w:style w:type="table" w:styleId="60">
    <w:name w:val="Table Grid"/>
    <w:basedOn w:val="59"/>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1">
    <w:name w:val="Table Theme"/>
    <w:basedOn w:val="59"/>
    <w:autoRedefine/>
    <w:qFormat/>
    <w:locked/>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2">
    <w:name w:val="Table Elegant"/>
    <w:basedOn w:val="59"/>
    <w:autoRedefine/>
    <w:qFormat/>
    <w:locked/>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3">
    <w:name w:val="Table Grid 1"/>
    <w:basedOn w:val="59"/>
    <w:autoRedefine/>
    <w:qFormat/>
    <w:locked/>
    <w:uiPriority w:val="0"/>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character" w:styleId="65">
    <w:name w:val="Strong"/>
    <w:autoRedefine/>
    <w:qFormat/>
    <w:locked/>
    <w:uiPriority w:val="22"/>
    <w:rPr>
      <w:b/>
      <w:bCs/>
    </w:rPr>
  </w:style>
  <w:style w:type="character" w:styleId="66">
    <w:name w:val="page number"/>
    <w:autoRedefine/>
    <w:qFormat/>
    <w:locked/>
    <w:uiPriority w:val="0"/>
  </w:style>
  <w:style w:type="character" w:styleId="67">
    <w:name w:val="FollowedHyperlink"/>
    <w:autoRedefine/>
    <w:qFormat/>
    <w:locked/>
    <w:uiPriority w:val="0"/>
    <w:rPr>
      <w:color w:val="954F72"/>
      <w:u w:val="single"/>
    </w:rPr>
  </w:style>
  <w:style w:type="character" w:styleId="68">
    <w:name w:val="Emphasis"/>
    <w:autoRedefine/>
    <w:qFormat/>
    <w:locked/>
    <w:uiPriority w:val="20"/>
    <w:rPr>
      <w:color w:val="CC0033"/>
    </w:rPr>
  </w:style>
  <w:style w:type="character" w:styleId="69">
    <w:name w:val="Hyperlink"/>
    <w:autoRedefine/>
    <w:qFormat/>
    <w:locked/>
    <w:uiPriority w:val="99"/>
    <w:rPr>
      <w:color w:val="0000FF"/>
      <w:u w:val="single"/>
    </w:rPr>
  </w:style>
  <w:style w:type="character" w:styleId="70">
    <w:name w:val="HTML Code"/>
    <w:autoRedefine/>
    <w:qFormat/>
    <w:locked/>
    <w:uiPriority w:val="0"/>
    <w:rPr>
      <w:rFonts w:ascii="宋体" w:hAnsi="宋体" w:eastAsia="宋体" w:cs="宋体"/>
      <w:sz w:val="24"/>
      <w:szCs w:val="24"/>
    </w:rPr>
  </w:style>
  <w:style w:type="character" w:styleId="71">
    <w:name w:val="annotation reference"/>
    <w:autoRedefine/>
    <w:qFormat/>
    <w:uiPriority w:val="0"/>
    <w:rPr>
      <w:sz w:val="21"/>
    </w:rPr>
  </w:style>
  <w:style w:type="paragraph" w:customStyle="1" w:styleId="72">
    <w:name w:val="正文缩进2"/>
    <w:basedOn w:val="1"/>
    <w:autoRedefine/>
    <w:qFormat/>
    <w:uiPriority w:val="0"/>
    <w:pPr>
      <w:spacing w:line="500" w:lineRule="exact"/>
    </w:pPr>
  </w:style>
  <w:style w:type="character" w:customStyle="1" w:styleId="73">
    <w:name w:val="正文文本 字符"/>
    <w:link w:val="23"/>
    <w:autoRedefine/>
    <w:qFormat/>
    <w:locked/>
    <w:uiPriority w:val="0"/>
    <w:rPr>
      <w:snapToGrid w:val="0"/>
      <w:sz w:val="18"/>
    </w:rPr>
  </w:style>
  <w:style w:type="character" w:customStyle="1" w:styleId="74">
    <w:name w:val="标题 1 字符2"/>
    <w:link w:val="3"/>
    <w:autoRedefine/>
    <w:qFormat/>
    <w:uiPriority w:val="0"/>
    <w:rPr>
      <w:rFonts w:eastAsia="黑体"/>
      <w:b/>
      <w:bCs/>
      <w:color w:val="000000"/>
      <w:kern w:val="44"/>
      <w:sz w:val="30"/>
      <w:szCs w:val="30"/>
    </w:rPr>
  </w:style>
  <w:style w:type="character" w:customStyle="1" w:styleId="75">
    <w:name w:val="标题 2 字符1"/>
    <w:link w:val="4"/>
    <w:autoRedefine/>
    <w:qFormat/>
    <w:uiPriority w:val="0"/>
    <w:rPr>
      <w:kern w:val="2"/>
      <w:sz w:val="24"/>
    </w:rPr>
  </w:style>
  <w:style w:type="character" w:customStyle="1" w:styleId="76">
    <w:name w:val="正文缩进 字符2"/>
    <w:link w:val="5"/>
    <w:autoRedefine/>
    <w:qFormat/>
    <w:uiPriority w:val="0"/>
    <w:rPr>
      <w:kern w:val="2"/>
      <w:sz w:val="21"/>
    </w:rPr>
  </w:style>
  <w:style w:type="character" w:customStyle="1" w:styleId="77">
    <w:name w:val="标题 3 字符1"/>
    <w:link w:val="2"/>
    <w:autoRedefine/>
    <w:qFormat/>
    <w:uiPriority w:val="0"/>
    <w:rPr>
      <w:b/>
      <w:bCs/>
      <w:kern w:val="2"/>
      <w:sz w:val="32"/>
      <w:szCs w:val="32"/>
    </w:rPr>
  </w:style>
  <w:style w:type="character" w:customStyle="1" w:styleId="78">
    <w:name w:val="标题 4 字符2"/>
    <w:link w:val="6"/>
    <w:autoRedefine/>
    <w:qFormat/>
    <w:uiPriority w:val="0"/>
    <w:rPr>
      <w:rFonts w:ascii="Arial" w:hAnsi="Arial"/>
      <w:kern w:val="2"/>
      <w:sz w:val="24"/>
    </w:rPr>
  </w:style>
  <w:style w:type="character" w:customStyle="1" w:styleId="79">
    <w:name w:val="标题 5 字符2"/>
    <w:link w:val="7"/>
    <w:autoRedefine/>
    <w:qFormat/>
    <w:uiPriority w:val="9"/>
    <w:rPr>
      <w:b/>
      <w:bCs/>
      <w:kern w:val="2"/>
      <w:sz w:val="24"/>
    </w:rPr>
  </w:style>
  <w:style w:type="character" w:customStyle="1" w:styleId="80">
    <w:name w:val="标题 6 字符2"/>
    <w:link w:val="8"/>
    <w:autoRedefine/>
    <w:qFormat/>
    <w:uiPriority w:val="9"/>
    <w:rPr>
      <w:rFonts w:ascii="Arial" w:hAnsi="Arial" w:eastAsia="黑体"/>
      <w:b/>
      <w:bCs/>
      <w:kern w:val="2"/>
      <w:sz w:val="24"/>
      <w:szCs w:val="24"/>
    </w:rPr>
  </w:style>
  <w:style w:type="character" w:customStyle="1" w:styleId="81">
    <w:name w:val="标题 7 字符1"/>
    <w:link w:val="9"/>
    <w:autoRedefine/>
    <w:qFormat/>
    <w:uiPriority w:val="9"/>
    <w:rPr>
      <w:rFonts w:eastAsia="仿宋_GB2312"/>
      <w:b/>
      <w:bCs/>
      <w:kern w:val="2"/>
      <w:sz w:val="24"/>
      <w:szCs w:val="24"/>
    </w:rPr>
  </w:style>
  <w:style w:type="character" w:customStyle="1" w:styleId="82">
    <w:name w:val="标题 8 字符3"/>
    <w:link w:val="10"/>
    <w:autoRedefine/>
    <w:qFormat/>
    <w:uiPriority w:val="0"/>
    <w:rPr>
      <w:b/>
      <w:bCs/>
      <w:sz w:val="32"/>
      <w:szCs w:val="24"/>
      <w:lang w:val="en-GB" w:eastAsia="es-ES"/>
    </w:rPr>
  </w:style>
  <w:style w:type="character" w:customStyle="1" w:styleId="83">
    <w:name w:val="标题 9 字符1"/>
    <w:link w:val="11"/>
    <w:autoRedefine/>
    <w:qFormat/>
    <w:uiPriority w:val="9"/>
    <w:rPr>
      <w:rFonts w:ascii="Arial" w:hAnsi="Arial" w:eastAsia="黑体"/>
      <w:kern w:val="2"/>
      <w:sz w:val="21"/>
      <w:szCs w:val="21"/>
    </w:rPr>
  </w:style>
  <w:style w:type="character" w:customStyle="1" w:styleId="84">
    <w:name w:val="题注 字符1"/>
    <w:link w:val="16"/>
    <w:autoRedefine/>
    <w:qFormat/>
    <w:uiPriority w:val="0"/>
    <w:rPr>
      <w:rFonts w:ascii="等线 Light" w:hAnsi="等线 Light" w:eastAsia="黑体"/>
      <w:kern w:val="2"/>
    </w:rPr>
  </w:style>
  <w:style w:type="character" w:customStyle="1" w:styleId="85">
    <w:name w:val="文档结构图 字符3"/>
    <w:link w:val="18"/>
    <w:autoRedefine/>
    <w:qFormat/>
    <w:uiPriority w:val="0"/>
    <w:rPr>
      <w:kern w:val="2"/>
      <w:sz w:val="21"/>
      <w:szCs w:val="24"/>
      <w:shd w:val="clear" w:color="auto" w:fill="000080"/>
    </w:rPr>
  </w:style>
  <w:style w:type="character" w:customStyle="1" w:styleId="86">
    <w:name w:val="批注文字 字符2"/>
    <w:link w:val="20"/>
    <w:autoRedefine/>
    <w:qFormat/>
    <w:locked/>
    <w:uiPriority w:val="99"/>
    <w:rPr>
      <w:snapToGrid w:val="0"/>
      <w:sz w:val="24"/>
    </w:rPr>
  </w:style>
  <w:style w:type="character" w:customStyle="1" w:styleId="87">
    <w:name w:val="称呼 字符1"/>
    <w:link w:val="21"/>
    <w:autoRedefine/>
    <w:qFormat/>
    <w:uiPriority w:val="0"/>
    <w:rPr>
      <w:rFonts w:ascii="宋体" w:hAnsi="Courier New"/>
      <w:kern w:val="2"/>
      <w:sz w:val="21"/>
    </w:rPr>
  </w:style>
  <w:style w:type="character" w:customStyle="1" w:styleId="88">
    <w:name w:val="正文文本 3 字符3"/>
    <w:link w:val="22"/>
    <w:autoRedefine/>
    <w:qFormat/>
    <w:uiPriority w:val="0"/>
    <w:rPr>
      <w:b/>
      <w:bCs/>
      <w:kern w:val="2"/>
      <w:sz w:val="24"/>
      <w:szCs w:val="24"/>
    </w:rPr>
  </w:style>
  <w:style w:type="character" w:customStyle="1" w:styleId="89">
    <w:name w:val="正文文本缩进 字符2"/>
    <w:link w:val="24"/>
    <w:autoRedefine/>
    <w:qFormat/>
    <w:locked/>
    <w:uiPriority w:val="0"/>
    <w:rPr>
      <w:rFonts w:ascii="Times New Roman" w:hAnsi="Times New Roman" w:eastAsia="宋体"/>
      <w:sz w:val="24"/>
    </w:rPr>
  </w:style>
  <w:style w:type="character" w:customStyle="1" w:styleId="90">
    <w:name w:val="正文文本首行缩进 字符1"/>
    <w:link w:val="29"/>
    <w:autoRedefine/>
    <w:qFormat/>
    <w:uiPriority w:val="0"/>
    <w:rPr>
      <w:rFonts w:ascii="宋体"/>
      <w:kern w:val="28"/>
      <w:sz w:val="24"/>
    </w:rPr>
  </w:style>
  <w:style w:type="character" w:customStyle="1" w:styleId="91">
    <w:name w:val="纯文本 字符3"/>
    <w:link w:val="32"/>
    <w:autoRedefine/>
    <w:qFormat/>
    <w:uiPriority w:val="0"/>
    <w:rPr>
      <w:rFonts w:ascii="宋体" w:hAnsi="Courier New"/>
      <w:kern w:val="2"/>
      <w:sz w:val="21"/>
    </w:rPr>
  </w:style>
  <w:style w:type="character" w:customStyle="1" w:styleId="92">
    <w:name w:val="日期 字符3"/>
    <w:link w:val="35"/>
    <w:autoRedefine/>
    <w:qFormat/>
    <w:locked/>
    <w:uiPriority w:val="0"/>
    <w:rPr>
      <w:rFonts w:ascii="Times New Roman" w:hAnsi="Times New Roman" w:eastAsia="宋体"/>
      <w:sz w:val="24"/>
    </w:rPr>
  </w:style>
  <w:style w:type="character" w:customStyle="1" w:styleId="93">
    <w:name w:val="正文文本缩进 2 字符3"/>
    <w:link w:val="36"/>
    <w:autoRedefine/>
    <w:qFormat/>
    <w:uiPriority w:val="0"/>
    <w:rPr>
      <w:kern w:val="2"/>
      <w:sz w:val="24"/>
      <w:szCs w:val="24"/>
    </w:rPr>
  </w:style>
  <w:style w:type="character" w:customStyle="1" w:styleId="94">
    <w:name w:val="批注框文本 字符3"/>
    <w:link w:val="37"/>
    <w:autoRedefine/>
    <w:semiHidden/>
    <w:qFormat/>
    <w:locked/>
    <w:uiPriority w:val="0"/>
    <w:rPr>
      <w:rFonts w:ascii="Times New Roman" w:hAnsi="Times New Roman" w:eastAsia="宋体"/>
      <w:sz w:val="18"/>
    </w:rPr>
  </w:style>
  <w:style w:type="character" w:customStyle="1" w:styleId="95">
    <w:name w:val="页脚 字符1"/>
    <w:link w:val="38"/>
    <w:autoRedefine/>
    <w:qFormat/>
    <w:locked/>
    <w:uiPriority w:val="0"/>
    <w:rPr>
      <w:sz w:val="18"/>
    </w:rPr>
  </w:style>
  <w:style w:type="character" w:customStyle="1" w:styleId="96">
    <w:name w:val="页眉 字符1"/>
    <w:link w:val="39"/>
    <w:autoRedefine/>
    <w:qFormat/>
    <w:locked/>
    <w:uiPriority w:val="0"/>
    <w:rPr>
      <w:sz w:val="18"/>
    </w:rPr>
  </w:style>
  <w:style w:type="character" w:customStyle="1" w:styleId="97">
    <w:name w:val="副标题 字符3"/>
    <w:link w:val="44"/>
    <w:autoRedefine/>
    <w:qFormat/>
    <w:uiPriority w:val="11"/>
    <w:rPr>
      <w:rFonts w:ascii="Calibri" w:hAnsi="Calibri"/>
      <w:color w:val="5A5A5A"/>
      <w:spacing w:val="15"/>
      <w:sz w:val="22"/>
      <w:szCs w:val="22"/>
    </w:rPr>
  </w:style>
  <w:style w:type="character" w:customStyle="1" w:styleId="98">
    <w:name w:val="正文文本缩进 3 字符2"/>
    <w:link w:val="47"/>
    <w:autoRedefine/>
    <w:qFormat/>
    <w:uiPriority w:val="0"/>
    <w:rPr>
      <w:kern w:val="2"/>
      <w:sz w:val="24"/>
      <w:szCs w:val="24"/>
    </w:rPr>
  </w:style>
  <w:style w:type="character" w:customStyle="1" w:styleId="99">
    <w:name w:val="正文文本 2 字符3"/>
    <w:link w:val="51"/>
    <w:autoRedefine/>
    <w:qFormat/>
    <w:uiPriority w:val="0"/>
    <w:rPr>
      <w:b/>
      <w:color w:val="000000"/>
      <w:kern w:val="2"/>
      <w:sz w:val="28"/>
      <w:szCs w:val="24"/>
    </w:rPr>
  </w:style>
  <w:style w:type="character" w:customStyle="1" w:styleId="100">
    <w:name w:val="信息标题 字符3"/>
    <w:link w:val="53"/>
    <w:autoRedefine/>
    <w:qFormat/>
    <w:uiPriority w:val="0"/>
    <w:rPr>
      <w:rFonts w:ascii="Arial" w:hAnsi="Arial"/>
      <w:kern w:val="2"/>
      <w:sz w:val="24"/>
      <w:szCs w:val="24"/>
      <w:shd w:val="pct20" w:color="auto" w:fill="auto"/>
    </w:rPr>
  </w:style>
  <w:style w:type="character" w:customStyle="1" w:styleId="101">
    <w:name w:val="HTML 预设格式 字符1"/>
    <w:link w:val="54"/>
    <w:autoRedefine/>
    <w:qFormat/>
    <w:uiPriority w:val="99"/>
    <w:rPr>
      <w:rFonts w:ascii="Arial" w:hAnsi="Arial"/>
      <w:sz w:val="21"/>
      <w:szCs w:val="21"/>
    </w:rPr>
  </w:style>
  <w:style w:type="character" w:customStyle="1" w:styleId="102">
    <w:name w:val="普通(网站) 字符1"/>
    <w:link w:val="55"/>
    <w:autoRedefine/>
    <w:qFormat/>
    <w:locked/>
    <w:uiPriority w:val="0"/>
    <w:rPr>
      <w:b/>
      <w:bCs/>
      <w:snapToGrid w:val="0"/>
      <w:sz w:val="24"/>
    </w:rPr>
  </w:style>
  <w:style w:type="character" w:customStyle="1" w:styleId="103">
    <w:name w:val="标题 字符2"/>
    <w:link w:val="56"/>
    <w:autoRedefine/>
    <w:qFormat/>
    <w:uiPriority w:val="0"/>
    <w:rPr>
      <w:rFonts w:ascii="Courier New" w:hAnsi="Courier New"/>
      <w:b/>
      <w:kern w:val="28"/>
      <w:sz w:val="36"/>
    </w:rPr>
  </w:style>
  <w:style w:type="character" w:customStyle="1" w:styleId="104">
    <w:name w:val="批注主题 字符3"/>
    <w:link w:val="57"/>
    <w:autoRedefine/>
    <w:qFormat/>
    <w:locked/>
    <w:uiPriority w:val="0"/>
    <w:rPr>
      <w:rFonts w:ascii="Times New Roman" w:hAnsi="Times New Roman" w:eastAsia="宋体"/>
      <w:b/>
      <w:kern w:val="2"/>
      <w:sz w:val="24"/>
    </w:rPr>
  </w:style>
  <w:style w:type="character" w:customStyle="1" w:styleId="105">
    <w:name w:val="正文文本首行缩进 2 字符1"/>
    <w:link w:val="58"/>
    <w:autoRedefine/>
    <w:qFormat/>
    <w:uiPriority w:val="0"/>
    <w:rPr>
      <w:rFonts w:ascii="Times New Roman" w:hAnsi="Times New Roman" w:eastAsia="宋体"/>
      <w:kern w:val="2"/>
      <w:sz w:val="28"/>
    </w:rPr>
  </w:style>
  <w:style w:type="paragraph" w:customStyle="1" w:styleId="106">
    <w:name w:val="Default"/>
    <w:basedOn w:val="107"/>
    <w:autoRedefine/>
    <w:qFormat/>
    <w:uiPriority w:val="0"/>
    <w:pPr>
      <w:widowControl w:val="0"/>
      <w:autoSpaceDE w:val="0"/>
      <w:autoSpaceDN w:val="0"/>
      <w:adjustRightInd w:val="0"/>
    </w:pPr>
    <w:rPr>
      <w:rFonts w:ascii="宋体"/>
      <w:color w:val="000000"/>
    </w:rPr>
  </w:style>
  <w:style w:type="paragraph" w:customStyle="1" w:styleId="107">
    <w:name w:val="标题 段落4级"/>
    <w:autoRedefine/>
    <w:qFormat/>
    <w:uiPriority w:val="0"/>
    <w:pPr>
      <w:spacing w:line="500" w:lineRule="exact"/>
      <w:outlineLvl w:val="3"/>
    </w:pPr>
    <w:rPr>
      <w:rFonts w:ascii="Times New Roman" w:hAnsi="Times New Roman" w:eastAsia="仿宋_GB2312" w:cs="Calibri"/>
      <w:b/>
      <w:kern w:val="2"/>
      <w:sz w:val="28"/>
      <w:szCs w:val="24"/>
      <w:lang w:val="en-US" w:eastAsia="zh-CN" w:bidi="ar-SA"/>
    </w:rPr>
  </w:style>
  <w:style w:type="paragraph" w:customStyle="1" w:styleId="108">
    <w:name w:val="纯文本1"/>
    <w:basedOn w:val="1"/>
    <w:autoRedefine/>
    <w:qFormat/>
    <w:uiPriority w:val="0"/>
    <w:pPr>
      <w:widowControl/>
      <w:spacing w:beforeLines="10" w:afterLines="10" w:line="360" w:lineRule="auto"/>
      <w:ind w:firstLine="200" w:firstLineChars="200"/>
      <w:jc w:val="left"/>
    </w:pPr>
    <w:rPr>
      <w:rFonts w:hAnsi="宋体" w:cs="宋体"/>
      <w:kern w:val="0"/>
      <w:sz w:val="24"/>
    </w:rPr>
  </w:style>
  <w:style w:type="character" w:customStyle="1" w:styleId="109">
    <w:name w:val="正文缩进 Char1"/>
    <w:autoRedefine/>
    <w:qFormat/>
    <w:uiPriority w:val="0"/>
    <w:rPr>
      <w:rFonts w:eastAsia="宋体"/>
      <w:kern w:val="2"/>
      <w:sz w:val="21"/>
      <w:lang w:val="en-US" w:eastAsia="zh-CN" w:bidi="ar-SA"/>
    </w:rPr>
  </w:style>
  <w:style w:type="character" w:customStyle="1" w:styleId="110">
    <w:name w:val="ddd"/>
    <w:autoRedefine/>
    <w:qFormat/>
    <w:uiPriority w:val="0"/>
  </w:style>
  <w:style w:type="character" w:customStyle="1" w:styleId="111">
    <w:name w:val="font41"/>
    <w:autoRedefine/>
    <w:qFormat/>
    <w:uiPriority w:val="0"/>
    <w:rPr>
      <w:rFonts w:hint="default" w:ascii="Times New Roman" w:hAnsi="Times New Roman" w:cs="Times New Roman"/>
      <w:b/>
      <w:bCs/>
      <w:color w:val="000000"/>
      <w:sz w:val="21"/>
      <w:szCs w:val="21"/>
      <w:u w:val="none"/>
    </w:rPr>
  </w:style>
  <w:style w:type="character" w:customStyle="1" w:styleId="112">
    <w:name w:val="正文首行缩进2个字 Char Char"/>
    <w:link w:val="113"/>
    <w:autoRedefine/>
    <w:qFormat/>
    <w:uiPriority w:val="0"/>
    <w:rPr>
      <w:rFonts w:eastAsia="楷体"/>
      <w:kern w:val="2"/>
      <w:sz w:val="24"/>
      <w:szCs w:val="24"/>
    </w:rPr>
  </w:style>
  <w:style w:type="paragraph" w:customStyle="1" w:styleId="113">
    <w:name w:val="正文首行缩进2个字 Char"/>
    <w:basedOn w:val="1"/>
    <w:link w:val="112"/>
    <w:autoRedefine/>
    <w:qFormat/>
    <w:uiPriority w:val="0"/>
    <w:pPr>
      <w:ind w:firstLine="480" w:firstLineChars="200"/>
    </w:pPr>
    <w:rPr>
      <w:rFonts w:eastAsia="楷体"/>
      <w:sz w:val="24"/>
    </w:rPr>
  </w:style>
  <w:style w:type="character" w:customStyle="1" w:styleId="114">
    <w:name w:val="正文文本 3 字符"/>
    <w:autoRedefine/>
    <w:qFormat/>
    <w:uiPriority w:val="99"/>
    <w:rPr>
      <w:kern w:val="2"/>
      <w:sz w:val="16"/>
      <w:szCs w:val="16"/>
    </w:rPr>
  </w:style>
  <w:style w:type="character" w:customStyle="1" w:styleId="115">
    <w:name w:val="3级标题-都 Char"/>
    <w:link w:val="116"/>
    <w:autoRedefine/>
    <w:qFormat/>
    <w:uiPriority w:val="0"/>
    <w:rPr>
      <w:b/>
      <w:kern w:val="2"/>
      <w:sz w:val="24"/>
      <w:szCs w:val="28"/>
    </w:rPr>
  </w:style>
  <w:style w:type="paragraph" w:customStyle="1" w:styleId="116">
    <w:name w:val="3级标题-都"/>
    <w:basedOn w:val="117"/>
    <w:link w:val="115"/>
    <w:autoRedefine/>
    <w:qFormat/>
    <w:uiPriority w:val="0"/>
    <w:pPr>
      <w:ind w:firstLine="0" w:firstLineChars="0"/>
      <w:outlineLvl w:val="2"/>
    </w:pPr>
    <w:rPr>
      <w:b/>
      <w:kern w:val="2"/>
    </w:rPr>
  </w:style>
  <w:style w:type="paragraph" w:customStyle="1" w:styleId="117">
    <w:name w:val="+正文-都"/>
    <w:link w:val="118"/>
    <w:autoRedefine/>
    <w:qFormat/>
    <w:uiPriority w:val="0"/>
    <w:pPr>
      <w:spacing w:line="480" w:lineRule="exact"/>
      <w:ind w:firstLine="200" w:firstLineChars="200"/>
    </w:pPr>
    <w:rPr>
      <w:rFonts w:ascii="Times New Roman" w:hAnsi="Times New Roman" w:eastAsia="宋体" w:cs="Times New Roman"/>
      <w:sz w:val="24"/>
      <w:szCs w:val="28"/>
      <w:lang w:val="en-US" w:eastAsia="zh-CN" w:bidi="ar-SA"/>
    </w:rPr>
  </w:style>
  <w:style w:type="character" w:customStyle="1" w:styleId="118">
    <w:name w:val="+正文-都 Char"/>
    <w:link w:val="117"/>
    <w:autoRedefine/>
    <w:qFormat/>
    <w:uiPriority w:val="0"/>
    <w:rPr>
      <w:sz w:val="24"/>
      <w:szCs w:val="28"/>
      <w:lang w:val="en-US" w:eastAsia="zh-CN" w:bidi="ar-SA"/>
    </w:rPr>
  </w:style>
  <w:style w:type="character" w:customStyle="1" w:styleId="119">
    <w:name w:val="text31"/>
    <w:autoRedefine/>
    <w:qFormat/>
    <w:uiPriority w:val="0"/>
    <w:rPr>
      <w:rFonts w:hint="eastAsia" w:ascii="宋体" w:hAnsi="宋体" w:eastAsia="宋体"/>
      <w:color w:val="673434"/>
      <w:sz w:val="22"/>
      <w:szCs w:val="22"/>
      <w:u w:val="none"/>
    </w:rPr>
  </w:style>
  <w:style w:type="character" w:customStyle="1" w:styleId="120">
    <w:name w:val="正文000000000000000 宋体 小四 黑色 首行缩进:  0.85 厘米 行距: 固定值 22 磅 Char"/>
    <w:autoRedefine/>
    <w:qFormat/>
    <w:uiPriority w:val="99"/>
    <w:rPr>
      <w:rFonts w:eastAsia="宋体"/>
      <w:color w:val="000000"/>
      <w:sz w:val="24"/>
    </w:rPr>
  </w:style>
  <w:style w:type="character" w:customStyle="1" w:styleId="121">
    <w:name w:val="textjianju2"/>
    <w:autoRedefine/>
    <w:qFormat/>
    <w:uiPriority w:val="0"/>
  </w:style>
  <w:style w:type="character" w:customStyle="1" w:styleId="122">
    <w:name w:val="标题 2 Char2"/>
    <w:autoRedefine/>
    <w:qFormat/>
    <w:uiPriority w:val="0"/>
    <w:rPr>
      <w:rFonts w:eastAsia="宋体"/>
      <w:kern w:val="2"/>
      <w:sz w:val="28"/>
      <w:szCs w:val="28"/>
      <w:lang w:val="en-US" w:eastAsia="zh-CN" w:bidi="ar-SA"/>
    </w:rPr>
  </w:style>
  <w:style w:type="character" w:customStyle="1" w:styleId="123">
    <w:name w:val="正文文本首行缩进 字符"/>
    <w:autoRedefine/>
    <w:qFormat/>
    <w:uiPriority w:val="0"/>
    <w:rPr>
      <w:kern w:val="2"/>
      <w:sz w:val="21"/>
      <w:szCs w:val="24"/>
    </w:rPr>
  </w:style>
  <w:style w:type="character" w:customStyle="1" w:styleId="124">
    <w:name w:val="页脚 字符2"/>
    <w:autoRedefine/>
    <w:qFormat/>
    <w:locked/>
    <w:uiPriority w:val="0"/>
    <w:rPr>
      <w:kern w:val="2"/>
      <w:sz w:val="18"/>
      <w:szCs w:val="18"/>
    </w:rPr>
  </w:style>
  <w:style w:type="character" w:customStyle="1" w:styleId="125">
    <w:name w:val="正文文本缩进 3 字符"/>
    <w:autoRedefine/>
    <w:qFormat/>
    <w:uiPriority w:val="0"/>
    <w:rPr>
      <w:kern w:val="2"/>
      <w:sz w:val="16"/>
      <w:szCs w:val="16"/>
    </w:rPr>
  </w:style>
  <w:style w:type="character" w:customStyle="1" w:styleId="126">
    <w:name w:val="正文文本 2 字符"/>
    <w:autoRedefine/>
    <w:qFormat/>
    <w:uiPriority w:val="99"/>
    <w:rPr>
      <w:kern w:val="2"/>
      <w:sz w:val="21"/>
      <w:szCs w:val="24"/>
    </w:rPr>
  </w:style>
  <w:style w:type="character" w:customStyle="1" w:styleId="127">
    <w:name w:val="批注框文本 字符1"/>
    <w:autoRedefine/>
    <w:semiHidden/>
    <w:qFormat/>
    <w:uiPriority w:val="0"/>
    <w:rPr>
      <w:rFonts w:ascii="Times New Roman" w:hAnsi="Times New Roman" w:eastAsia="宋体" w:cs="Times New Roman"/>
      <w:sz w:val="18"/>
      <w:szCs w:val="18"/>
    </w:rPr>
  </w:style>
  <w:style w:type="character" w:customStyle="1" w:styleId="128">
    <w:name w:val="ll1"/>
    <w:autoRedefine/>
    <w:qFormat/>
    <w:uiPriority w:val="0"/>
    <w:rPr>
      <w:sz w:val="20"/>
      <w:szCs w:val="20"/>
    </w:rPr>
  </w:style>
  <w:style w:type="character" w:customStyle="1" w:styleId="129">
    <w:name w:val="正文首行缩进 Char"/>
    <w:autoRedefine/>
    <w:qFormat/>
    <w:uiPriority w:val="0"/>
  </w:style>
  <w:style w:type="character" w:customStyle="1" w:styleId="130">
    <w:name w:val="td1"/>
    <w:autoRedefine/>
    <w:qFormat/>
    <w:uiPriority w:val="0"/>
    <w:rPr>
      <w:color w:val="000000"/>
      <w:sz w:val="21"/>
      <w:szCs w:val="21"/>
    </w:rPr>
  </w:style>
  <w:style w:type="character" w:customStyle="1" w:styleId="131">
    <w:name w:val="正文001 Char Char Char Char"/>
    <w:autoRedefine/>
    <w:qFormat/>
    <w:uiPriority w:val="99"/>
    <w:rPr>
      <w:rFonts w:eastAsia="宋体"/>
      <w:kern w:val="2"/>
      <w:sz w:val="24"/>
      <w:lang w:val="en-US" w:eastAsia="zh-CN"/>
    </w:rPr>
  </w:style>
  <w:style w:type="character" w:customStyle="1" w:styleId="132">
    <w:name w:val="特点标题 Char Char"/>
    <w:autoRedefine/>
    <w:qFormat/>
    <w:uiPriority w:val="0"/>
    <w:rPr>
      <w:rFonts w:eastAsia="宋体"/>
      <w:kern w:val="2"/>
      <w:sz w:val="21"/>
      <w:szCs w:val="24"/>
      <w:lang w:val="en-US" w:eastAsia="zh-CN" w:bidi="ar-SA"/>
    </w:rPr>
  </w:style>
  <w:style w:type="character" w:customStyle="1" w:styleId="133">
    <w:name w:val="正文000000000000000 宋体 小四 黑色 首行缩进:  0.85 厘米 行距: 固定值 22 磅 Char Char"/>
    <w:link w:val="134"/>
    <w:autoRedefine/>
    <w:qFormat/>
    <w:locked/>
    <w:uiPriority w:val="99"/>
    <w:rPr>
      <w:rFonts w:ascii="Calibri" w:hAnsi="Calibri"/>
      <w:color w:val="000000"/>
      <w:sz w:val="24"/>
      <w:szCs w:val="24"/>
    </w:rPr>
  </w:style>
  <w:style w:type="paragraph" w:customStyle="1" w:styleId="134">
    <w:name w:val="正文000000000000000 宋体 小四 黑色 首行缩进:  0.85 厘米 行距: 固定值 22 磅"/>
    <w:basedOn w:val="1"/>
    <w:link w:val="133"/>
    <w:autoRedefine/>
    <w:qFormat/>
    <w:uiPriority w:val="99"/>
    <w:pPr>
      <w:spacing w:line="440" w:lineRule="exact"/>
      <w:ind w:firstLine="200" w:firstLineChars="200"/>
    </w:pPr>
    <w:rPr>
      <w:rFonts w:ascii="Calibri" w:hAnsi="Calibri"/>
      <w:color w:val="000000"/>
      <w:kern w:val="0"/>
      <w:sz w:val="24"/>
    </w:rPr>
  </w:style>
  <w:style w:type="character" w:customStyle="1" w:styleId="135">
    <w:name w:val="text_body1"/>
    <w:autoRedefine/>
    <w:qFormat/>
    <w:uiPriority w:val="0"/>
    <w:rPr>
      <w:rFonts w:hint="default" w:ascii="Verdana" w:hAnsi="Verdana"/>
      <w:sz w:val="21"/>
      <w:szCs w:val="21"/>
    </w:rPr>
  </w:style>
  <w:style w:type="character" w:customStyle="1" w:styleId="136">
    <w:name w:val="标题2 非连续 Char"/>
    <w:link w:val="137"/>
    <w:autoRedefine/>
    <w:qFormat/>
    <w:uiPriority w:val="0"/>
    <w:rPr>
      <w:rFonts w:ascii="Arial" w:hAnsi="Arial" w:eastAsia="黑体"/>
      <w:b/>
      <w:bCs/>
      <w:sz w:val="28"/>
      <w:szCs w:val="32"/>
    </w:rPr>
  </w:style>
  <w:style w:type="paragraph" w:customStyle="1" w:styleId="137">
    <w:name w:val="标题2 非连续"/>
    <w:basedOn w:val="4"/>
    <w:link w:val="136"/>
    <w:autoRedefine/>
    <w:qFormat/>
    <w:uiPriority w:val="0"/>
    <w:pPr>
      <w:keepLines/>
      <w:tabs>
        <w:tab w:val="left" w:pos="425"/>
      </w:tabs>
      <w:spacing w:before="50" w:beforeLines="50" w:line="440" w:lineRule="exact"/>
      <w:jc w:val="both"/>
    </w:pPr>
    <w:rPr>
      <w:rFonts w:ascii="Arial" w:hAnsi="Arial" w:eastAsia="黑体"/>
      <w:b/>
      <w:bCs/>
      <w:kern w:val="0"/>
      <w:sz w:val="28"/>
      <w:szCs w:val="32"/>
    </w:rPr>
  </w:style>
  <w:style w:type="character" w:customStyle="1" w:styleId="138">
    <w:name w:val="b-121"/>
    <w:autoRedefine/>
    <w:qFormat/>
    <w:uiPriority w:val="0"/>
    <w:rPr>
      <w:rFonts w:hint="default" w:ascii="_x000B__x000C_" w:hAnsi="_x000B__x000C_"/>
      <w:color w:val="000000"/>
      <w:sz w:val="18"/>
      <w:szCs w:val="18"/>
      <w:u w:val="none"/>
    </w:rPr>
  </w:style>
  <w:style w:type="character" w:customStyle="1" w:styleId="139">
    <w:name w:val="WW8Num1313z0"/>
    <w:autoRedefine/>
    <w:qFormat/>
    <w:uiPriority w:val="0"/>
    <w:rPr>
      <w:rFonts w:ascii="Times New Roman" w:hAnsi="Times New Roman" w:cs="Times New Roman"/>
      <w:spacing w:val="0"/>
      <w:position w:val="0"/>
      <w:sz w:val="24"/>
      <w:u w:val="none"/>
      <w:vertAlign w:val="baseline"/>
    </w:rPr>
  </w:style>
  <w:style w:type="character" w:customStyle="1" w:styleId="140">
    <w:name w:val="样式 样式 样式 Arial 小四 行距: 1.5 倍行距 + 首行缩进:  2 字符 + 首行缩进:  2 字符 Char Char"/>
    <w:link w:val="141"/>
    <w:autoRedefine/>
    <w:qFormat/>
    <w:locked/>
    <w:uiPriority w:val="99"/>
    <w:rPr>
      <w:rFonts w:ascii="Arial" w:hAnsi="Arial"/>
      <w:sz w:val="24"/>
    </w:rPr>
  </w:style>
  <w:style w:type="paragraph" w:customStyle="1" w:styleId="141">
    <w:name w:val="样式 样式 样式 Arial 小四 行距: 1.5 倍行距 + 首行缩进:  2 字符 + 首行缩进:  2 字符"/>
    <w:basedOn w:val="1"/>
    <w:link w:val="140"/>
    <w:autoRedefine/>
    <w:qFormat/>
    <w:uiPriority w:val="99"/>
    <w:pPr>
      <w:spacing w:line="440" w:lineRule="exact"/>
      <w:ind w:firstLine="200" w:firstLineChars="200"/>
    </w:pPr>
    <w:rPr>
      <w:rFonts w:ascii="Arial" w:hAnsi="Arial"/>
      <w:kern w:val="0"/>
      <w:sz w:val="24"/>
      <w:szCs w:val="20"/>
    </w:rPr>
  </w:style>
  <w:style w:type="character" w:customStyle="1" w:styleId="142">
    <w:name w:val="正文01 Char"/>
    <w:link w:val="143"/>
    <w:autoRedefine/>
    <w:qFormat/>
    <w:uiPriority w:val="0"/>
    <w:rPr>
      <w:kern w:val="2"/>
      <w:sz w:val="27"/>
    </w:rPr>
  </w:style>
  <w:style w:type="paragraph" w:customStyle="1" w:styleId="143">
    <w:name w:val="正文01"/>
    <w:basedOn w:val="1"/>
    <w:link w:val="142"/>
    <w:autoRedefine/>
    <w:qFormat/>
    <w:uiPriority w:val="0"/>
    <w:pPr>
      <w:spacing w:before="60" w:line="480" w:lineRule="exact"/>
      <w:ind w:firstLine="539"/>
    </w:pPr>
    <w:rPr>
      <w:sz w:val="27"/>
      <w:szCs w:val="20"/>
    </w:rPr>
  </w:style>
  <w:style w:type="character" w:customStyle="1" w:styleId="144">
    <w:name w:val="表格文字1 Char"/>
    <w:link w:val="145"/>
    <w:autoRedefine/>
    <w:qFormat/>
    <w:uiPriority w:val="0"/>
    <w:rPr>
      <w:kern w:val="2"/>
      <w:sz w:val="21"/>
      <w:szCs w:val="21"/>
    </w:rPr>
  </w:style>
  <w:style w:type="paragraph" w:customStyle="1" w:styleId="145">
    <w:name w:val="表格文字1"/>
    <w:basedOn w:val="1"/>
    <w:link w:val="144"/>
    <w:autoRedefine/>
    <w:qFormat/>
    <w:uiPriority w:val="0"/>
    <w:pPr>
      <w:tabs>
        <w:tab w:val="left" w:pos="0"/>
      </w:tabs>
      <w:autoSpaceDE w:val="0"/>
      <w:autoSpaceDN w:val="0"/>
      <w:adjustRightInd w:val="0"/>
      <w:ind w:right="57"/>
      <w:textAlignment w:val="baseline"/>
    </w:pPr>
  </w:style>
  <w:style w:type="character" w:customStyle="1" w:styleId="146">
    <w:name w:val="标题 3 Char3 Char1"/>
    <w:autoRedefine/>
    <w:qFormat/>
    <w:uiPriority w:val="0"/>
    <w:rPr>
      <w:b/>
      <w:bCs/>
      <w:kern w:val="2"/>
      <w:sz w:val="32"/>
      <w:szCs w:val="32"/>
    </w:rPr>
  </w:style>
  <w:style w:type="character" w:customStyle="1" w:styleId="147">
    <w:name w:val="表格文字2 Char"/>
    <w:link w:val="148"/>
    <w:autoRedefine/>
    <w:qFormat/>
    <w:uiPriority w:val="0"/>
    <w:rPr>
      <w:rFonts w:ascii="宋体"/>
      <w:kern w:val="2"/>
      <w:sz w:val="21"/>
      <w:szCs w:val="24"/>
    </w:rPr>
  </w:style>
  <w:style w:type="paragraph" w:customStyle="1" w:styleId="148">
    <w:name w:val="表格文字2"/>
    <w:basedOn w:val="1"/>
    <w:link w:val="147"/>
    <w:autoRedefine/>
    <w:qFormat/>
    <w:uiPriority w:val="0"/>
    <w:pPr>
      <w:keepNext/>
      <w:keepLines/>
      <w:tabs>
        <w:tab w:val="left" w:pos="0"/>
        <w:tab w:val="left" w:pos="277"/>
        <w:tab w:val="left" w:pos="600"/>
        <w:tab w:val="left" w:pos="780"/>
        <w:tab w:val="left" w:pos="2517"/>
      </w:tabs>
      <w:autoSpaceDE w:val="0"/>
      <w:autoSpaceDN w:val="0"/>
      <w:adjustRightInd w:val="0"/>
      <w:spacing w:before="60"/>
      <w:jc w:val="center"/>
      <w:textAlignment w:val="baseline"/>
    </w:pPr>
    <w:rPr>
      <w:rFonts w:ascii="宋体"/>
    </w:rPr>
  </w:style>
  <w:style w:type="character" w:customStyle="1" w:styleId="149">
    <w:name w:val="明显引用 字符"/>
    <w:autoRedefine/>
    <w:qFormat/>
    <w:uiPriority w:val="30"/>
    <w:rPr>
      <w:i/>
      <w:iCs/>
      <w:color w:val="4472C4"/>
      <w:kern w:val="2"/>
      <w:sz w:val="21"/>
      <w:szCs w:val="24"/>
    </w:rPr>
  </w:style>
  <w:style w:type="character" w:customStyle="1" w:styleId="150">
    <w:name w:val="表头 Char Char"/>
    <w:autoRedefine/>
    <w:qFormat/>
    <w:locked/>
    <w:uiPriority w:val="0"/>
    <w:rPr>
      <w:rFonts w:hAnsi="宋体" w:eastAsia="仿宋_GB2312"/>
      <w:b/>
      <w:sz w:val="28"/>
      <w:szCs w:val="28"/>
    </w:rPr>
  </w:style>
  <w:style w:type="character" w:customStyle="1" w:styleId="151">
    <w:name w:val="表格字体 Char"/>
    <w:link w:val="152"/>
    <w:autoRedefine/>
    <w:qFormat/>
    <w:locked/>
    <w:uiPriority w:val="99"/>
    <w:rPr>
      <w:rFonts w:ascii="仿宋_GB2312" w:eastAsia="仿宋_GB2312"/>
      <w:spacing w:val="2"/>
      <w:kern w:val="2"/>
      <w:sz w:val="21"/>
    </w:rPr>
  </w:style>
  <w:style w:type="paragraph" w:customStyle="1" w:styleId="152">
    <w:name w:val="表格字体"/>
    <w:basedOn w:val="1"/>
    <w:link w:val="151"/>
    <w:autoRedefine/>
    <w:qFormat/>
    <w:uiPriority w:val="99"/>
    <w:pPr>
      <w:spacing w:line="400" w:lineRule="exact"/>
      <w:jc w:val="center"/>
    </w:pPr>
    <w:rPr>
      <w:rFonts w:ascii="仿宋_GB2312" w:eastAsia="仿宋_GB2312"/>
      <w:spacing w:val="2"/>
      <w:szCs w:val="20"/>
    </w:rPr>
  </w:style>
  <w:style w:type="character" w:customStyle="1" w:styleId="153">
    <w:name w:val="无间隔 字符1"/>
    <w:link w:val="154"/>
    <w:autoRedefine/>
    <w:qFormat/>
    <w:uiPriority w:val="1"/>
    <w:rPr>
      <w:kern w:val="2"/>
      <w:sz w:val="21"/>
      <w:szCs w:val="24"/>
      <w:lang w:bidi="ar-SA"/>
    </w:rPr>
  </w:style>
  <w:style w:type="paragraph" w:styleId="154">
    <w:name w:val="No Spacing"/>
    <w:link w:val="153"/>
    <w:autoRedefine/>
    <w:qFormat/>
    <w:uiPriority w:val="1"/>
    <w:pPr>
      <w:widowControl w:val="0"/>
      <w:jc w:val="both"/>
    </w:pPr>
    <w:rPr>
      <w:rFonts w:ascii="Times New Roman" w:hAnsi="Times New Roman" w:eastAsia="宋体" w:cs="Times New Roman"/>
      <w:kern w:val="2"/>
      <w:sz w:val="21"/>
      <w:szCs w:val="24"/>
      <w:lang w:val="en-US" w:eastAsia="zh-CN" w:bidi="ar-SA"/>
    </w:rPr>
  </w:style>
  <w:style w:type="character" w:customStyle="1" w:styleId="155">
    <w:name w:val="引用 字符"/>
    <w:autoRedefine/>
    <w:qFormat/>
    <w:uiPriority w:val="29"/>
    <w:rPr>
      <w:i/>
      <w:iCs/>
      <w:color w:val="404040"/>
      <w:kern w:val="2"/>
      <w:sz w:val="21"/>
      <w:szCs w:val="24"/>
    </w:rPr>
  </w:style>
  <w:style w:type="character" w:customStyle="1" w:styleId="156">
    <w:name w:val="表头 Char"/>
    <w:link w:val="157"/>
    <w:autoRedefine/>
    <w:qFormat/>
    <w:uiPriority w:val="0"/>
    <w:rPr>
      <w:rFonts w:ascii="黑体" w:eastAsia="黑体"/>
      <w:kern w:val="2"/>
      <w:sz w:val="24"/>
      <w:szCs w:val="24"/>
    </w:rPr>
  </w:style>
  <w:style w:type="paragraph" w:customStyle="1" w:styleId="157">
    <w:name w:val="表头"/>
    <w:basedOn w:val="12"/>
    <w:next w:val="1"/>
    <w:link w:val="156"/>
    <w:autoRedefine/>
    <w:qFormat/>
    <w:uiPriority w:val="0"/>
    <w:pPr>
      <w:ind w:firstLine="480" w:firstLineChars="200"/>
      <w:jc w:val="center"/>
    </w:pPr>
    <w:rPr>
      <w:rFonts w:ascii="黑体" w:eastAsia="黑体"/>
      <w:sz w:val="24"/>
    </w:rPr>
  </w:style>
  <w:style w:type="character" w:customStyle="1" w:styleId="158">
    <w:name w:val="正文文本 2 字符2"/>
    <w:autoRedefine/>
    <w:qFormat/>
    <w:locked/>
    <w:uiPriority w:val="0"/>
    <w:rPr>
      <w:b/>
      <w:color w:val="000000"/>
      <w:kern w:val="2"/>
      <w:sz w:val="28"/>
      <w:szCs w:val="24"/>
    </w:rPr>
  </w:style>
  <w:style w:type="character" w:customStyle="1" w:styleId="159">
    <w:name w:val="正文缩进 字符1"/>
    <w:autoRedefine/>
    <w:qFormat/>
    <w:uiPriority w:val="0"/>
    <w:rPr>
      <w:rFonts w:ascii="Times New Roman" w:hAnsi="Times New Roman" w:eastAsia="宋体" w:cs="Times New Roman"/>
      <w:szCs w:val="20"/>
    </w:rPr>
  </w:style>
  <w:style w:type="character" w:customStyle="1" w:styleId="160">
    <w:name w:val="表格 Char1"/>
    <w:autoRedefine/>
    <w:qFormat/>
    <w:uiPriority w:val="0"/>
    <w:rPr>
      <w:rFonts w:eastAsia="宋体"/>
      <w:kern w:val="2"/>
      <w:sz w:val="21"/>
      <w:szCs w:val="21"/>
      <w:lang w:val="en-US" w:eastAsia="zh-CN" w:bidi="ar-SA"/>
    </w:rPr>
  </w:style>
  <w:style w:type="character" w:customStyle="1" w:styleId="161">
    <w:name w:val="标题 3 Char4"/>
    <w:autoRedefine/>
    <w:qFormat/>
    <w:uiPriority w:val="0"/>
    <w:rPr>
      <w:rFonts w:eastAsia="宋体"/>
      <w:b/>
      <w:bCs/>
      <w:kern w:val="2"/>
      <w:sz w:val="24"/>
      <w:szCs w:val="24"/>
      <w:lang w:val="en-US" w:eastAsia="zh-CN" w:bidi="ar-SA"/>
    </w:rPr>
  </w:style>
  <w:style w:type="character" w:customStyle="1" w:styleId="162">
    <w:name w:val="lh22px"/>
    <w:autoRedefine/>
    <w:qFormat/>
    <w:uiPriority w:val="0"/>
  </w:style>
  <w:style w:type="character" w:customStyle="1" w:styleId="163">
    <w:name w:val="title41"/>
    <w:autoRedefine/>
    <w:qFormat/>
    <w:uiPriority w:val="0"/>
    <w:rPr>
      <w:rFonts w:hint="eastAsia" w:ascii="宋体" w:hAnsi="宋体" w:eastAsia="宋体"/>
      <w:color w:val="194F95"/>
      <w:sz w:val="23"/>
      <w:szCs w:val="23"/>
    </w:rPr>
  </w:style>
  <w:style w:type="character" w:customStyle="1" w:styleId="164">
    <w:name w:val="报告正文-连续目录 Char Char"/>
    <w:link w:val="165"/>
    <w:autoRedefine/>
    <w:qFormat/>
    <w:uiPriority w:val="0"/>
    <w:rPr>
      <w:rFonts w:ascii="Arial" w:hAnsi="Arial"/>
      <w:snapToGrid/>
      <w:sz w:val="24"/>
      <w:szCs w:val="24"/>
    </w:rPr>
  </w:style>
  <w:style w:type="paragraph" w:customStyle="1" w:styleId="165">
    <w:name w:val="报告正文-连续目录"/>
    <w:basedOn w:val="1"/>
    <w:link w:val="164"/>
    <w:autoRedefine/>
    <w:qFormat/>
    <w:uiPriority w:val="0"/>
    <w:pPr>
      <w:spacing w:line="440" w:lineRule="exact"/>
      <w:ind w:firstLine="200" w:firstLineChars="200"/>
    </w:pPr>
    <w:rPr>
      <w:rFonts w:ascii="Arial" w:hAnsi="Arial"/>
      <w:kern w:val="0"/>
      <w:sz w:val="24"/>
    </w:rPr>
  </w:style>
  <w:style w:type="character" w:customStyle="1" w:styleId="166">
    <w:name w:val="tt41"/>
    <w:autoRedefine/>
    <w:qFormat/>
    <w:uiPriority w:val="0"/>
  </w:style>
  <w:style w:type="character" w:customStyle="1" w:styleId="167">
    <w:name w:val="文档结构图 字符"/>
    <w:autoRedefine/>
    <w:qFormat/>
    <w:uiPriority w:val="99"/>
    <w:rPr>
      <w:rFonts w:ascii="Microsoft YaHei UI" w:eastAsia="Microsoft YaHei UI"/>
      <w:kern w:val="2"/>
      <w:sz w:val="18"/>
      <w:szCs w:val="18"/>
    </w:rPr>
  </w:style>
  <w:style w:type="character" w:customStyle="1" w:styleId="168">
    <w:name w:val="bt21"/>
    <w:autoRedefine/>
    <w:qFormat/>
    <w:uiPriority w:val="0"/>
    <w:rPr>
      <w:rFonts w:hint="eastAsia" w:ascii="黑体" w:eastAsia="黑体"/>
      <w:sz w:val="24"/>
      <w:szCs w:val="24"/>
    </w:rPr>
  </w:style>
  <w:style w:type="character" w:customStyle="1" w:styleId="169">
    <w:name w:val="标题 2 字符"/>
    <w:autoRedefine/>
    <w:qFormat/>
    <w:uiPriority w:val="9"/>
    <w:rPr>
      <w:rFonts w:ascii="等线 Light" w:hAnsi="等线 Light" w:eastAsia="等线 Light" w:cs="Times New Roman"/>
      <w:b/>
      <w:bCs/>
      <w:kern w:val="2"/>
      <w:sz w:val="32"/>
      <w:szCs w:val="32"/>
    </w:rPr>
  </w:style>
  <w:style w:type="character" w:customStyle="1" w:styleId="170">
    <w:name w:val="首行缩进 Char"/>
    <w:autoRedefine/>
    <w:qFormat/>
    <w:uiPriority w:val="0"/>
    <w:rPr>
      <w:rFonts w:eastAsia="宋体"/>
      <w:kern w:val="2"/>
      <w:sz w:val="21"/>
      <w:lang w:val="en-US" w:eastAsia="zh-CN" w:bidi="ar-SA"/>
    </w:rPr>
  </w:style>
  <w:style w:type="character" w:customStyle="1" w:styleId="171">
    <w:name w:val="表格标题样式 字符"/>
    <w:link w:val="172"/>
    <w:autoRedefine/>
    <w:qFormat/>
    <w:uiPriority w:val="0"/>
    <w:rPr>
      <w:b/>
      <w:bCs/>
      <w:kern w:val="2"/>
      <w:sz w:val="21"/>
      <w:szCs w:val="18"/>
    </w:rPr>
  </w:style>
  <w:style w:type="paragraph" w:customStyle="1" w:styleId="172">
    <w:name w:val="表格标题样式"/>
    <w:basedOn w:val="1"/>
    <w:link w:val="171"/>
    <w:autoRedefine/>
    <w:qFormat/>
    <w:uiPriority w:val="0"/>
    <w:pPr>
      <w:snapToGrid w:val="0"/>
      <w:spacing w:line="360" w:lineRule="auto"/>
      <w:jc w:val="center"/>
    </w:pPr>
    <w:rPr>
      <w:b/>
      <w:bCs/>
      <w:szCs w:val="18"/>
    </w:rPr>
  </w:style>
  <w:style w:type="character" w:customStyle="1" w:styleId="173">
    <w:name w:val="f241"/>
    <w:autoRedefine/>
    <w:qFormat/>
    <w:uiPriority w:val="0"/>
    <w:rPr>
      <w:sz w:val="36"/>
      <w:szCs w:val="36"/>
    </w:rPr>
  </w:style>
  <w:style w:type="character" w:customStyle="1" w:styleId="174">
    <w:name w:val="页眉 字符"/>
    <w:autoRedefine/>
    <w:qFormat/>
    <w:locked/>
    <w:uiPriority w:val="0"/>
    <w:rPr>
      <w:rFonts w:eastAsia="宋体"/>
      <w:sz w:val="18"/>
    </w:rPr>
  </w:style>
  <w:style w:type="character" w:customStyle="1" w:styleId="175">
    <w:name w:val="表格内容 字符"/>
    <w:autoRedefine/>
    <w:qFormat/>
    <w:uiPriority w:val="0"/>
    <w:rPr>
      <w:rFonts w:ascii="Times New Roman" w:hAnsi="Times New Roman" w:eastAsia="宋体"/>
    </w:rPr>
  </w:style>
  <w:style w:type="character" w:customStyle="1" w:styleId="176">
    <w:name w:val="表格内容 Char"/>
    <w:link w:val="177"/>
    <w:autoRedefine/>
    <w:qFormat/>
    <w:uiPriority w:val="0"/>
    <w:rPr>
      <w:rFonts w:ascii="Arial" w:hAnsi="Arial" w:eastAsia="仿宋_GB2312"/>
      <w:sz w:val="24"/>
    </w:rPr>
  </w:style>
  <w:style w:type="paragraph" w:customStyle="1" w:styleId="177">
    <w:name w:val="表格内容"/>
    <w:basedOn w:val="1"/>
    <w:link w:val="176"/>
    <w:autoRedefine/>
    <w:qFormat/>
    <w:uiPriority w:val="0"/>
    <w:pPr>
      <w:overflowPunct w:val="0"/>
      <w:adjustRightInd w:val="0"/>
      <w:spacing w:before="40" w:after="60" w:line="200" w:lineRule="atLeast"/>
      <w:textAlignment w:val="baseline"/>
    </w:pPr>
    <w:rPr>
      <w:rFonts w:ascii="Arial" w:hAnsi="Arial" w:eastAsia="仿宋_GB2312"/>
      <w:kern w:val="0"/>
      <w:sz w:val="24"/>
      <w:szCs w:val="20"/>
    </w:rPr>
  </w:style>
  <w:style w:type="character" w:customStyle="1" w:styleId="178">
    <w:name w:val="标题2 Char"/>
    <w:autoRedefine/>
    <w:qFormat/>
    <w:uiPriority w:val="0"/>
    <w:rPr>
      <w:rFonts w:ascii="宋体" w:hAnsi="宋体" w:eastAsia="宋体"/>
      <w:b/>
      <w:bCs/>
      <w:spacing w:val="-6"/>
      <w:kern w:val="2"/>
      <w:sz w:val="28"/>
      <w:szCs w:val="24"/>
      <w:lang w:val="en-US" w:eastAsia="zh-CN" w:bidi="ar-SA"/>
    </w:rPr>
  </w:style>
  <w:style w:type="character" w:customStyle="1" w:styleId="179">
    <w:name w:val="标题 4 字符"/>
    <w:autoRedefine/>
    <w:qFormat/>
    <w:uiPriority w:val="0"/>
    <w:rPr>
      <w:rFonts w:ascii="等线 Light" w:hAnsi="等线 Light" w:eastAsia="等线 Light" w:cs="Times New Roman"/>
      <w:b/>
      <w:bCs/>
      <w:kern w:val="2"/>
      <w:sz w:val="28"/>
      <w:szCs w:val="28"/>
    </w:rPr>
  </w:style>
  <w:style w:type="character" w:customStyle="1" w:styleId="180">
    <w:name w:val="正文001 Char"/>
    <w:link w:val="181"/>
    <w:autoRedefine/>
    <w:qFormat/>
    <w:uiPriority w:val="0"/>
    <w:rPr>
      <w:kern w:val="2"/>
      <w:sz w:val="24"/>
    </w:rPr>
  </w:style>
  <w:style w:type="paragraph" w:customStyle="1" w:styleId="181">
    <w:name w:val="正文001"/>
    <w:basedOn w:val="1"/>
    <w:link w:val="180"/>
    <w:autoRedefine/>
    <w:qFormat/>
    <w:uiPriority w:val="0"/>
    <w:pPr>
      <w:spacing w:before="60" w:line="460" w:lineRule="exact"/>
      <w:ind w:firstLine="482"/>
    </w:pPr>
    <w:rPr>
      <w:sz w:val="24"/>
      <w:szCs w:val="20"/>
    </w:rPr>
  </w:style>
  <w:style w:type="character" w:customStyle="1" w:styleId="182">
    <w:name w:val="_Style 179"/>
    <w:autoRedefine/>
    <w:qFormat/>
    <w:uiPriority w:val="32"/>
    <w:rPr>
      <w:b/>
      <w:bCs/>
      <w:smallCaps/>
      <w:color w:val="5B9BD5"/>
      <w:spacing w:val="5"/>
    </w:rPr>
  </w:style>
  <w:style w:type="character" w:customStyle="1" w:styleId="183">
    <w:name w:val="批注文字 字符"/>
    <w:autoRedefine/>
    <w:qFormat/>
    <w:locked/>
    <w:uiPriority w:val="99"/>
    <w:rPr>
      <w:rFonts w:ascii="Times New Roman" w:hAnsi="Times New Roman" w:eastAsia="宋体" w:cs="Times New Roman"/>
      <w:sz w:val="20"/>
      <w:szCs w:val="20"/>
    </w:rPr>
  </w:style>
  <w:style w:type="character" w:customStyle="1" w:styleId="184">
    <w:name w:val="正文01 Char1"/>
    <w:autoRedefine/>
    <w:qFormat/>
    <w:uiPriority w:val="0"/>
    <w:rPr>
      <w:rFonts w:eastAsia="宋体"/>
      <w:bCs/>
      <w:kern w:val="2"/>
      <w:sz w:val="24"/>
      <w:szCs w:val="24"/>
      <w:lang w:val="en-US" w:eastAsia="zh-CN" w:bidi="ar-SA"/>
    </w:rPr>
  </w:style>
  <w:style w:type="character" w:customStyle="1" w:styleId="185">
    <w:name w:val="正文1 Char1"/>
    <w:link w:val="186"/>
    <w:autoRedefine/>
    <w:qFormat/>
    <w:uiPriority w:val="0"/>
    <w:rPr>
      <w:kern w:val="2"/>
      <w:sz w:val="24"/>
      <w:szCs w:val="24"/>
    </w:rPr>
  </w:style>
  <w:style w:type="paragraph" w:customStyle="1" w:styleId="186">
    <w:name w:val="正文1"/>
    <w:basedOn w:val="1"/>
    <w:link w:val="185"/>
    <w:autoRedefine/>
    <w:qFormat/>
    <w:uiPriority w:val="0"/>
    <w:pPr>
      <w:snapToGrid w:val="0"/>
      <w:spacing w:before="10" w:beforeLines="10" w:line="440" w:lineRule="atLeast"/>
      <w:ind w:firstLine="567"/>
    </w:pPr>
    <w:rPr>
      <w:sz w:val="24"/>
    </w:rPr>
  </w:style>
  <w:style w:type="character" w:customStyle="1" w:styleId="187">
    <w:name w:val="三级标题 Char Char Char"/>
    <w:autoRedefine/>
    <w:qFormat/>
    <w:uiPriority w:val="99"/>
    <w:rPr>
      <w:rFonts w:eastAsia="宋体"/>
      <w:b/>
      <w:kern w:val="2"/>
      <w:sz w:val="24"/>
      <w:lang w:val="en-US" w:eastAsia="zh-CN"/>
    </w:rPr>
  </w:style>
  <w:style w:type="character" w:customStyle="1" w:styleId="188">
    <w:name w:val="样式 正文（首行缩进两字） + 加粗 Char"/>
    <w:autoRedefine/>
    <w:qFormat/>
    <w:uiPriority w:val="0"/>
    <w:rPr>
      <w:rFonts w:eastAsia="宋体"/>
      <w:b/>
      <w:bCs/>
      <w:kern w:val="2"/>
      <w:sz w:val="24"/>
      <w:szCs w:val="24"/>
      <w:lang w:val="en-US" w:eastAsia="zh-CN" w:bidi="ar-SA"/>
    </w:rPr>
  </w:style>
  <w:style w:type="character" w:customStyle="1" w:styleId="189">
    <w:name w:val="批注文字 Char2"/>
    <w:autoRedefine/>
    <w:qFormat/>
    <w:uiPriority w:val="0"/>
    <w:rPr>
      <w:kern w:val="2"/>
      <w:sz w:val="21"/>
    </w:rPr>
  </w:style>
  <w:style w:type="character" w:customStyle="1" w:styleId="190">
    <w:name w:val="style21"/>
    <w:autoRedefine/>
    <w:qFormat/>
    <w:uiPriority w:val="99"/>
    <w:rPr>
      <w:color w:val="FF0000"/>
    </w:rPr>
  </w:style>
  <w:style w:type="character" w:customStyle="1" w:styleId="191">
    <w:name w:val="标题 3 Char5"/>
    <w:autoRedefine/>
    <w:qFormat/>
    <w:uiPriority w:val="0"/>
    <w:rPr>
      <w:rFonts w:eastAsia="宋体"/>
      <w:b/>
      <w:bCs/>
      <w:kern w:val="2"/>
      <w:sz w:val="32"/>
      <w:szCs w:val="32"/>
      <w:lang w:val="en-US" w:eastAsia="zh-CN" w:bidi="ar-SA"/>
    </w:rPr>
  </w:style>
  <w:style w:type="character" w:customStyle="1" w:styleId="192">
    <w:name w:val="中远正文 Char"/>
    <w:autoRedefine/>
    <w:qFormat/>
    <w:uiPriority w:val="0"/>
    <w:rPr>
      <w:rFonts w:eastAsia="宋体" w:cs="宋体"/>
      <w:snapToGrid w:val="0"/>
      <w:color w:val="000000"/>
      <w:kern w:val="24"/>
      <w:sz w:val="24"/>
      <w:lang w:val="en-US" w:eastAsia="zh-CN" w:bidi="ar-SA"/>
    </w:rPr>
  </w:style>
  <w:style w:type="character" w:customStyle="1" w:styleId="193">
    <w:name w:val="标题 4 字符1"/>
    <w:autoRedefine/>
    <w:qFormat/>
    <w:locked/>
    <w:uiPriority w:val="0"/>
    <w:rPr>
      <w:rFonts w:ascii="Arial" w:hAnsi="Arial"/>
      <w:kern w:val="2"/>
      <w:sz w:val="24"/>
    </w:rPr>
  </w:style>
  <w:style w:type="character" w:customStyle="1" w:styleId="194">
    <w:name w:val="表格正文 Char Char"/>
    <w:autoRedefine/>
    <w:qFormat/>
    <w:locked/>
    <w:uiPriority w:val="99"/>
    <w:rPr>
      <w:rFonts w:eastAsia="宋体"/>
      <w:snapToGrid/>
      <w:sz w:val="24"/>
    </w:rPr>
  </w:style>
  <w:style w:type="character" w:customStyle="1" w:styleId="195">
    <w:name w:val="信息标题 字符"/>
    <w:autoRedefine/>
    <w:qFormat/>
    <w:uiPriority w:val="0"/>
    <w:rPr>
      <w:rFonts w:ascii="等线 Light" w:hAnsi="等线 Light" w:eastAsia="等线 Light" w:cs="Times New Roman"/>
      <w:kern w:val="2"/>
      <w:sz w:val="24"/>
      <w:szCs w:val="24"/>
      <w:shd w:val="pct20" w:color="auto" w:fill="auto"/>
    </w:rPr>
  </w:style>
  <w:style w:type="character" w:customStyle="1" w:styleId="196">
    <w:name w:val="WW8Num214z0"/>
    <w:autoRedefine/>
    <w:qFormat/>
    <w:uiPriority w:val="0"/>
    <w:rPr>
      <w:rFonts w:ascii="宋体" w:hAnsi="宋体"/>
    </w:rPr>
  </w:style>
  <w:style w:type="character" w:customStyle="1" w:styleId="197">
    <w:name w:val="批注框文本 字符2"/>
    <w:autoRedefine/>
    <w:semiHidden/>
    <w:qFormat/>
    <w:locked/>
    <w:uiPriority w:val="0"/>
    <w:rPr>
      <w:kern w:val="2"/>
      <w:sz w:val="18"/>
      <w:szCs w:val="18"/>
    </w:rPr>
  </w:style>
  <w:style w:type="character" w:customStyle="1" w:styleId="198">
    <w:name w:val="正文A Char"/>
    <w:link w:val="199"/>
    <w:autoRedefine/>
    <w:qFormat/>
    <w:uiPriority w:val="0"/>
    <w:rPr>
      <w:rFonts w:cs="宋体"/>
      <w:kern w:val="2"/>
      <w:sz w:val="24"/>
    </w:rPr>
  </w:style>
  <w:style w:type="paragraph" w:customStyle="1" w:styleId="199">
    <w:name w:val="正文A"/>
    <w:basedOn w:val="1"/>
    <w:link w:val="198"/>
    <w:autoRedefine/>
    <w:qFormat/>
    <w:uiPriority w:val="0"/>
    <w:pPr>
      <w:spacing w:line="540" w:lineRule="exact"/>
    </w:pPr>
    <w:rPr>
      <w:sz w:val="24"/>
      <w:szCs w:val="20"/>
    </w:rPr>
  </w:style>
  <w:style w:type="character" w:customStyle="1" w:styleId="200">
    <w:name w:val="日期 字符"/>
    <w:autoRedefine/>
    <w:qFormat/>
    <w:uiPriority w:val="0"/>
    <w:rPr>
      <w:rFonts w:ascii="Times New Roman" w:hAnsi="Times New Roman" w:eastAsia="宋体"/>
      <w:sz w:val="24"/>
    </w:rPr>
  </w:style>
  <w:style w:type="character" w:customStyle="1" w:styleId="201">
    <w:name w:val="正文文字( 首段缩进两字） Char1"/>
    <w:autoRedefine/>
    <w:qFormat/>
    <w:uiPriority w:val="0"/>
    <w:rPr>
      <w:rFonts w:eastAsia="宋体"/>
      <w:kern w:val="2"/>
      <w:sz w:val="21"/>
      <w:szCs w:val="24"/>
      <w:lang w:val="en-US" w:eastAsia="zh-CN" w:bidi="ar-SA"/>
    </w:rPr>
  </w:style>
  <w:style w:type="character" w:customStyle="1" w:styleId="202">
    <w:name w:val="标题 8 字符"/>
    <w:autoRedefine/>
    <w:qFormat/>
    <w:uiPriority w:val="0"/>
    <w:rPr>
      <w:rFonts w:ascii="等线 Light" w:hAnsi="等线 Light" w:eastAsia="等线 Light" w:cs="Times New Roman"/>
      <w:kern w:val="2"/>
      <w:sz w:val="24"/>
      <w:szCs w:val="24"/>
    </w:rPr>
  </w:style>
  <w:style w:type="character" w:customStyle="1" w:styleId="203">
    <w:name w:val="三级标题 Char Char Char Char"/>
    <w:autoRedefine/>
    <w:qFormat/>
    <w:uiPriority w:val="99"/>
    <w:rPr>
      <w:rFonts w:eastAsia="宋体"/>
      <w:b/>
      <w:kern w:val="2"/>
      <w:sz w:val="24"/>
      <w:lang w:val="en-US" w:eastAsia="zh-CN"/>
    </w:rPr>
  </w:style>
  <w:style w:type="character" w:customStyle="1" w:styleId="204">
    <w:name w:val="19号令 Char"/>
    <w:autoRedefine/>
    <w:qFormat/>
    <w:uiPriority w:val="0"/>
    <w:rPr>
      <w:rFonts w:ascii="宋体" w:hAnsi="宋体" w:eastAsia="宋体" w:cs="Arial Unicode MS"/>
      <w:color w:val="000000"/>
      <w:sz w:val="22"/>
      <w:szCs w:val="22"/>
      <w:lang w:val="en-US" w:eastAsia="zh-CN" w:bidi="ar-SA"/>
    </w:rPr>
  </w:style>
  <w:style w:type="character" w:customStyle="1" w:styleId="205">
    <w:name w:val="标题1"/>
    <w:autoRedefine/>
    <w:qFormat/>
    <w:uiPriority w:val="0"/>
  </w:style>
  <w:style w:type="character" w:customStyle="1" w:styleId="206">
    <w:name w:val="图表标题 Char"/>
    <w:link w:val="207"/>
    <w:autoRedefine/>
    <w:qFormat/>
    <w:uiPriority w:val="0"/>
    <w:rPr>
      <w:rFonts w:ascii="宋体" w:hAnsi="宋体"/>
      <w:b/>
      <w:kern w:val="2"/>
      <w:sz w:val="21"/>
      <w:szCs w:val="24"/>
    </w:rPr>
  </w:style>
  <w:style w:type="paragraph" w:customStyle="1" w:styleId="207">
    <w:name w:val="图表标题"/>
    <w:basedOn w:val="1"/>
    <w:link w:val="206"/>
    <w:autoRedefine/>
    <w:qFormat/>
    <w:uiPriority w:val="0"/>
    <w:pPr>
      <w:spacing w:before="60" w:beforeLines="25" w:after="60" w:afterLines="25" w:line="360" w:lineRule="auto"/>
      <w:jc w:val="center"/>
      <w:outlineLvl w:val="4"/>
    </w:pPr>
    <w:rPr>
      <w:rFonts w:ascii="宋体" w:hAnsi="宋体"/>
      <w:b/>
    </w:rPr>
  </w:style>
  <w:style w:type="character" w:customStyle="1" w:styleId="208">
    <w:name w:val="表格正文 Char"/>
    <w:link w:val="209"/>
    <w:autoRedefine/>
    <w:qFormat/>
    <w:uiPriority w:val="0"/>
    <w:rPr>
      <w:kern w:val="2"/>
      <w:sz w:val="21"/>
    </w:rPr>
  </w:style>
  <w:style w:type="paragraph" w:customStyle="1" w:styleId="209">
    <w:name w:val="表格正文"/>
    <w:basedOn w:val="1"/>
    <w:link w:val="208"/>
    <w:autoRedefine/>
    <w:qFormat/>
    <w:uiPriority w:val="0"/>
    <w:pPr>
      <w:adjustRightInd w:val="0"/>
      <w:spacing w:line="0" w:lineRule="atLeast"/>
      <w:textAlignment w:val="baseline"/>
    </w:pPr>
    <w:rPr>
      <w:szCs w:val="20"/>
    </w:rPr>
  </w:style>
  <w:style w:type="character" w:customStyle="1" w:styleId="210">
    <w:name w:val="正文四号 Char Char"/>
    <w:link w:val="211"/>
    <w:autoRedefine/>
    <w:qFormat/>
    <w:locked/>
    <w:uiPriority w:val="99"/>
    <w:rPr>
      <w:sz w:val="24"/>
    </w:rPr>
  </w:style>
  <w:style w:type="paragraph" w:customStyle="1" w:styleId="211">
    <w:name w:val="正文四号"/>
    <w:basedOn w:val="1"/>
    <w:link w:val="210"/>
    <w:autoRedefine/>
    <w:qFormat/>
    <w:uiPriority w:val="99"/>
    <w:pPr>
      <w:spacing w:line="360" w:lineRule="auto"/>
      <w:ind w:firstLine="200" w:firstLineChars="200"/>
    </w:pPr>
    <w:rPr>
      <w:kern w:val="0"/>
      <w:sz w:val="24"/>
      <w:szCs w:val="20"/>
    </w:rPr>
  </w:style>
  <w:style w:type="character" w:customStyle="1" w:styleId="212">
    <w:name w:val="fontstyle01"/>
    <w:autoRedefine/>
    <w:qFormat/>
    <w:uiPriority w:val="0"/>
    <w:rPr>
      <w:rFonts w:hint="eastAsia" w:ascii="宋体" w:hAnsi="宋体" w:eastAsia="宋体"/>
      <w:color w:val="000000"/>
      <w:sz w:val="24"/>
      <w:szCs w:val="24"/>
    </w:rPr>
  </w:style>
  <w:style w:type="character" w:customStyle="1" w:styleId="213">
    <w:name w:val="批注主题 字符"/>
    <w:autoRedefine/>
    <w:qFormat/>
    <w:locked/>
    <w:uiPriority w:val="99"/>
    <w:rPr>
      <w:b/>
      <w:bCs/>
      <w:kern w:val="2"/>
      <w:sz w:val="21"/>
    </w:rPr>
  </w:style>
  <w:style w:type="character" w:customStyle="1" w:styleId="214">
    <w:name w:val="批注主题 字符1"/>
    <w:autoRedefine/>
    <w:qFormat/>
    <w:uiPriority w:val="0"/>
    <w:rPr>
      <w:rFonts w:ascii="Times New Roman" w:hAnsi="Times New Roman" w:eastAsia="宋体" w:cs="Times New Roman"/>
      <w:b/>
      <w:bCs/>
      <w:szCs w:val="24"/>
    </w:rPr>
  </w:style>
  <w:style w:type="character" w:customStyle="1" w:styleId="215">
    <w:name w:val="称呼 字符"/>
    <w:autoRedefine/>
    <w:qFormat/>
    <w:uiPriority w:val="0"/>
    <w:rPr>
      <w:kern w:val="2"/>
      <w:sz w:val="21"/>
      <w:szCs w:val="24"/>
    </w:rPr>
  </w:style>
  <w:style w:type="character" w:customStyle="1" w:styleId="216">
    <w:name w:val="三级标题 Char Char"/>
    <w:autoRedefine/>
    <w:qFormat/>
    <w:uiPriority w:val="99"/>
    <w:rPr>
      <w:rFonts w:eastAsia="宋体"/>
      <w:b/>
      <w:bCs/>
      <w:kern w:val="2"/>
      <w:sz w:val="24"/>
      <w:szCs w:val="24"/>
      <w:lang w:bidi="ar-SA"/>
    </w:rPr>
  </w:style>
  <w:style w:type="character" w:customStyle="1" w:styleId="217">
    <w:name w:val="表格文字 Char"/>
    <w:autoRedefine/>
    <w:qFormat/>
    <w:uiPriority w:val="0"/>
    <w:rPr>
      <w:rFonts w:ascii="宋体" w:hAnsi="宋体" w:eastAsia="宋体"/>
      <w:kern w:val="2"/>
      <w:sz w:val="21"/>
      <w:szCs w:val="24"/>
      <w:lang w:val="en-US" w:eastAsia="zh-CN" w:bidi="ar-SA"/>
    </w:rPr>
  </w:style>
  <w:style w:type="character" w:customStyle="1" w:styleId="218">
    <w:name w:val="apple-style-span"/>
    <w:autoRedefine/>
    <w:qFormat/>
    <w:uiPriority w:val="0"/>
  </w:style>
  <w:style w:type="character" w:customStyle="1" w:styleId="219">
    <w:name w:val="标题 4 Char"/>
    <w:autoRedefine/>
    <w:qFormat/>
    <w:uiPriority w:val="9"/>
    <w:rPr>
      <w:rFonts w:ascii="Cambria" w:hAnsi="Cambria" w:eastAsia="宋体" w:cs="Times New Roman"/>
      <w:b/>
      <w:bCs/>
      <w:kern w:val="2"/>
      <w:sz w:val="28"/>
      <w:szCs w:val="28"/>
    </w:rPr>
  </w:style>
  <w:style w:type="character" w:customStyle="1" w:styleId="220">
    <w:name w:val="明显引用 字符1"/>
    <w:autoRedefine/>
    <w:qFormat/>
    <w:uiPriority w:val="30"/>
    <w:rPr>
      <w:i/>
      <w:iCs/>
      <w:color w:val="4472C4"/>
      <w:kern w:val="2"/>
      <w:sz w:val="21"/>
      <w:szCs w:val="24"/>
    </w:rPr>
  </w:style>
  <w:style w:type="character" w:customStyle="1" w:styleId="221">
    <w:name w:val="正文文本首行缩进 2 字符"/>
    <w:autoRedefine/>
    <w:qFormat/>
    <w:uiPriority w:val="99"/>
    <w:rPr>
      <w:rFonts w:ascii="Times New Roman" w:hAnsi="Times New Roman" w:eastAsia="宋体"/>
      <w:kern w:val="2"/>
      <w:sz w:val="21"/>
      <w:szCs w:val="24"/>
    </w:rPr>
  </w:style>
  <w:style w:type="character" w:customStyle="1" w:styleId="222">
    <w:name w:val="居中正文 Char"/>
    <w:link w:val="223"/>
    <w:autoRedefine/>
    <w:qFormat/>
    <w:uiPriority w:val="0"/>
    <w:rPr>
      <w:rFonts w:ascii="宋体"/>
      <w:kern w:val="28"/>
      <w:sz w:val="24"/>
    </w:rPr>
  </w:style>
  <w:style w:type="paragraph" w:customStyle="1" w:styleId="223">
    <w:name w:val="居中正文"/>
    <w:basedOn w:val="29"/>
    <w:link w:val="222"/>
    <w:autoRedefine/>
    <w:qFormat/>
    <w:uiPriority w:val="0"/>
    <w:pPr>
      <w:ind w:firstLine="0"/>
      <w:jc w:val="center"/>
    </w:pPr>
  </w:style>
  <w:style w:type="character" w:customStyle="1" w:styleId="224">
    <w:name w:val="Char Char1 Char"/>
    <w:autoRedefine/>
    <w:qFormat/>
    <w:uiPriority w:val="0"/>
    <w:rPr>
      <w:rFonts w:ascii="宋体" w:hAnsi="宋体" w:eastAsia="宋体" w:cs="宋体"/>
      <w:kern w:val="2"/>
      <w:sz w:val="24"/>
      <w:szCs w:val="24"/>
      <w:lang w:val="en-US" w:eastAsia="zh-CN" w:bidi="ar-SA"/>
    </w:rPr>
  </w:style>
  <w:style w:type="character" w:customStyle="1" w:styleId="225">
    <w:name w:val="报告正文 Char"/>
    <w:link w:val="226"/>
    <w:autoRedefine/>
    <w:qFormat/>
    <w:uiPriority w:val="0"/>
    <w:rPr>
      <w:snapToGrid/>
      <w:kern w:val="24"/>
      <w:sz w:val="24"/>
      <w:szCs w:val="21"/>
    </w:rPr>
  </w:style>
  <w:style w:type="paragraph" w:customStyle="1" w:styleId="226">
    <w:name w:val="报告正文"/>
    <w:basedOn w:val="1"/>
    <w:link w:val="225"/>
    <w:autoRedefine/>
    <w:qFormat/>
    <w:uiPriority w:val="0"/>
    <w:pPr>
      <w:adjustRightInd w:val="0"/>
      <w:spacing w:before="25" w:beforeLines="25" w:line="360" w:lineRule="auto"/>
      <w:ind w:firstLine="482"/>
      <w:textAlignment w:val="baseline"/>
    </w:pPr>
    <w:rPr>
      <w:kern w:val="24"/>
      <w:sz w:val="24"/>
    </w:rPr>
  </w:style>
  <w:style w:type="character" w:customStyle="1" w:styleId="227">
    <w:name w:val="4级（小）标题 Char"/>
    <w:link w:val="228"/>
    <w:autoRedefine/>
    <w:qFormat/>
    <w:uiPriority w:val="0"/>
    <w:rPr>
      <w:b/>
      <w:kern w:val="2"/>
      <w:sz w:val="24"/>
      <w:szCs w:val="24"/>
    </w:rPr>
  </w:style>
  <w:style w:type="paragraph" w:customStyle="1" w:styleId="228">
    <w:name w:val="4级（小）标题"/>
    <w:basedOn w:val="1"/>
    <w:link w:val="227"/>
    <w:autoRedefine/>
    <w:qFormat/>
    <w:uiPriority w:val="0"/>
    <w:pPr>
      <w:spacing w:before="60" w:line="360" w:lineRule="auto"/>
      <w:ind w:firstLine="150" w:firstLineChars="150"/>
      <w:outlineLvl w:val="3"/>
    </w:pPr>
    <w:rPr>
      <w:b/>
      <w:sz w:val="24"/>
    </w:rPr>
  </w:style>
  <w:style w:type="character" w:customStyle="1" w:styleId="229">
    <w:name w:val="apple-converted-space"/>
    <w:autoRedefine/>
    <w:qFormat/>
    <w:uiPriority w:val="0"/>
  </w:style>
  <w:style w:type="character" w:customStyle="1" w:styleId="230">
    <w:name w:val="表格 Char Char"/>
    <w:autoRedefine/>
    <w:qFormat/>
    <w:uiPriority w:val="0"/>
    <w:rPr>
      <w:rFonts w:ascii="宋体" w:hAnsi="宋体"/>
      <w:snapToGrid w:val="0"/>
      <w:sz w:val="21"/>
      <w:lang w:val="en-US" w:eastAsia="zh-CN" w:bidi="ar-SA"/>
    </w:rPr>
  </w:style>
  <w:style w:type="character" w:customStyle="1" w:styleId="231">
    <w:name w:val="t_tag"/>
    <w:autoRedefine/>
    <w:qFormat/>
    <w:uiPriority w:val="0"/>
  </w:style>
  <w:style w:type="character" w:customStyle="1" w:styleId="232">
    <w:name w:val="三级标题 Char"/>
    <w:autoRedefine/>
    <w:qFormat/>
    <w:uiPriority w:val="0"/>
    <w:rPr>
      <w:b/>
      <w:sz w:val="24"/>
      <w:lang w:bidi="ar-SA"/>
    </w:rPr>
  </w:style>
  <w:style w:type="character" w:customStyle="1" w:styleId="233">
    <w:name w:val="表标题... Char Char"/>
    <w:link w:val="234"/>
    <w:autoRedefine/>
    <w:qFormat/>
    <w:locked/>
    <w:uiPriority w:val="99"/>
    <w:rPr>
      <w:rFonts w:ascii="Arial" w:hAnsi="Arial"/>
      <w:b/>
      <w:color w:val="800080"/>
      <w:sz w:val="24"/>
    </w:rPr>
  </w:style>
  <w:style w:type="paragraph" w:customStyle="1" w:styleId="234">
    <w:name w:val="表标题..."/>
    <w:basedOn w:val="6"/>
    <w:link w:val="233"/>
    <w:autoRedefine/>
    <w:qFormat/>
    <w:uiPriority w:val="99"/>
    <w:pPr>
      <w:adjustRightInd/>
      <w:spacing w:before="0" w:after="0" w:line="440" w:lineRule="exact"/>
      <w:jc w:val="center"/>
      <w:textAlignment w:val="auto"/>
    </w:pPr>
    <w:rPr>
      <w:b/>
      <w:color w:val="800080"/>
      <w:kern w:val="0"/>
    </w:rPr>
  </w:style>
  <w:style w:type="character" w:customStyle="1" w:styleId="235">
    <w:name w:val="表 Char"/>
    <w:link w:val="236"/>
    <w:autoRedefine/>
    <w:qFormat/>
    <w:uiPriority w:val="0"/>
    <w:rPr>
      <w:rFonts w:ascii="宋体"/>
      <w:kern w:val="2"/>
      <w:sz w:val="24"/>
    </w:rPr>
  </w:style>
  <w:style w:type="paragraph" w:customStyle="1" w:styleId="236">
    <w:name w:val="表"/>
    <w:basedOn w:val="1"/>
    <w:next w:val="1"/>
    <w:link w:val="235"/>
    <w:autoRedefine/>
    <w:qFormat/>
    <w:uiPriority w:val="0"/>
    <w:pPr>
      <w:adjustRightInd w:val="0"/>
      <w:spacing w:line="400" w:lineRule="exact"/>
      <w:jc w:val="center"/>
    </w:pPr>
    <w:rPr>
      <w:rFonts w:ascii="宋体"/>
      <w:sz w:val="24"/>
      <w:szCs w:val="20"/>
    </w:rPr>
  </w:style>
  <w:style w:type="character" w:customStyle="1" w:styleId="237">
    <w:name w:val="题注1 Char"/>
    <w:link w:val="238"/>
    <w:autoRedefine/>
    <w:qFormat/>
    <w:uiPriority w:val="0"/>
    <w:rPr>
      <w:kern w:val="2"/>
      <w:sz w:val="24"/>
    </w:rPr>
  </w:style>
  <w:style w:type="paragraph" w:customStyle="1" w:styleId="238">
    <w:name w:val="表格标题"/>
    <w:basedOn w:val="239"/>
    <w:link w:val="237"/>
    <w:autoRedefine/>
    <w:qFormat/>
    <w:uiPriority w:val="0"/>
    <w:pPr>
      <w:spacing w:before="120"/>
    </w:pPr>
  </w:style>
  <w:style w:type="paragraph" w:customStyle="1" w:styleId="239">
    <w:name w:val="列表1"/>
    <w:basedOn w:val="1"/>
    <w:autoRedefine/>
    <w:qFormat/>
    <w:uiPriority w:val="0"/>
    <w:pPr>
      <w:spacing w:line="400" w:lineRule="exact"/>
      <w:jc w:val="center"/>
    </w:pPr>
    <w:rPr>
      <w:rFonts w:ascii="宋体" w:hAnsi="宋体" w:eastAsia="仿宋_GB2312"/>
      <w:sz w:val="24"/>
      <w:szCs w:val="20"/>
    </w:rPr>
  </w:style>
  <w:style w:type="paragraph" w:customStyle="1" w:styleId="240">
    <w:name w:val="应急正文"/>
    <w:basedOn w:val="1"/>
    <w:autoRedefine/>
    <w:qFormat/>
    <w:uiPriority w:val="0"/>
    <w:pPr>
      <w:ind w:firstLine="560"/>
    </w:pPr>
  </w:style>
  <w:style w:type="character" w:customStyle="1" w:styleId="241">
    <w:name w:val="题注 字符2"/>
    <w:autoRedefine/>
    <w:qFormat/>
    <w:locked/>
    <w:uiPriority w:val="0"/>
    <w:rPr>
      <w:rFonts w:ascii="Arial" w:hAnsi="Arial" w:eastAsia="黑体" w:cs="Arial"/>
      <w:kern w:val="2"/>
    </w:rPr>
  </w:style>
  <w:style w:type="character" w:customStyle="1" w:styleId="242">
    <w:name w:val="图表标题 Char Char"/>
    <w:autoRedefine/>
    <w:qFormat/>
    <w:locked/>
    <w:uiPriority w:val="99"/>
    <w:rPr>
      <w:b/>
      <w:sz w:val="24"/>
    </w:rPr>
  </w:style>
  <w:style w:type="character" w:customStyle="1" w:styleId="243">
    <w:name w:val="正文文本缩进 Char2"/>
    <w:autoRedefine/>
    <w:qFormat/>
    <w:uiPriority w:val="0"/>
    <w:rPr>
      <w:rFonts w:eastAsia="宋体"/>
      <w:sz w:val="24"/>
      <w:lang w:val="en-US" w:eastAsia="zh-CN" w:bidi="ar-SA"/>
    </w:rPr>
  </w:style>
  <w:style w:type="character" w:customStyle="1" w:styleId="244">
    <w:name w:val="正文001 Char1"/>
    <w:autoRedefine/>
    <w:qFormat/>
    <w:uiPriority w:val="0"/>
    <w:rPr>
      <w:rFonts w:ascii="Arial" w:hAnsi="Arial" w:cs="Arial"/>
      <w:kern w:val="2"/>
      <w:sz w:val="24"/>
    </w:rPr>
  </w:style>
  <w:style w:type="character" w:customStyle="1" w:styleId="245">
    <w:name w:val="标题 字符"/>
    <w:autoRedefine/>
    <w:qFormat/>
    <w:uiPriority w:val="0"/>
    <w:rPr>
      <w:rFonts w:ascii="等线 Light" w:hAnsi="等线 Light" w:cs="Times New Roman"/>
      <w:b/>
      <w:bCs/>
      <w:kern w:val="2"/>
      <w:sz w:val="32"/>
      <w:szCs w:val="32"/>
    </w:rPr>
  </w:style>
  <w:style w:type="character" w:customStyle="1" w:styleId="246">
    <w:name w:val="明显引用 字符2"/>
    <w:autoRedefine/>
    <w:qFormat/>
    <w:locked/>
    <w:uiPriority w:val="30"/>
    <w:rPr>
      <w:rFonts w:ascii="Calibri" w:hAnsi="Calibri" w:cs="Calibri"/>
      <w:i/>
      <w:iCs/>
      <w:color w:val="5B9BD5"/>
      <w:sz w:val="22"/>
      <w:szCs w:val="22"/>
    </w:rPr>
  </w:style>
  <w:style w:type="character" w:customStyle="1" w:styleId="247">
    <w:name w:val="正文文本缩进 2 字符"/>
    <w:autoRedefine/>
    <w:qFormat/>
    <w:uiPriority w:val="99"/>
    <w:rPr>
      <w:kern w:val="2"/>
      <w:sz w:val="21"/>
      <w:szCs w:val="24"/>
    </w:rPr>
  </w:style>
  <w:style w:type="character" w:customStyle="1" w:styleId="248">
    <w:name w:val="正文文本 3 字符2"/>
    <w:autoRedefine/>
    <w:qFormat/>
    <w:locked/>
    <w:uiPriority w:val="0"/>
    <w:rPr>
      <w:b/>
      <w:bCs/>
      <w:kern w:val="2"/>
      <w:sz w:val="24"/>
      <w:szCs w:val="24"/>
    </w:rPr>
  </w:style>
  <w:style w:type="character" w:customStyle="1" w:styleId="249">
    <w:name w:val="title1"/>
    <w:autoRedefine/>
    <w:qFormat/>
    <w:uiPriority w:val="0"/>
  </w:style>
  <w:style w:type="character" w:customStyle="1" w:styleId="250">
    <w:name w:val="HTML 预设格式 字符"/>
    <w:autoRedefine/>
    <w:qFormat/>
    <w:uiPriority w:val="99"/>
    <w:rPr>
      <w:rFonts w:ascii="Courier New" w:hAnsi="Courier New" w:cs="Courier New"/>
      <w:kern w:val="2"/>
    </w:rPr>
  </w:style>
  <w:style w:type="character" w:customStyle="1" w:styleId="251">
    <w:name w:val="正文文本 3 字符1"/>
    <w:autoRedefine/>
    <w:qFormat/>
    <w:uiPriority w:val="0"/>
    <w:rPr>
      <w:kern w:val="2"/>
      <w:sz w:val="18"/>
      <w:szCs w:val="24"/>
    </w:rPr>
  </w:style>
  <w:style w:type="character" w:customStyle="1" w:styleId="252">
    <w:name w:val="环评正文 Char Char"/>
    <w:autoRedefine/>
    <w:qFormat/>
    <w:uiPriority w:val="0"/>
    <w:rPr>
      <w:rFonts w:ascii="宋体" w:hAnsi="宋体" w:cs="宋体"/>
      <w:kern w:val="2"/>
      <w:sz w:val="24"/>
    </w:rPr>
  </w:style>
  <w:style w:type="character" w:customStyle="1" w:styleId="253">
    <w:name w:val="批注文字 字符1"/>
    <w:autoRedefine/>
    <w:qFormat/>
    <w:uiPriority w:val="0"/>
    <w:rPr>
      <w:rFonts w:ascii="Times New Roman" w:hAnsi="Times New Roman" w:eastAsia="宋体"/>
      <w:sz w:val="24"/>
    </w:rPr>
  </w:style>
  <w:style w:type="character" w:customStyle="1" w:styleId="254">
    <w:name w:val="1 Char Char"/>
    <w:autoRedefine/>
    <w:qFormat/>
    <w:locked/>
    <w:uiPriority w:val="99"/>
    <w:rPr>
      <w:rFonts w:ascii="宋体" w:hAnsi="Courier New" w:eastAsia="宋体"/>
      <w:sz w:val="21"/>
    </w:rPr>
  </w:style>
  <w:style w:type="character" w:customStyle="1" w:styleId="255">
    <w:name w:val="正文01 Char Char Char"/>
    <w:link w:val="256"/>
    <w:autoRedefine/>
    <w:qFormat/>
    <w:uiPriority w:val="0"/>
    <w:rPr>
      <w:kern w:val="2"/>
      <w:sz w:val="24"/>
    </w:rPr>
  </w:style>
  <w:style w:type="paragraph" w:customStyle="1" w:styleId="256">
    <w:name w:val="正文01 Char Char"/>
    <w:basedOn w:val="1"/>
    <w:link w:val="255"/>
    <w:autoRedefine/>
    <w:qFormat/>
    <w:uiPriority w:val="0"/>
    <w:pPr>
      <w:spacing w:before="60" w:line="460" w:lineRule="exact"/>
      <w:ind w:firstLine="200" w:firstLineChars="200"/>
    </w:pPr>
    <w:rPr>
      <w:sz w:val="24"/>
      <w:szCs w:val="20"/>
    </w:rPr>
  </w:style>
  <w:style w:type="character" w:customStyle="1" w:styleId="257">
    <w:name w:val="标题 3 字符"/>
    <w:autoRedefine/>
    <w:qFormat/>
    <w:uiPriority w:val="0"/>
    <w:rPr>
      <w:b/>
      <w:bCs/>
      <w:kern w:val="2"/>
      <w:sz w:val="32"/>
      <w:szCs w:val="32"/>
    </w:rPr>
  </w:style>
  <w:style w:type="character" w:customStyle="1" w:styleId="258">
    <w:name w:val="标题11"/>
    <w:autoRedefine/>
    <w:qFormat/>
    <w:uiPriority w:val="0"/>
    <w:rPr>
      <w:rFonts w:cs="Times New Roman"/>
    </w:rPr>
  </w:style>
  <w:style w:type="character" w:customStyle="1" w:styleId="259">
    <w:name w:val="标题 9 字符"/>
    <w:autoRedefine/>
    <w:semiHidden/>
    <w:qFormat/>
    <w:uiPriority w:val="9"/>
    <w:rPr>
      <w:rFonts w:ascii="等线 Light" w:hAnsi="等线 Light" w:eastAsia="等线 Light" w:cs="Times New Roman"/>
      <w:kern w:val="2"/>
      <w:sz w:val="21"/>
      <w:szCs w:val="21"/>
    </w:rPr>
  </w:style>
  <w:style w:type="character" w:customStyle="1" w:styleId="260">
    <w:name w:val="正文首行缩进 字符"/>
    <w:autoRedefine/>
    <w:qFormat/>
    <w:uiPriority w:val="99"/>
    <w:rPr>
      <w:kern w:val="2"/>
      <w:sz w:val="21"/>
      <w:szCs w:val="24"/>
    </w:rPr>
  </w:style>
  <w:style w:type="character" w:customStyle="1" w:styleId="261">
    <w:name w:val="f11"/>
    <w:autoRedefine/>
    <w:qFormat/>
    <w:uiPriority w:val="0"/>
    <w:rPr>
      <w:sz w:val="20"/>
      <w:szCs w:val="20"/>
    </w:rPr>
  </w:style>
  <w:style w:type="character" w:customStyle="1" w:styleId="262">
    <w:name w:val="style1141"/>
    <w:autoRedefine/>
    <w:qFormat/>
    <w:uiPriority w:val="0"/>
    <w:rPr>
      <w:rFonts w:hint="default" w:ascii="Arial" w:hAnsi="Arial" w:cs="Arial"/>
      <w:color w:val="000000"/>
      <w:sz w:val="18"/>
      <w:szCs w:val="18"/>
    </w:rPr>
  </w:style>
  <w:style w:type="character" w:customStyle="1" w:styleId="263">
    <w:name w:val="_Style 258"/>
    <w:autoRedefine/>
    <w:qFormat/>
    <w:uiPriority w:val="31"/>
    <w:rPr>
      <w:smallCaps/>
      <w:color w:val="404040"/>
    </w:rPr>
  </w:style>
  <w:style w:type="character" w:customStyle="1" w:styleId="264">
    <w:name w:val="trends"/>
    <w:autoRedefine/>
    <w:qFormat/>
    <w:uiPriority w:val="99"/>
    <w:rPr>
      <w:color w:val="25B462"/>
      <w:sz w:val="14"/>
    </w:rPr>
  </w:style>
  <w:style w:type="character" w:customStyle="1" w:styleId="265">
    <w:name w:val="引用 字符3"/>
    <w:link w:val="266"/>
    <w:autoRedefine/>
    <w:qFormat/>
    <w:uiPriority w:val="0"/>
    <w:rPr>
      <w:rFonts w:ascii="Cambria" w:hAnsi="Cambria"/>
      <w:i/>
      <w:iCs/>
      <w:color w:val="5A5A5A"/>
      <w:kern w:val="2"/>
      <w:sz w:val="21"/>
      <w:szCs w:val="21"/>
    </w:rPr>
  </w:style>
  <w:style w:type="paragraph" w:styleId="266">
    <w:name w:val="Quote"/>
    <w:basedOn w:val="1"/>
    <w:next w:val="1"/>
    <w:link w:val="265"/>
    <w:autoRedefine/>
    <w:qFormat/>
    <w:uiPriority w:val="0"/>
    <w:pPr>
      <w:spacing w:before="240" w:after="120" w:line="360" w:lineRule="exact"/>
    </w:pPr>
    <w:rPr>
      <w:rFonts w:ascii="Cambria" w:hAnsi="Cambria"/>
      <w:i/>
      <w:iCs/>
      <w:color w:val="5A5A5A"/>
    </w:rPr>
  </w:style>
  <w:style w:type="character" w:customStyle="1" w:styleId="267">
    <w:name w:val="环评正文 Char"/>
    <w:link w:val="268"/>
    <w:autoRedefine/>
    <w:qFormat/>
    <w:uiPriority w:val="0"/>
    <w:rPr>
      <w:rFonts w:ascii="宋体" w:hAnsi="宋体" w:cs="宋体"/>
      <w:kern w:val="2"/>
      <w:sz w:val="24"/>
      <w:szCs w:val="24"/>
    </w:rPr>
  </w:style>
  <w:style w:type="paragraph" w:customStyle="1" w:styleId="268">
    <w:name w:val="环评正文"/>
    <w:basedOn w:val="1"/>
    <w:link w:val="267"/>
    <w:autoRedefine/>
    <w:qFormat/>
    <w:uiPriority w:val="0"/>
    <w:pPr>
      <w:spacing w:line="360" w:lineRule="auto"/>
    </w:pPr>
    <w:rPr>
      <w:rFonts w:ascii="宋体" w:hAnsi="宋体"/>
      <w:sz w:val="24"/>
    </w:rPr>
  </w:style>
  <w:style w:type="character" w:customStyle="1" w:styleId="269">
    <w:name w:val="正文00000 Char Char"/>
    <w:link w:val="270"/>
    <w:autoRedefine/>
    <w:qFormat/>
    <w:locked/>
    <w:uiPriority w:val="99"/>
    <w:rPr>
      <w:sz w:val="24"/>
    </w:rPr>
  </w:style>
  <w:style w:type="paragraph" w:customStyle="1" w:styleId="270">
    <w:name w:val="正文00000"/>
    <w:basedOn w:val="1"/>
    <w:link w:val="269"/>
    <w:autoRedefine/>
    <w:qFormat/>
    <w:uiPriority w:val="99"/>
    <w:pPr>
      <w:adjustRightInd w:val="0"/>
      <w:snapToGrid w:val="0"/>
      <w:spacing w:line="440" w:lineRule="atLeast"/>
      <w:ind w:firstLine="482"/>
    </w:pPr>
    <w:rPr>
      <w:kern w:val="0"/>
      <w:sz w:val="24"/>
      <w:szCs w:val="20"/>
    </w:rPr>
  </w:style>
  <w:style w:type="character" w:customStyle="1" w:styleId="271">
    <w:name w:val="1 Char"/>
    <w:autoRedefine/>
    <w:qFormat/>
    <w:uiPriority w:val="0"/>
    <w:rPr>
      <w:rFonts w:eastAsia="宋体"/>
      <w:b/>
      <w:bCs/>
      <w:kern w:val="44"/>
      <w:sz w:val="32"/>
      <w:szCs w:val="44"/>
      <w:lang w:val="en-US" w:eastAsia="zh-CN" w:bidi="ar-SA"/>
    </w:rPr>
  </w:style>
  <w:style w:type="character" w:customStyle="1" w:styleId="272">
    <w:name w:val="标题 7 字符"/>
    <w:autoRedefine/>
    <w:semiHidden/>
    <w:qFormat/>
    <w:uiPriority w:val="9"/>
    <w:rPr>
      <w:b/>
      <w:bCs/>
      <w:kern w:val="2"/>
      <w:sz w:val="24"/>
      <w:szCs w:val="24"/>
    </w:rPr>
  </w:style>
  <w:style w:type="character" w:customStyle="1" w:styleId="273">
    <w:name w:val="二级标题 Char Char"/>
    <w:link w:val="274"/>
    <w:autoRedefine/>
    <w:qFormat/>
    <w:uiPriority w:val="0"/>
    <w:rPr>
      <w:b/>
      <w:kern w:val="2"/>
      <w:sz w:val="28"/>
    </w:rPr>
  </w:style>
  <w:style w:type="paragraph" w:customStyle="1" w:styleId="274">
    <w:name w:val="二级标题"/>
    <w:basedOn w:val="1"/>
    <w:link w:val="273"/>
    <w:autoRedefine/>
    <w:qFormat/>
    <w:uiPriority w:val="0"/>
    <w:pPr>
      <w:spacing w:before="60" w:line="460" w:lineRule="exact"/>
      <w:outlineLvl w:val="1"/>
    </w:pPr>
    <w:rPr>
      <w:b/>
      <w:sz w:val="28"/>
      <w:szCs w:val="20"/>
    </w:rPr>
  </w:style>
  <w:style w:type="character" w:customStyle="1" w:styleId="275">
    <w:name w:val="line1"/>
    <w:autoRedefine/>
    <w:qFormat/>
    <w:uiPriority w:val="0"/>
    <w:rPr>
      <w:sz w:val="18"/>
      <w:szCs w:val="18"/>
    </w:rPr>
  </w:style>
  <w:style w:type="character" w:customStyle="1" w:styleId="276">
    <w:name w:val="表格 Char"/>
    <w:link w:val="277"/>
    <w:autoRedefine/>
    <w:qFormat/>
    <w:locked/>
    <w:uiPriority w:val="0"/>
    <w:rPr>
      <w:rFonts w:ascii="宋体"/>
      <w:sz w:val="21"/>
    </w:rPr>
  </w:style>
  <w:style w:type="paragraph" w:customStyle="1" w:styleId="277">
    <w:name w:val="表格"/>
    <w:basedOn w:val="157"/>
    <w:next w:val="1"/>
    <w:link w:val="276"/>
    <w:autoRedefine/>
    <w:qFormat/>
    <w:uiPriority w:val="0"/>
    <w:pPr>
      <w:adjustRightInd w:val="0"/>
      <w:snapToGrid w:val="0"/>
      <w:spacing w:beforeLines="10" w:afterLines="10" w:line="259" w:lineRule="auto"/>
    </w:pPr>
    <w:rPr>
      <w:rFonts w:ascii="宋体"/>
      <w:kern w:val="0"/>
    </w:rPr>
  </w:style>
  <w:style w:type="character" w:customStyle="1" w:styleId="278">
    <w:name w:val="文档结构图 字符2"/>
    <w:autoRedefine/>
    <w:semiHidden/>
    <w:qFormat/>
    <w:locked/>
    <w:uiPriority w:val="0"/>
    <w:rPr>
      <w:kern w:val="2"/>
      <w:sz w:val="21"/>
      <w:szCs w:val="24"/>
      <w:shd w:val="clear" w:color="auto" w:fill="000080"/>
    </w:rPr>
  </w:style>
  <w:style w:type="character" w:customStyle="1" w:styleId="279">
    <w:name w:val="style48"/>
    <w:autoRedefine/>
    <w:qFormat/>
    <w:uiPriority w:val="0"/>
  </w:style>
  <w:style w:type="character" w:customStyle="1" w:styleId="280">
    <w:name w:val="样式1 Char"/>
    <w:link w:val="281"/>
    <w:autoRedefine/>
    <w:qFormat/>
    <w:uiPriority w:val="0"/>
    <w:rPr>
      <w:rFonts w:ascii="宋体" w:hAnsi="宋体" w:cs="宋体"/>
      <w:kern w:val="2"/>
      <w:sz w:val="24"/>
    </w:rPr>
  </w:style>
  <w:style w:type="paragraph" w:customStyle="1" w:styleId="281">
    <w:name w:val="样式1"/>
    <w:basedOn w:val="1"/>
    <w:link w:val="280"/>
    <w:autoRedefine/>
    <w:qFormat/>
    <w:uiPriority w:val="0"/>
    <w:pPr>
      <w:spacing w:line="360" w:lineRule="auto"/>
      <w:ind w:firstLine="510"/>
    </w:pPr>
    <w:rPr>
      <w:rFonts w:ascii="宋体" w:hAnsi="宋体"/>
      <w:sz w:val="24"/>
      <w:szCs w:val="20"/>
    </w:rPr>
  </w:style>
  <w:style w:type="character" w:customStyle="1" w:styleId="282">
    <w:name w:val="页眉 Char1"/>
    <w:autoRedefine/>
    <w:qFormat/>
    <w:uiPriority w:val="99"/>
    <w:rPr>
      <w:kern w:val="2"/>
      <w:sz w:val="18"/>
      <w:szCs w:val="18"/>
    </w:rPr>
  </w:style>
  <w:style w:type="character" w:customStyle="1" w:styleId="283">
    <w:name w:val="正文缩进 字符"/>
    <w:autoRedefine/>
    <w:qFormat/>
    <w:uiPriority w:val="0"/>
    <w:rPr>
      <w:rFonts w:eastAsia="宋体"/>
    </w:rPr>
  </w:style>
  <w:style w:type="character" w:customStyle="1" w:styleId="284">
    <w:name w:val="样式 标题 3标题 3 Char标题 一小节标题头条标题1.1.1小标题3h33rd levelH3l3... Char Char"/>
    <w:link w:val="285"/>
    <w:autoRedefine/>
    <w:qFormat/>
    <w:locked/>
    <w:uiPriority w:val="99"/>
    <w:rPr>
      <w:b/>
      <w:color w:val="0099FF"/>
      <w:sz w:val="24"/>
    </w:rPr>
  </w:style>
  <w:style w:type="paragraph" w:customStyle="1" w:styleId="285">
    <w:name w:val="样式 标题 3标题 3 Char标题 一小节标题头条标题1.1.1小标题3h33rd levelH3l3..."/>
    <w:basedOn w:val="2"/>
    <w:next w:val="134"/>
    <w:link w:val="284"/>
    <w:autoRedefine/>
    <w:qFormat/>
    <w:uiPriority w:val="99"/>
    <w:pPr>
      <w:keepLines w:val="0"/>
      <w:spacing w:before="0" w:after="0" w:line="460" w:lineRule="exact"/>
    </w:pPr>
    <w:rPr>
      <w:bCs w:val="0"/>
      <w:color w:val="0099FF"/>
      <w:kern w:val="0"/>
      <w:sz w:val="24"/>
      <w:szCs w:val="20"/>
    </w:rPr>
  </w:style>
  <w:style w:type="character" w:customStyle="1" w:styleId="286">
    <w:name w:val="页脚 字符"/>
    <w:autoRedefine/>
    <w:qFormat/>
    <w:uiPriority w:val="0"/>
  </w:style>
  <w:style w:type="character" w:customStyle="1" w:styleId="287">
    <w:name w:val="Char Char Char Char Char"/>
    <w:autoRedefine/>
    <w:qFormat/>
    <w:uiPriority w:val="0"/>
    <w:rPr>
      <w:rFonts w:ascii="Times New Roman" w:hAnsi="Times New Roman"/>
      <w:kern w:val="2"/>
      <w:sz w:val="24"/>
      <w:szCs w:val="24"/>
    </w:rPr>
  </w:style>
  <w:style w:type="character" w:customStyle="1" w:styleId="288">
    <w:name w:val="wz1"/>
    <w:autoRedefine/>
    <w:qFormat/>
    <w:uiPriority w:val="0"/>
    <w:rPr>
      <w:rFonts w:hint="default" w:ascii="_x000B__x000C_" w:hAnsi="_x000B__x000C_"/>
      <w:sz w:val="18"/>
      <w:szCs w:val="18"/>
    </w:rPr>
  </w:style>
  <w:style w:type="character" w:customStyle="1" w:styleId="289">
    <w:name w:val="fontstyle21"/>
    <w:autoRedefine/>
    <w:qFormat/>
    <w:uiPriority w:val="0"/>
    <w:rPr>
      <w:rFonts w:hint="default" w:ascii="Times New Roman" w:hAnsi="Times New Roman" w:cs="Times New Roman"/>
      <w:color w:val="000000"/>
      <w:sz w:val="24"/>
      <w:szCs w:val="24"/>
    </w:rPr>
  </w:style>
  <w:style w:type="character" w:customStyle="1" w:styleId="290">
    <w:name w:val="style14"/>
    <w:autoRedefine/>
    <w:qFormat/>
    <w:uiPriority w:val="0"/>
  </w:style>
  <w:style w:type="character" w:customStyle="1" w:styleId="291">
    <w:name w:val="标题 字符1"/>
    <w:autoRedefine/>
    <w:qFormat/>
    <w:uiPriority w:val="0"/>
    <w:rPr>
      <w:rFonts w:ascii="等线 Light" w:hAnsi="等线 Light" w:cs="Times New Roman"/>
      <w:b/>
      <w:bCs/>
      <w:kern w:val="2"/>
      <w:sz w:val="32"/>
      <w:szCs w:val="32"/>
    </w:rPr>
  </w:style>
  <w:style w:type="character" w:customStyle="1" w:styleId="292">
    <w:name w:val="日期 字符1"/>
    <w:autoRedefine/>
    <w:qFormat/>
    <w:uiPriority w:val="0"/>
    <w:rPr>
      <w:rFonts w:ascii="宋体" w:hAnsi="宋体" w:eastAsia="宋体" w:cs="Times New Roman"/>
      <w:b/>
      <w:bCs/>
      <w:sz w:val="28"/>
      <w:szCs w:val="24"/>
      <w:lang w:val="en-US" w:eastAsia="zh-CN"/>
    </w:rPr>
  </w:style>
  <w:style w:type="character" w:customStyle="1" w:styleId="293">
    <w:name w:val="fontstyle11"/>
    <w:autoRedefine/>
    <w:qFormat/>
    <w:uiPriority w:val="0"/>
    <w:rPr>
      <w:rFonts w:hint="default" w:ascii="Times New Roman" w:hAnsi="Times New Roman" w:cs="Times New Roman"/>
      <w:color w:val="000000"/>
      <w:sz w:val="24"/>
      <w:szCs w:val="24"/>
    </w:rPr>
  </w:style>
  <w:style w:type="character" w:customStyle="1" w:styleId="294">
    <w:name w:val="三级标题 Char2"/>
    <w:link w:val="295"/>
    <w:autoRedefine/>
    <w:qFormat/>
    <w:uiPriority w:val="0"/>
    <w:rPr>
      <w:b/>
      <w:kern w:val="2"/>
      <w:sz w:val="24"/>
    </w:rPr>
  </w:style>
  <w:style w:type="paragraph" w:customStyle="1" w:styleId="295">
    <w:name w:val="三级标题"/>
    <w:basedOn w:val="1"/>
    <w:link w:val="294"/>
    <w:autoRedefine/>
    <w:qFormat/>
    <w:uiPriority w:val="0"/>
    <w:pPr>
      <w:spacing w:before="300" w:line="460" w:lineRule="exact"/>
      <w:outlineLvl w:val="2"/>
    </w:pPr>
    <w:rPr>
      <w:b/>
      <w:sz w:val="24"/>
      <w:szCs w:val="20"/>
    </w:rPr>
  </w:style>
  <w:style w:type="character" w:customStyle="1" w:styleId="296">
    <w:name w:val="HTML 预设格式 Char1"/>
    <w:autoRedefine/>
    <w:semiHidden/>
    <w:qFormat/>
    <w:uiPriority w:val="99"/>
    <w:rPr>
      <w:rFonts w:ascii="Courier New" w:hAnsi="Courier New" w:eastAsia="宋体" w:cs="Courier New"/>
      <w:sz w:val="20"/>
      <w:szCs w:val="20"/>
    </w:rPr>
  </w:style>
  <w:style w:type="character" w:customStyle="1" w:styleId="297">
    <w:name w:val="my Char"/>
    <w:link w:val="298"/>
    <w:autoRedefine/>
    <w:qFormat/>
    <w:uiPriority w:val="0"/>
    <w:rPr>
      <w:sz w:val="24"/>
      <w:szCs w:val="24"/>
      <w:lang w:bidi="ar-SA"/>
    </w:rPr>
  </w:style>
  <w:style w:type="paragraph" w:customStyle="1" w:styleId="298">
    <w:name w:val="my"/>
    <w:link w:val="297"/>
    <w:autoRedefine/>
    <w:qFormat/>
    <w:uiPriority w:val="0"/>
    <w:pPr>
      <w:widowControl w:val="0"/>
      <w:spacing w:before="60" w:line="460" w:lineRule="exact"/>
      <w:ind w:firstLine="200" w:firstLineChars="200"/>
    </w:pPr>
    <w:rPr>
      <w:rFonts w:ascii="Times New Roman" w:hAnsi="Times New Roman" w:eastAsia="宋体" w:cs="Times New Roman"/>
      <w:sz w:val="24"/>
      <w:szCs w:val="24"/>
      <w:lang w:val="en-US" w:eastAsia="zh-CN" w:bidi="ar-SA"/>
    </w:rPr>
  </w:style>
  <w:style w:type="character" w:customStyle="1" w:styleId="299">
    <w:name w:val="题注（图、表） Char"/>
    <w:link w:val="300"/>
    <w:autoRedefine/>
    <w:qFormat/>
    <w:uiPriority w:val="0"/>
    <w:rPr>
      <w:rFonts w:ascii="Arial" w:hAnsi="Arial" w:eastAsia="黑体" w:cs="宋体"/>
      <w:kern w:val="2"/>
    </w:rPr>
  </w:style>
  <w:style w:type="paragraph" w:customStyle="1" w:styleId="300">
    <w:name w:val="题注（图、表）"/>
    <w:basedOn w:val="1"/>
    <w:link w:val="299"/>
    <w:autoRedefine/>
    <w:qFormat/>
    <w:uiPriority w:val="0"/>
    <w:pPr>
      <w:adjustRightInd w:val="0"/>
      <w:snapToGrid w:val="0"/>
      <w:spacing w:before="160" w:after="156" w:line="400" w:lineRule="exact"/>
      <w:jc w:val="center"/>
    </w:pPr>
    <w:rPr>
      <w:rFonts w:ascii="Arial" w:hAnsi="Arial" w:eastAsia="黑体"/>
      <w:sz w:val="20"/>
      <w:szCs w:val="20"/>
    </w:rPr>
  </w:style>
  <w:style w:type="character" w:customStyle="1" w:styleId="301">
    <w:name w:val="标题 5 字符1"/>
    <w:autoRedefine/>
    <w:semiHidden/>
    <w:qFormat/>
    <w:locked/>
    <w:uiPriority w:val="9"/>
    <w:rPr>
      <w:rFonts w:ascii="Calibri Light" w:hAnsi="Calibri Light"/>
      <w:color w:val="2E74B5"/>
      <w:sz w:val="22"/>
      <w:szCs w:val="22"/>
    </w:rPr>
  </w:style>
  <w:style w:type="character" w:customStyle="1" w:styleId="302">
    <w:name w:val="正文文本 2 Char1"/>
    <w:autoRedefine/>
    <w:qFormat/>
    <w:uiPriority w:val="0"/>
    <w:rPr>
      <w:sz w:val="24"/>
    </w:rPr>
  </w:style>
  <w:style w:type="character" w:customStyle="1" w:styleId="303">
    <w:name w:val="纯文本 字符"/>
    <w:autoRedefine/>
    <w:qFormat/>
    <w:uiPriority w:val="0"/>
    <w:rPr>
      <w:rFonts w:ascii="宋体" w:hAnsi="Courier New" w:cs="Courier New"/>
      <w:kern w:val="2"/>
      <w:sz w:val="21"/>
      <w:szCs w:val="21"/>
    </w:rPr>
  </w:style>
  <w:style w:type="character" w:customStyle="1" w:styleId="304">
    <w:name w:val="articlecontent"/>
    <w:autoRedefine/>
    <w:qFormat/>
    <w:uiPriority w:val="0"/>
  </w:style>
  <w:style w:type="character" w:customStyle="1" w:styleId="305">
    <w:name w:val="第二层条 Char1"/>
    <w:autoRedefine/>
    <w:qFormat/>
    <w:uiPriority w:val="0"/>
    <w:rPr>
      <w:rFonts w:eastAsia="宋体"/>
      <w:b/>
      <w:bCs/>
      <w:kern w:val="2"/>
      <w:sz w:val="24"/>
      <w:szCs w:val="24"/>
      <w:lang w:val="en-US" w:eastAsia="zh-CN" w:bidi="ar-SA"/>
    </w:rPr>
  </w:style>
  <w:style w:type="character" w:customStyle="1" w:styleId="306">
    <w:name w:val="正文文本 字符1"/>
    <w:autoRedefine/>
    <w:qFormat/>
    <w:uiPriority w:val="0"/>
    <w:rPr>
      <w:rFonts w:ascii="Times New Roman" w:hAnsi="Times New Roman" w:eastAsia="宋体"/>
      <w:sz w:val="24"/>
    </w:rPr>
  </w:style>
  <w:style w:type="character" w:customStyle="1" w:styleId="307">
    <w:name w:val="正文01 Char2"/>
    <w:autoRedefine/>
    <w:qFormat/>
    <w:uiPriority w:val="0"/>
    <w:rPr>
      <w:rFonts w:ascii="Calibri" w:hAnsi="Calibri" w:eastAsia="宋体"/>
      <w:snapToGrid w:val="0"/>
      <w:sz w:val="24"/>
      <w:szCs w:val="24"/>
      <w:lang w:val="en-US" w:eastAsia="en-US" w:bidi="en-US"/>
    </w:rPr>
  </w:style>
  <w:style w:type="character" w:customStyle="1" w:styleId="308">
    <w:name w:val="description"/>
    <w:autoRedefine/>
    <w:qFormat/>
    <w:uiPriority w:val="0"/>
  </w:style>
  <w:style w:type="character" w:customStyle="1" w:styleId="309">
    <w:name w:val="duan1"/>
    <w:autoRedefine/>
    <w:qFormat/>
    <w:uiPriority w:val="0"/>
    <w:rPr>
      <w:sz w:val="20"/>
      <w:szCs w:val="20"/>
      <w:u w:val="none"/>
    </w:rPr>
  </w:style>
  <w:style w:type="character" w:customStyle="1" w:styleId="310">
    <w:name w:val="表格文字 Char Char Char"/>
    <w:autoRedefine/>
    <w:qFormat/>
    <w:uiPriority w:val="0"/>
    <w:rPr>
      <w:rFonts w:eastAsia="宋体"/>
      <w:kern w:val="2"/>
      <w:sz w:val="21"/>
      <w:szCs w:val="21"/>
      <w:lang w:val="en-US" w:eastAsia="zh-CN" w:bidi="ar-SA"/>
    </w:rPr>
  </w:style>
  <w:style w:type="character" w:customStyle="1" w:styleId="311">
    <w:name w:val="列表段落 字符"/>
    <w:link w:val="312"/>
    <w:autoRedefine/>
    <w:qFormat/>
    <w:uiPriority w:val="34"/>
    <w:rPr>
      <w:kern w:val="2"/>
      <w:sz w:val="21"/>
      <w:szCs w:val="24"/>
    </w:rPr>
  </w:style>
  <w:style w:type="paragraph" w:styleId="312">
    <w:name w:val="List Paragraph"/>
    <w:basedOn w:val="1"/>
    <w:link w:val="311"/>
    <w:autoRedefine/>
    <w:qFormat/>
    <w:uiPriority w:val="34"/>
    <w:pPr>
      <w:ind w:firstLine="420" w:firstLineChars="200"/>
    </w:pPr>
  </w:style>
  <w:style w:type="character" w:customStyle="1" w:styleId="313">
    <w:name w:val="title31"/>
    <w:autoRedefine/>
    <w:qFormat/>
    <w:uiPriority w:val="0"/>
    <w:rPr>
      <w:rFonts w:hint="eastAsia" w:ascii="宋体" w:hAnsi="宋体" w:eastAsia="宋体"/>
      <w:color w:val="000000"/>
      <w:sz w:val="23"/>
      <w:szCs w:val="23"/>
    </w:rPr>
  </w:style>
  <w:style w:type="character" w:customStyle="1" w:styleId="314">
    <w:name w:val="表格数字 Char"/>
    <w:link w:val="315"/>
    <w:autoRedefine/>
    <w:qFormat/>
    <w:uiPriority w:val="0"/>
    <w:rPr>
      <w:rFonts w:ascii="Arial" w:hAnsi="Arial" w:cs="宋体"/>
      <w:sz w:val="21"/>
    </w:rPr>
  </w:style>
  <w:style w:type="paragraph" w:customStyle="1" w:styleId="315">
    <w:name w:val="表格数字"/>
    <w:basedOn w:val="1"/>
    <w:link w:val="314"/>
    <w:autoRedefine/>
    <w:qFormat/>
    <w:uiPriority w:val="0"/>
    <w:pPr>
      <w:spacing w:line="360" w:lineRule="exact"/>
      <w:jc w:val="center"/>
    </w:pPr>
    <w:rPr>
      <w:rFonts w:ascii="Arial" w:hAnsi="Arial"/>
      <w:kern w:val="0"/>
      <w:szCs w:val="20"/>
    </w:rPr>
  </w:style>
  <w:style w:type="character" w:customStyle="1" w:styleId="316">
    <w:name w:val="defaultfont1"/>
    <w:autoRedefine/>
    <w:qFormat/>
    <w:uiPriority w:val="0"/>
  </w:style>
  <w:style w:type="character" w:customStyle="1" w:styleId="317">
    <w:name w:val="正文文本缩进 2 字符2"/>
    <w:autoRedefine/>
    <w:qFormat/>
    <w:locked/>
    <w:uiPriority w:val="0"/>
    <w:rPr>
      <w:kern w:val="2"/>
      <w:sz w:val="24"/>
      <w:szCs w:val="24"/>
    </w:rPr>
  </w:style>
  <w:style w:type="character" w:customStyle="1" w:styleId="318">
    <w:name w:val="font01"/>
    <w:autoRedefine/>
    <w:qFormat/>
    <w:uiPriority w:val="99"/>
    <w:rPr>
      <w:rFonts w:ascii="宋体" w:hAnsi="宋体" w:eastAsia="宋体"/>
      <w:color w:val="000000"/>
      <w:sz w:val="24"/>
      <w:u w:val="none"/>
    </w:rPr>
  </w:style>
  <w:style w:type="character" w:customStyle="1" w:styleId="319">
    <w:name w:val="content"/>
    <w:autoRedefine/>
    <w:qFormat/>
    <w:uiPriority w:val="0"/>
    <w:rPr>
      <w:color w:val="000000"/>
      <w:sz w:val="21"/>
      <w:szCs w:val="21"/>
    </w:rPr>
  </w:style>
  <w:style w:type="character" w:customStyle="1" w:styleId="320">
    <w:name w:val="纯文本 Char1"/>
    <w:autoRedefine/>
    <w:qFormat/>
    <w:uiPriority w:val="0"/>
    <w:rPr>
      <w:rFonts w:ascii="宋体" w:hAnsi="Courier New"/>
      <w:kern w:val="2"/>
      <w:sz w:val="21"/>
    </w:rPr>
  </w:style>
  <w:style w:type="character" w:customStyle="1" w:styleId="321">
    <w:name w:val="postbody1"/>
    <w:autoRedefine/>
    <w:qFormat/>
    <w:uiPriority w:val="0"/>
    <w:rPr>
      <w:sz w:val="18"/>
      <w:szCs w:val="18"/>
    </w:rPr>
  </w:style>
  <w:style w:type="character" w:customStyle="1" w:styleId="322">
    <w:name w:val="正文首行缩进 2 + Times New Roman Char"/>
    <w:link w:val="323"/>
    <w:autoRedefine/>
    <w:qFormat/>
    <w:locked/>
    <w:uiPriority w:val="0"/>
    <w:rPr>
      <w:sz w:val="24"/>
      <w:szCs w:val="24"/>
    </w:rPr>
  </w:style>
  <w:style w:type="paragraph" w:customStyle="1" w:styleId="323">
    <w:name w:val="正文首行缩进 2 + Times New Roman"/>
    <w:basedOn w:val="1"/>
    <w:link w:val="322"/>
    <w:autoRedefine/>
    <w:qFormat/>
    <w:uiPriority w:val="0"/>
    <w:pPr>
      <w:tabs>
        <w:tab w:val="left" w:pos="0"/>
        <w:tab w:val="left" w:pos="870"/>
        <w:tab w:val="left" w:pos="3150"/>
      </w:tabs>
      <w:autoSpaceDE w:val="0"/>
      <w:autoSpaceDN w:val="0"/>
      <w:adjustRightInd w:val="0"/>
      <w:snapToGrid w:val="0"/>
      <w:spacing w:line="480" w:lineRule="exact"/>
      <w:ind w:firstLine="480" w:firstLineChars="200"/>
    </w:pPr>
    <w:rPr>
      <w:kern w:val="0"/>
      <w:sz w:val="24"/>
    </w:rPr>
  </w:style>
  <w:style w:type="character" w:customStyle="1" w:styleId="324">
    <w:name w:val="A2"/>
    <w:autoRedefine/>
    <w:semiHidden/>
    <w:qFormat/>
    <w:uiPriority w:val="0"/>
    <w:rPr>
      <w:color w:val="000000"/>
    </w:rPr>
  </w:style>
  <w:style w:type="character" w:customStyle="1" w:styleId="325">
    <w:name w:val="3级标题 Char"/>
    <w:link w:val="326"/>
    <w:autoRedefine/>
    <w:qFormat/>
    <w:uiPriority w:val="0"/>
    <w:rPr>
      <w:rFonts w:ascii="Arial" w:hAnsi="Arial"/>
      <w:b/>
      <w:kern w:val="2"/>
      <w:sz w:val="24"/>
    </w:rPr>
  </w:style>
  <w:style w:type="paragraph" w:customStyle="1" w:styleId="326">
    <w:name w:val="3级标题"/>
    <w:basedOn w:val="1"/>
    <w:link w:val="325"/>
    <w:autoRedefine/>
    <w:qFormat/>
    <w:uiPriority w:val="0"/>
    <w:pPr>
      <w:spacing w:before="300" w:line="460" w:lineRule="exact"/>
      <w:outlineLvl w:val="2"/>
    </w:pPr>
    <w:rPr>
      <w:rFonts w:ascii="Arial" w:hAnsi="Arial"/>
      <w:b/>
      <w:sz w:val="24"/>
      <w:szCs w:val="20"/>
    </w:rPr>
  </w:style>
  <w:style w:type="character" w:customStyle="1" w:styleId="327">
    <w:name w:val="zw1"/>
    <w:autoRedefine/>
    <w:qFormat/>
    <w:uiPriority w:val="0"/>
    <w:rPr>
      <w:rFonts w:hint="eastAsia" w:ascii="宋体" w:hAnsi="宋体" w:eastAsia="宋体"/>
      <w:sz w:val="22"/>
      <w:szCs w:val="22"/>
    </w:rPr>
  </w:style>
  <w:style w:type="character" w:customStyle="1" w:styleId="328">
    <w:name w:val="副标题 字符2"/>
    <w:autoRedefine/>
    <w:qFormat/>
    <w:locked/>
    <w:uiPriority w:val="11"/>
    <w:rPr>
      <w:rFonts w:ascii="Calibri" w:hAnsi="Calibri" w:cs="Calibri"/>
      <w:color w:val="5A5A5A"/>
      <w:spacing w:val="15"/>
      <w:sz w:val="22"/>
      <w:szCs w:val="22"/>
    </w:rPr>
  </w:style>
  <w:style w:type="character" w:customStyle="1" w:styleId="329">
    <w:name w:val="style1191"/>
    <w:autoRedefine/>
    <w:qFormat/>
    <w:uiPriority w:val="0"/>
    <w:rPr>
      <w:rFonts w:hint="default" w:ascii="Arial" w:hAnsi="Arial" w:cs="Arial"/>
      <w:color w:val="000000"/>
      <w:sz w:val="18"/>
      <w:szCs w:val="18"/>
    </w:rPr>
  </w:style>
  <w:style w:type="character" w:customStyle="1" w:styleId="330">
    <w:name w:val="标题3 Char"/>
    <w:link w:val="331"/>
    <w:autoRedefine/>
    <w:qFormat/>
    <w:uiPriority w:val="0"/>
    <w:rPr>
      <w:kern w:val="2"/>
      <w:sz w:val="24"/>
    </w:rPr>
  </w:style>
  <w:style w:type="paragraph" w:customStyle="1" w:styleId="331">
    <w:name w:val="标题3"/>
    <w:basedOn w:val="332"/>
    <w:next w:val="186"/>
    <w:link w:val="330"/>
    <w:autoRedefine/>
    <w:qFormat/>
    <w:uiPriority w:val="0"/>
  </w:style>
  <w:style w:type="paragraph" w:customStyle="1" w:styleId="332">
    <w:name w:val="正文2"/>
    <w:basedOn w:val="5"/>
    <w:autoRedefine/>
    <w:qFormat/>
    <w:uiPriority w:val="0"/>
    <w:pPr>
      <w:adjustRightInd w:val="0"/>
      <w:snapToGrid w:val="0"/>
      <w:spacing w:line="440" w:lineRule="atLeast"/>
      <w:ind w:firstLine="567"/>
    </w:pPr>
    <w:rPr>
      <w:sz w:val="24"/>
    </w:rPr>
  </w:style>
  <w:style w:type="character" w:customStyle="1" w:styleId="333">
    <w:name w:val="Char Char1 Char1"/>
    <w:autoRedefine/>
    <w:qFormat/>
    <w:uiPriority w:val="0"/>
    <w:rPr>
      <w:rFonts w:ascii="宋体" w:hAnsi="宋体" w:eastAsia="宋体" w:cs="宋体"/>
      <w:kern w:val="2"/>
      <w:sz w:val="24"/>
      <w:szCs w:val="24"/>
      <w:lang w:val="en-US" w:eastAsia="zh-CN" w:bidi="ar-SA"/>
    </w:rPr>
  </w:style>
  <w:style w:type="character" w:customStyle="1" w:styleId="334">
    <w:name w:val="f14b1"/>
    <w:autoRedefine/>
    <w:qFormat/>
    <w:uiPriority w:val="0"/>
    <w:rPr>
      <w:b/>
      <w:bCs/>
      <w:sz w:val="21"/>
      <w:szCs w:val="21"/>
    </w:rPr>
  </w:style>
  <w:style w:type="character" w:customStyle="1" w:styleId="335">
    <w:name w:val="question-title2"/>
    <w:autoRedefine/>
    <w:qFormat/>
    <w:uiPriority w:val="0"/>
  </w:style>
  <w:style w:type="character" w:customStyle="1" w:styleId="336">
    <w:name w:val="标题 5 字符"/>
    <w:autoRedefine/>
    <w:semiHidden/>
    <w:qFormat/>
    <w:uiPriority w:val="9"/>
    <w:rPr>
      <w:b/>
      <w:bCs/>
      <w:kern w:val="2"/>
      <w:sz w:val="28"/>
      <w:szCs w:val="28"/>
    </w:rPr>
  </w:style>
  <w:style w:type="character" w:customStyle="1" w:styleId="337">
    <w:name w:val="标题 6 字符"/>
    <w:autoRedefine/>
    <w:qFormat/>
    <w:uiPriority w:val="9"/>
    <w:rPr>
      <w:rFonts w:ascii="等线 Light" w:hAnsi="等线 Light" w:eastAsia="等线 Light" w:cs="Times New Roman"/>
      <w:b/>
      <w:bCs/>
      <w:kern w:val="2"/>
      <w:sz w:val="24"/>
      <w:szCs w:val="24"/>
    </w:rPr>
  </w:style>
  <w:style w:type="character" w:customStyle="1" w:styleId="338">
    <w:name w:val="name1"/>
    <w:autoRedefine/>
    <w:qFormat/>
    <w:uiPriority w:val="0"/>
    <w:rPr>
      <w:sz w:val="24"/>
      <w:szCs w:val="24"/>
    </w:rPr>
  </w:style>
  <w:style w:type="character" w:customStyle="1" w:styleId="339">
    <w:name w:val="3zw1"/>
    <w:autoRedefine/>
    <w:qFormat/>
    <w:uiPriority w:val="0"/>
    <w:rPr>
      <w:color w:val="000000"/>
      <w:sz w:val="21"/>
      <w:szCs w:val="21"/>
    </w:rPr>
  </w:style>
  <w:style w:type="character" w:customStyle="1" w:styleId="340">
    <w:name w:val="纯文本 Char Char Char Char Char Char"/>
    <w:autoRedefine/>
    <w:qFormat/>
    <w:uiPriority w:val="0"/>
    <w:rPr>
      <w:rFonts w:eastAsia="宋体"/>
      <w:kern w:val="2"/>
      <w:sz w:val="21"/>
      <w:szCs w:val="24"/>
      <w:lang w:val="en-US" w:eastAsia="zh-CN" w:bidi="ar-SA"/>
    </w:rPr>
  </w:style>
  <w:style w:type="character" w:customStyle="1" w:styleId="341">
    <w:name w:val="正文调整 Char"/>
    <w:link w:val="342"/>
    <w:autoRedefine/>
    <w:qFormat/>
    <w:uiPriority w:val="0"/>
    <w:rPr>
      <w:kern w:val="2"/>
      <w:sz w:val="24"/>
      <w:szCs w:val="24"/>
    </w:rPr>
  </w:style>
  <w:style w:type="paragraph" w:customStyle="1" w:styleId="342">
    <w:name w:val="正文调整"/>
    <w:basedOn w:val="1"/>
    <w:link w:val="341"/>
    <w:autoRedefine/>
    <w:qFormat/>
    <w:uiPriority w:val="0"/>
    <w:pPr>
      <w:spacing w:before="60" w:line="460" w:lineRule="atLeast"/>
      <w:ind w:firstLine="200" w:firstLineChars="200"/>
    </w:pPr>
    <w:rPr>
      <w:sz w:val="24"/>
    </w:rPr>
  </w:style>
  <w:style w:type="character" w:customStyle="1" w:styleId="343">
    <w:name w:val="常用正文样式 Char1"/>
    <w:link w:val="344"/>
    <w:autoRedefine/>
    <w:qFormat/>
    <w:uiPriority w:val="0"/>
    <w:rPr>
      <w:rFonts w:ascii="宋体" w:hAnsi="新宋体" w:eastAsia="仿宋_GB2312"/>
      <w:kern w:val="2"/>
      <w:sz w:val="24"/>
      <w:szCs w:val="24"/>
      <w:lang w:bidi="ar-SA"/>
    </w:rPr>
  </w:style>
  <w:style w:type="paragraph" w:customStyle="1" w:styleId="344">
    <w:name w:val="常用正文样式"/>
    <w:link w:val="343"/>
    <w:autoRedefine/>
    <w:qFormat/>
    <w:uiPriority w:val="0"/>
    <w:pPr>
      <w:widowControl w:val="0"/>
      <w:spacing w:line="360" w:lineRule="auto"/>
      <w:ind w:firstLine="454"/>
      <w:jc w:val="both"/>
    </w:pPr>
    <w:rPr>
      <w:rFonts w:ascii="宋体" w:hAnsi="新宋体" w:eastAsia="仿宋_GB2312" w:cs="Times New Roman"/>
      <w:kern w:val="2"/>
      <w:sz w:val="24"/>
      <w:szCs w:val="24"/>
      <w:lang w:val="en-US" w:eastAsia="zh-CN" w:bidi="ar-SA"/>
    </w:rPr>
  </w:style>
  <w:style w:type="character" w:customStyle="1" w:styleId="345">
    <w:name w:val="常用表格样式 Char1"/>
    <w:link w:val="346"/>
    <w:autoRedefine/>
    <w:qFormat/>
    <w:uiPriority w:val="0"/>
    <w:rPr>
      <w:rFonts w:ascii="宋体" w:hAnsi="新宋体" w:eastAsia="仿宋_GB2312"/>
      <w:sz w:val="18"/>
      <w:szCs w:val="21"/>
    </w:rPr>
  </w:style>
  <w:style w:type="paragraph" w:customStyle="1" w:styleId="346">
    <w:name w:val="常用表格样式"/>
    <w:basedOn w:val="344"/>
    <w:next w:val="344"/>
    <w:link w:val="345"/>
    <w:autoRedefine/>
    <w:qFormat/>
    <w:uiPriority w:val="0"/>
    <w:pPr>
      <w:spacing w:line="240" w:lineRule="auto"/>
      <w:ind w:firstLine="0"/>
      <w:jc w:val="center"/>
    </w:pPr>
    <w:rPr>
      <w:kern w:val="0"/>
      <w:sz w:val="18"/>
      <w:szCs w:val="21"/>
    </w:rPr>
  </w:style>
  <w:style w:type="character" w:customStyle="1" w:styleId="347">
    <w:name w:val="block2"/>
    <w:autoRedefine/>
    <w:qFormat/>
    <w:uiPriority w:val="0"/>
  </w:style>
  <w:style w:type="character" w:customStyle="1" w:styleId="348">
    <w:name w:val="text1"/>
    <w:autoRedefine/>
    <w:qFormat/>
    <w:uiPriority w:val="0"/>
    <w:rPr>
      <w:rFonts w:hint="eastAsia" w:ascii="宋体" w:hAnsi="宋体" w:eastAsia="宋体"/>
      <w:color w:val="999999"/>
      <w:sz w:val="18"/>
      <w:u w:val="none"/>
    </w:rPr>
  </w:style>
  <w:style w:type="character" w:customStyle="1" w:styleId="349">
    <w:name w:val="标题3 非连续 Char"/>
    <w:link w:val="350"/>
    <w:autoRedefine/>
    <w:qFormat/>
    <w:uiPriority w:val="0"/>
    <w:rPr>
      <w:rFonts w:ascii="Arial" w:hAnsi="Arial"/>
      <w:b/>
      <w:bCs/>
      <w:sz w:val="24"/>
      <w:szCs w:val="32"/>
    </w:rPr>
  </w:style>
  <w:style w:type="paragraph" w:customStyle="1" w:styleId="350">
    <w:name w:val="标题3 非连续"/>
    <w:basedOn w:val="331"/>
    <w:link w:val="349"/>
    <w:autoRedefine/>
    <w:qFormat/>
    <w:uiPriority w:val="0"/>
    <w:pPr>
      <w:keepNext/>
      <w:keepLines/>
      <w:adjustRightInd/>
      <w:snapToGrid/>
      <w:spacing w:before="50" w:beforeLines="50" w:line="440" w:lineRule="exact"/>
      <w:outlineLvl w:val="2"/>
    </w:pPr>
    <w:rPr>
      <w:rFonts w:ascii="Arial" w:hAnsi="Arial"/>
      <w:b/>
      <w:bCs/>
      <w:kern w:val="0"/>
      <w:szCs w:val="32"/>
    </w:rPr>
  </w:style>
  <w:style w:type="character" w:customStyle="1" w:styleId="351">
    <w:name w:val="表格正文 Char Char Char Char Char Char Char Char Char"/>
    <w:autoRedefine/>
    <w:qFormat/>
    <w:uiPriority w:val="0"/>
    <w:rPr>
      <w:rFonts w:ascii="宋体" w:hAnsi="宋体" w:eastAsia="宋体" w:cs="宋体"/>
      <w:kern w:val="2"/>
      <w:sz w:val="21"/>
      <w:lang w:val="en-US" w:eastAsia="zh-CN" w:bidi="ar-SA"/>
    </w:rPr>
  </w:style>
  <w:style w:type="character" w:customStyle="1" w:styleId="352">
    <w:name w:val="批注文字 Char1"/>
    <w:autoRedefine/>
    <w:qFormat/>
    <w:uiPriority w:val="99"/>
    <w:rPr>
      <w:sz w:val="24"/>
    </w:rPr>
  </w:style>
  <w:style w:type="character" w:customStyle="1" w:styleId="353">
    <w:name w:val="主体 Char"/>
    <w:link w:val="354"/>
    <w:autoRedefine/>
    <w:qFormat/>
    <w:uiPriority w:val="0"/>
    <w:rPr>
      <w:rFonts w:eastAsia="仿宋_GB2312"/>
      <w:bCs/>
      <w:kern w:val="2"/>
      <w:sz w:val="24"/>
      <w:szCs w:val="24"/>
      <w:lang w:val="en-US" w:eastAsia="zh-CN" w:bidi="ar-SA"/>
    </w:rPr>
  </w:style>
  <w:style w:type="paragraph" w:customStyle="1" w:styleId="354">
    <w:name w:val="主体"/>
    <w:link w:val="353"/>
    <w:autoRedefine/>
    <w:qFormat/>
    <w:uiPriority w:val="0"/>
    <w:pPr>
      <w:widowControl w:val="0"/>
      <w:autoSpaceDE w:val="0"/>
      <w:autoSpaceDN w:val="0"/>
      <w:spacing w:line="440" w:lineRule="exact"/>
      <w:ind w:firstLine="480" w:firstLineChars="200"/>
      <w:jc w:val="both"/>
    </w:pPr>
    <w:rPr>
      <w:rFonts w:ascii="Times New Roman" w:hAnsi="Times New Roman" w:eastAsia="仿宋_GB2312" w:cs="Times New Roman"/>
      <w:bCs/>
      <w:kern w:val="2"/>
      <w:sz w:val="24"/>
      <w:szCs w:val="24"/>
      <w:lang w:val="en-US" w:eastAsia="zh-CN" w:bidi="ar-SA"/>
    </w:rPr>
  </w:style>
  <w:style w:type="character" w:customStyle="1" w:styleId="355">
    <w:name w:val="批注框文本 字符"/>
    <w:autoRedefine/>
    <w:qFormat/>
    <w:uiPriority w:val="99"/>
    <w:rPr>
      <w:rFonts w:ascii="Times New Roman" w:hAnsi="Times New Roman" w:eastAsia="宋体" w:cs="Times New Roman"/>
      <w:sz w:val="18"/>
      <w:szCs w:val="18"/>
    </w:rPr>
  </w:style>
  <w:style w:type="character" w:customStyle="1" w:styleId="356">
    <w:name w:val="正文文本缩进 字符"/>
    <w:autoRedefine/>
    <w:qFormat/>
    <w:uiPriority w:val="0"/>
    <w:rPr>
      <w:kern w:val="2"/>
      <w:sz w:val="28"/>
    </w:rPr>
  </w:style>
  <w:style w:type="character" w:customStyle="1" w:styleId="357">
    <w:name w:val="正文001 Char Char Char"/>
    <w:autoRedefine/>
    <w:qFormat/>
    <w:uiPriority w:val="0"/>
    <w:rPr>
      <w:rFonts w:eastAsia="宋体"/>
      <w:kern w:val="2"/>
      <w:sz w:val="24"/>
      <w:lang w:val="en-US" w:eastAsia="zh-CN"/>
    </w:rPr>
  </w:style>
  <w:style w:type="character" w:customStyle="1" w:styleId="358">
    <w:name w:val="正文B Char"/>
    <w:link w:val="359"/>
    <w:autoRedefine/>
    <w:qFormat/>
    <w:uiPriority w:val="99"/>
    <w:rPr>
      <w:rFonts w:cs="宋体"/>
      <w:kern w:val="2"/>
      <w:sz w:val="24"/>
    </w:rPr>
  </w:style>
  <w:style w:type="paragraph" w:customStyle="1" w:styleId="359">
    <w:name w:val="正文B"/>
    <w:basedOn w:val="1"/>
    <w:link w:val="358"/>
    <w:autoRedefine/>
    <w:qFormat/>
    <w:uiPriority w:val="99"/>
    <w:pPr>
      <w:spacing w:line="540" w:lineRule="exact"/>
      <w:ind w:firstLine="480" w:firstLineChars="200"/>
    </w:pPr>
    <w:rPr>
      <w:sz w:val="24"/>
      <w:szCs w:val="20"/>
    </w:rPr>
  </w:style>
  <w:style w:type="character" w:customStyle="1" w:styleId="360">
    <w:name w:val="正文文本_"/>
    <w:autoRedefine/>
    <w:qFormat/>
    <w:uiPriority w:val="0"/>
    <w:rPr>
      <w:rFonts w:ascii="宋体" w:eastAsia="宋体" w:cs="宋体"/>
      <w:sz w:val="22"/>
      <w:szCs w:val="22"/>
      <w:u w:val="none"/>
    </w:rPr>
  </w:style>
  <w:style w:type="character" w:customStyle="1" w:styleId="361">
    <w:name w:val="Char4 Char Char"/>
    <w:autoRedefine/>
    <w:qFormat/>
    <w:uiPriority w:val="0"/>
    <w:rPr>
      <w:rFonts w:eastAsia="宋体"/>
      <w:sz w:val="28"/>
      <w:lang w:val="en-US" w:eastAsia="zh-CN" w:bidi="ar-SA"/>
    </w:rPr>
  </w:style>
  <w:style w:type="character" w:customStyle="1" w:styleId="362">
    <w:name w:val="unnamed1"/>
    <w:autoRedefine/>
    <w:qFormat/>
    <w:uiPriority w:val="0"/>
  </w:style>
  <w:style w:type="character" w:customStyle="1" w:styleId="363">
    <w:name w:val="表格标题 Char Char"/>
    <w:autoRedefine/>
    <w:qFormat/>
    <w:uiPriority w:val="99"/>
    <w:rPr>
      <w:rFonts w:ascii="仿宋_GB2312" w:eastAsia="仿宋_GB2312"/>
      <w:kern w:val="2"/>
      <w:sz w:val="24"/>
      <w:szCs w:val="21"/>
      <w:lang w:val="en-US" w:eastAsia="zh-CN" w:bidi="ar-SA"/>
    </w:rPr>
  </w:style>
  <w:style w:type="character" w:customStyle="1" w:styleId="364">
    <w:name w:val="标题 1 字符"/>
    <w:autoRedefine/>
    <w:qFormat/>
    <w:locked/>
    <w:uiPriority w:val="0"/>
    <w:rPr>
      <w:rFonts w:ascii="Times New Roman" w:hAnsi="Times New Roman" w:eastAsia="宋体" w:cs="Times New Roman"/>
      <w:b/>
      <w:bCs/>
      <w:kern w:val="44"/>
      <w:sz w:val="44"/>
      <w:szCs w:val="44"/>
    </w:rPr>
  </w:style>
  <w:style w:type="character" w:customStyle="1" w:styleId="365">
    <w:name w:val="标题 Char1"/>
    <w:autoRedefine/>
    <w:qFormat/>
    <w:uiPriority w:val="0"/>
    <w:rPr>
      <w:rFonts w:ascii="Calibri Light" w:hAnsi="Calibri Light" w:eastAsia="宋体" w:cs="Times New Roman"/>
      <w:b/>
      <w:bCs/>
      <w:sz w:val="32"/>
      <w:szCs w:val="32"/>
    </w:rPr>
  </w:style>
  <w:style w:type="character" w:customStyle="1" w:styleId="366">
    <w:name w:val="font11"/>
    <w:autoRedefine/>
    <w:qFormat/>
    <w:uiPriority w:val="99"/>
    <w:rPr>
      <w:rFonts w:ascii="Times New Roman" w:hAnsi="Times New Roman"/>
      <w:color w:val="000000"/>
      <w:sz w:val="21"/>
      <w:u w:val="none"/>
    </w:rPr>
  </w:style>
  <w:style w:type="character" w:customStyle="1" w:styleId="367">
    <w:name w:val="普通(网站) 字符"/>
    <w:autoRedefine/>
    <w:qFormat/>
    <w:locked/>
    <w:uiPriority w:val="0"/>
    <w:rPr>
      <w:rFonts w:ascii="Arial Unicode MS" w:hAnsi="Arial Unicode MS" w:cs="Arial Unicode MS"/>
      <w:color w:val="000000"/>
      <w:sz w:val="24"/>
      <w:szCs w:val="24"/>
    </w:rPr>
  </w:style>
  <w:style w:type="character" w:customStyle="1" w:styleId="368">
    <w:name w:val="font21"/>
    <w:autoRedefine/>
    <w:qFormat/>
    <w:uiPriority w:val="99"/>
    <w:rPr>
      <w:rFonts w:ascii="宋体" w:hAnsi="宋体" w:eastAsia="宋体"/>
      <w:color w:val="000000"/>
      <w:sz w:val="21"/>
      <w:u w:val="none"/>
    </w:rPr>
  </w:style>
  <w:style w:type="character" w:customStyle="1" w:styleId="369">
    <w:name w:val="a"/>
    <w:autoRedefine/>
    <w:qFormat/>
    <w:uiPriority w:val="99"/>
    <w:rPr>
      <w:rFonts w:cs="Times New Roman"/>
    </w:rPr>
  </w:style>
  <w:style w:type="character" w:customStyle="1" w:styleId="370">
    <w:name w:val="lm1"/>
    <w:autoRedefine/>
    <w:qFormat/>
    <w:uiPriority w:val="99"/>
    <w:rPr>
      <w:sz w:val="18"/>
    </w:rPr>
  </w:style>
  <w:style w:type="character" w:customStyle="1" w:styleId="371">
    <w:name w:val="lemmatitleh1"/>
    <w:autoRedefine/>
    <w:qFormat/>
    <w:uiPriority w:val="99"/>
    <w:rPr>
      <w:rFonts w:cs="Times New Roman"/>
    </w:rPr>
  </w:style>
  <w:style w:type="character" w:customStyle="1" w:styleId="372">
    <w:name w:val="图框 Char Char"/>
    <w:link w:val="373"/>
    <w:autoRedefine/>
    <w:qFormat/>
    <w:locked/>
    <w:uiPriority w:val="99"/>
    <w:rPr>
      <w:rFonts w:ascii="Arial" w:hAnsi="Arial"/>
    </w:rPr>
  </w:style>
  <w:style w:type="paragraph" w:customStyle="1" w:styleId="373">
    <w:name w:val="图框"/>
    <w:basedOn w:val="1"/>
    <w:link w:val="372"/>
    <w:autoRedefine/>
    <w:qFormat/>
    <w:uiPriority w:val="99"/>
    <w:pPr>
      <w:jc w:val="center"/>
    </w:pPr>
    <w:rPr>
      <w:rFonts w:ascii="Arial" w:hAnsi="Arial"/>
      <w:kern w:val="0"/>
      <w:sz w:val="20"/>
      <w:szCs w:val="20"/>
    </w:rPr>
  </w:style>
  <w:style w:type="character" w:customStyle="1" w:styleId="374">
    <w:name w:val="题注 字符"/>
    <w:autoRedefine/>
    <w:qFormat/>
    <w:uiPriority w:val="0"/>
    <w:rPr>
      <w:rFonts w:ascii="time" w:hAnsi="time"/>
      <w:b/>
      <w:kern w:val="2"/>
      <w:sz w:val="21"/>
    </w:rPr>
  </w:style>
  <w:style w:type="character" w:customStyle="1" w:styleId="375">
    <w:name w:val="标题 8 字符1"/>
    <w:autoRedefine/>
    <w:qFormat/>
    <w:uiPriority w:val="0"/>
    <w:rPr>
      <w:rFonts w:ascii="Times New Roman" w:hAnsi="Times New Roman"/>
      <w:b/>
      <w:bCs/>
      <w:sz w:val="32"/>
      <w:szCs w:val="24"/>
      <w:lang w:val="en-GB" w:eastAsia="es-ES"/>
    </w:rPr>
  </w:style>
  <w:style w:type="character" w:customStyle="1" w:styleId="376">
    <w:name w:val="信息标题 字符1"/>
    <w:autoRedefine/>
    <w:qFormat/>
    <w:uiPriority w:val="0"/>
    <w:rPr>
      <w:rFonts w:ascii="Arial" w:hAnsi="Arial"/>
      <w:kern w:val="2"/>
      <w:sz w:val="24"/>
      <w:szCs w:val="24"/>
      <w:shd w:val="pct20" w:color="auto" w:fill="auto"/>
    </w:rPr>
  </w:style>
  <w:style w:type="character" w:customStyle="1" w:styleId="377">
    <w:name w:val="引用 字符1"/>
    <w:autoRedefine/>
    <w:qFormat/>
    <w:uiPriority w:val="0"/>
    <w:rPr>
      <w:rFonts w:ascii="Cambria" w:hAnsi="Cambria"/>
      <w:i/>
      <w:iCs/>
      <w:color w:val="5A5A5A"/>
      <w:kern w:val="2"/>
      <w:sz w:val="21"/>
      <w:szCs w:val="21"/>
    </w:rPr>
  </w:style>
  <w:style w:type="character" w:customStyle="1" w:styleId="378">
    <w:name w:val="标题5"/>
    <w:autoRedefine/>
    <w:qFormat/>
    <w:uiPriority w:val="0"/>
  </w:style>
  <w:style w:type="character" w:customStyle="1" w:styleId="379">
    <w:name w:val="无间隔 字符"/>
    <w:autoRedefine/>
    <w:qFormat/>
    <w:uiPriority w:val="1"/>
    <w:rPr>
      <w:rFonts w:ascii="Times New Roman" w:hAnsi="Times New Roman" w:eastAsia="仿宋_GB2312"/>
      <w:kern w:val="2"/>
      <w:sz w:val="28"/>
      <w:szCs w:val="28"/>
    </w:rPr>
  </w:style>
  <w:style w:type="character" w:customStyle="1" w:styleId="380">
    <w:name w:val="纯文本 字符1"/>
    <w:autoRedefine/>
    <w:qFormat/>
    <w:uiPriority w:val="0"/>
    <w:rPr>
      <w:rFonts w:ascii="宋体" w:hAnsi="Courier New"/>
    </w:rPr>
  </w:style>
  <w:style w:type="character" w:customStyle="1" w:styleId="381">
    <w:name w:val="正文文本缩进 字符1"/>
    <w:autoRedefine/>
    <w:qFormat/>
    <w:uiPriority w:val="0"/>
    <w:rPr>
      <w:sz w:val="28"/>
    </w:rPr>
  </w:style>
  <w:style w:type="character" w:customStyle="1" w:styleId="382">
    <w:name w:val="正文文本缩进 3 字符1"/>
    <w:autoRedefine/>
    <w:qFormat/>
    <w:uiPriority w:val="0"/>
    <w:rPr>
      <w:sz w:val="24"/>
      <w:szCs w:val="24"/>
    </w:rPr>
  </w:style>
  <w:style w:type="character" w:customStyle="1" w:styleId="383">
    <w:name w:val="fontstyle31"/>
    <w:autoRedefine/>
    <w:qFormat/>
    <w:uiPriority w:val="0"/>
    <w:rPr>
      <w:rFonts w:hint="default" w:ascii="TimesNewRomanPSMT" w:hAnsi="TimesNewRomanPSMT"/>
      <w:color w:val="000000"/>
      <w:sz w:val="22"/>
      <w:szCs w:val="22"/>
    </w:rPr>
  </w:style>
  <w:style w:type="character" w:customStyle="1" w:styleId="384">
    <w:name w:val="表格文字2 Char Char Char"/>
    <w:autoRedefine/>
    <w:qFormat/>
    <w:uiPriority w:val="0"/>
    <w:rPr>
      <w:rFonts w:ascii="宋体" w:hAnsi="宋体" w:cs="宋体"/>
      <w:kern w:val="2"/>
      <w:sz w:val="21"/>
    </w:rPr>
  </w:style>
  <w:style w:type="character" w:customStyle="1" w:styleId="385">
    <w:name w:val="正文文本 2 字符1"/>
    <w:autoRedefine/>
    <w:qFormat/>
    <w:uiPriority w:val="0"/>
    <w:rPr>
      <w:rFonts w:ascii="Times New Roman" w:hAnsi="Times New Roman" w:eastAsia="宋体" w:cs="Times New Roman"/>
      <w:b/>
      <w:color w:val="000000"/>
      <w:sz w:val="28"/>
      <w:szCs w:val="24"/>
    </w:rPr>
  </w:style>
  <w:style w:type="character" w:customStyle="1" w:styleId="386">
    <w:name w:val="正文文本缩进 2 字符1"/>
    <w:autoRedefine/>
    <w:qFormat/>
    <w:uiPriority w:val="0"/>
    <w:rPr>
      <w:rFonts w:ascii="Times New Roman" w:hAnsi="Times New Roman" w:eastAsia="宋体" w:cs="Times New Roman"/>
      <w:sz w:val="24"/>
      <w:szCs w:val="24"/>
    </w:rPr>
  </w:style>
  <w:style w:type="character" w:customStyle="1" w:styleId="387">
    <w:name w:val="文档结构图 字符1"/>
    <w:autoRedefine/>
    <w:semiHidden/>
    <w:qFormat/>
    <w:uiPriority w:val="0"/>
    <w:rPr>
      <w:rFonts w:ascii="Times New Roman" w:hAnsi="Times New Roman" w:eastAsia="宋体" w:cs="Times New Roman"/>
      <w:szCs w:val="24"/>
      <w:shd w:val="clear" w:color="auto" w:fill="000080"/>
    </w:rPr>
  </w:style>
  <w:style w:type="character" w:customStyle="1" w:styleId="388">
    <w:name w:val="+正文 Char Char"/>
    <w:link w:val="389"/>
    <w:autoRedefine/>
    <w:qFormat/>
    <w:locked/>
    <w:uiPriority w:val="0"/>
    <w:rPr>
      <w:kern w:val="2"/>
      <w:sz w:val="24"/>
      <w:szCs w:val="28"/>
    </w:rPr>
  </w:style>
  <w:style w:type="paragraph" w:customStyle="1" w:styleId="389">
    <w:name w:val="+正文 Char"/>
    <w:basedOn w:val="1"/>
    <w:link w:val="388"/>
    <w:autoRedefine/>
    <w:qFormat/>
    <w:uiPriority w:val="0"/>
    <w:pPr>
      <w:spacing w:line="360" w:lineRule="auto"/>
      <w:ind w:firstLine="200" w:firstLineChars="200"/>
    </w:pPr>
    <w:rPr>
      <w:sz w:val="24"/>
      <w:szCs w:val="28"/>
    </w:rPr>
  </w:style>
  <w:style w:type="character" w:customStyle="1" w:styleId="390">
    <w:name w:val="_Style 385"/>
    <w:autoRedefine/>
    <w:unhideWhenUsed/>
    <w:qFormat/>
    <w:uiPriority w:val="99"/>
    <w:rPr>
      <w:color w:val="605E5C"/>
      <w:shd w:val="clear" w:color="auto" w:fill="E1DFDD"/>
    </w:rPr>
  </w:style>
  <w:style w:type="character" w:customStyle="1" w:styleId="391">
    <w:name w:val="style11"/>
    <w:autoRedefine/>
    <w:qFormat/>
    <w:uiPriority w:val="0"/>
    <w:rPr>
      <w:b/>
      <w:color w:val="FF0000"/>
    </w:rPr>
  </w:style>
  <w:style w:type="character" w:customStyle="1" w:styleId="392">
    <w:name w:val="font31"/>
    <w:autoRedefine/>
    <w:qFormat/>
    <w:uiPriority w:val="0"/>
    <w:rPr>
      <w:rFonts w:hint="eastAsia" w:ascii="宋体" w:hAnsi="宋体" w:eastAsia="宋体" w:cs="宋体"/>
      <w:color w:val="000000"/>
      <w:sz w:val="21"/>
      <w:szCs w:val="21"/>
      <w:u w:val="none"/>
      <w:vertAlign w:val="subscript"/>
    </w:rPr>
  </w:style>
  <w:style w:type="character" w:customStyle="1" w:styleId="393">
    <w:name w:val="图表标题题注 字符"/>
    <w:link w:val="394"/>
    <w:autoRedefine/>
    <w:qFormat/>
    <w:uiPriority w:val="0"/>
    <w:rPr>
      <w:b/>
      <w:kern w:val="2"/>
      <w:sz w:val="21"/>
      <w:szCs w:val="28"/>
    </w:rPr>
  </w:style>
  <w:style w:type="paragraph" w:customStyle="1" w:styleId="394">
    <w:name w:val="图表标题题注"/>
    <w:basedOn w:val="117"/>
    <w:link w:val="393"/>
    <w:autoRedefine/>
    <w:qFormat/>
    <w:uiPriority w:val="0"/>
    <w:pPr>
      <w:spacing w:before="50" w:beforeLines="50" w:line="360" w:lineRule="auto"/>
      <w:ind w:firstLine="0" w:firstLineChars="0"/>
      <w:jc w:val="center"/>
      <w:outlineLvl w:val="2"/>
    </w:pPr>
    <w:rPr>
      <w:b/>
      <w:kern w:val="2"/>
      <w:sz w:val="21"/>
    </w:rPr>
  </w:style>
  <w:style w:type="character" w:customStyle="1" w:styleId="395">
    <w:name w:val="副标题 字符"/>
    <w:autoRedefine/>
    <w:qFormat/>
    <w:uiPriority w:val="11"/>
    <w:rPr>
      <w:rFonts w:ascii="等线 Light" w:hAnsi="等线 Light" w:cs="Times New Roman"/>
      <w:b/>
      <w:bCs/>
      <w:kern w:val="28"/>
      <w:sz w:val="32"/>
      <w:szCs w:val="32"/>
    </w:rPr>
  </w:style>
  <w:style w:type="character" w:customStyle="1" w:styleId="396">
    <w:name w:val="明显引用 字符3"/>
    <w:link w:val="397"/>
    <w:autoRedefine/>
    <w:qFormat/>
    <w:uiPriority w:val="30"/>
    <w:rPr>
      <w:rFonts w:ascii="Calibri" w:hAnsi="Calibri"/>
      <w:i/>
      <w:iCs/>
      <w:color w:val="5B9BD5"/>
      <w:sz w:val="22"/>
      <w:szCs w:val="22"/>
    </w:rPr>
  </w:style>
  <w:style w:type="paragraph" w:styleId="397">
    <w:name w:val="Intense Quote"/>
    <w:basedOn w:val="1"/>
    <w:next w:val="1"/>
    <w:link w:val="396"/>
    <w:autoRedefine/>
    <w:qFormat/>
    <w:uiPriority w:val="30"/>
    <w:pPr>
      <w:widowControl/>
      <w:pBdr>
        <w:top w:val="single" w:color="5B9BD5" w:sz="4" w:space="10"/>
        <w:bottom w:val="single" w:color="5B9BD5" w:sz="4" w:space="10"/>
      </w:pBdr>
      <w:spacing w:before="360" w:after="360" w:line="259" w:lineRule="auto"/>
      <w:ind w:left="864" w:right="864"/>
      <w:jc w:val="center"/>
    </w:pPr>
    <w:rPr>
      <w:rFonts w:ascii="Calibri" w:hAnsi="Calibri"/>
      <w:i/>
      <w:iCs/>
      <w:color w:val="5B9BD5"/>
      <w:kern w:val="0"/>
      <w:sz w:val="22"/>
      <w:szCs w:val="22"/>
    </w:rPr>
  </w:style>
  <w:style w:type="character" w:customStyle="1" w:styleId="398">
    <w:name w:val="_Style 393"/>
    <w:autoRedefine/>
    <w:qFormat/>
    <w:uiPriority w:val="19"/>
    <w:rPr>
      <w:i/>
      <w:iCs/>
      <w:color w:val="404040"/>
    </w:rPr>
  </w:style>
  <w:style w:type="character" w:customStyle="1" w:styleId="399">
    <w:name w:val="_Style 394"/>
    <w:autoRedefine/>
    <w:qFormat/>
    <w:uiPriority w:val="21"/>
    <w:rPr>
      <w:i/>
      <w:iCs/>
      <w:color w:val="5B9BD5"/>
    </w:rPr>
  </w:style>
  <w:style w:type="character" w:customStyle="1" w:styleId="400">
    <w:name w:val="_Style 395"/>
    <w:autoRedefine/>
    <w:qFormat/>
    <w:uiPriority w:val="33"/>
    <w:rPr>
      <w:b/>
      <w:bCs/>
      <w:i/>
      <w:iCs/>
      <w:spacing w:val="5"/>
    </w:rPr>
  </w:style>
  <w:style w:type="character" w:customStyle="1" w:styleId="401">
    <w:name w:val="标题 1 字符1"/>
    <w:autoRedefine/>
    <w:qFormat/>
    <w:locked/>
    <w:uiPriority w:val="0"/>
    <w:rPr>
      <w:b/>
      <w:bCs/>
      <w:kern w:val="44"/>
      <w:sz w:val="44"/>
      <w:szCs w:val="44"/>
    </w:rPr>
  </w:style>
  <w:style w:type="character" w:customStyle="1" w:styleId="402">
    <w:name w:val="标题 6 字符1"/>
    <w:autoRedefine/>
    <w:semiHidden/>
    <w:qFormat/>
    <w:locked/>
    <w:uiPriority w:val="9"/>
    <w:rPr>
      <w:rFonts w:ascii="Calibri Light" w:hAnsi="Calibri Light"/>
      <w:color w:val="1F4E79"/>
      <w:sz w:val="22"/>
      <w:szCs w:val="22"/>
    </w:rPr>
  </w:style>
  <w:style w:type="character" w:customStyle="1" w:styleId="403">
    <w:name w:val="标题 7 字符2"/>
    <w:autoRedefine/>
    <w:semiHidden/>
    <w:qFormat/>
    <w:locked/>
    <w:uiPriority w:val="9"/>
    <w:rPr>
      <w:rFonts w:ascii="Calibri Light" w:hAnsi="Calibri Light"/>
      <w:i/>
      <w:iCs/>
      <w:color w:val="1F4E79"/>
      <w:sz w:val="22"/>
      <w:szCs w:val="22"/>
    </w:rPr>
  </w:style>
  <w:style w:type="character" w:customStyle="1" w:styleId="404">
    <w:name w:val="标题 8 字符2"/>
    <w:autoRedefine/>
    <w:qFormat/>
    <w:locked/>
    <w:uiPriority w:val="0"/>
    <w:rPr>
      <w:b/>
      <w:bCs/>
      <w:sz w:val="32"/>
      <w:szCs w:val="24"/>
      <w:lang w:val="en-GB" w:eastAsia="es-ES"/>
    </w:rPr>
  </w:style>
  <w:style w:type="character" w:customStyle="1" w:styleId="405">
    <w:name w:val="标题 9 字符2"/>
    <w:autoRedefine/>
    <w:semiHidden/>
    <w:qFormat/>
    <w:locked/>
    <w:uiPriority w:val="9"/>
    <w:rPr>
      <w:rFonts w:ascii="Calibri Light" w:hAnsi="Calibri Light"/>
      <w:i/>
      <w:iCs/>
      <w:color w:val="262626"/>
      <w:sz w:val="21"/>
      <w:szCs w:val="21"/>
    </w:rPr>
  </w:style>
  <w:style w:type="character" w:customStyle="1" w:styleId="406">
    <w:name w:val="日期 字符2"/>
    <w:autoRedefine/>
    <w:qFormat/>
    <w:locked/>
    <w:uiPriority w:val="0"/>
    <w:rPr>
      <w:rFonts w:ascii="宋体" w:hAnsi="宋体"/>
      <w:b/>
      <w:bCs/>
      <w:kern w:val="2"/>
      <w:sz w:val="28"/>
      <w:szCs w:val="24"/>
    </w:rPr>
  </w:style>
  <w:style w:type="character" w:customStyle="1" w:styleId="407">
    <w:name w:val="批注主题 字符2"/>
    <w:autoRedefine/>
    <w:qFormat/>
    <w:locked/>
    <w:uiPriority w:val="0"/>
    <w:rPr>
      <w:b/>
      <w:bCs/>
      <w:kern w:val="2"/>
      <w:sz w:val="21"/>
      <w:szCs w:val="24"/>
    </w:rPr>
  </w:style>
  <w:style w:type="character" w:customStyle="1" w:styleId="408">
    <w:name w:val="信息标题 字符2"/>
    <w:autoRedefine/>
    <w:qFormat/>
    <w:locked/>
    <w:uiPriority w:val="0"/>
    <w:rPr>
      <w:rFonts w:ascii="Arial" w:hAnsi="Arial" w:cs="Arial"/>
      <w:kern w:val="2"/>
      <w:sz w:val="24"/>
      <w:szCs w:val="24"/>
      <w:shd w:val="pct20" w:color="auto" w:fill="auto"/>
    </w:rPr>
  </w:style>
  <w:style w:type="character" w:customStyle="1" w:styleId="409">
    <w:name w:val="引用 字符2"/>
    <w:autoRedefine/>
    <w:qFormat/>
    <w:locked/>
    <w:uiPriority w:val="0"/>
    <w:rPr>
      <w:rFonts w:ascii="Cambria" w:hAnsi="Cambria"/>
      <w:i/>
      <w:iCs/>
      <w:color w:val="5A5A5A"/>
      <w:kern w:val="2"/>
      <w:sz w:val="21"/>
      <w:szCs w:val="21"/>
    </w:rPr>
  </w:style>
  <w:style w:type="character" w:customStyle="1" w:styleId="410">
    <w:name w:val="纯文本 字符2"/>
    <w:autoRedefine/>
    <w:qFormat/>
    <w:locked/>
    <w:uiPriority w:val="0"/>
    <w:rPr>
      <w:rFonts w:hint="eastAsia" w:ascii="宋体" w:hAnsi="Courier New" w:eastAsia="宋体"/>
      <w:kern w:val="2"/>
      <w:sz w:val="21"/>
    </w:rPr>
  </w:style>
  <w:style w:type="character" w:customStyle="1" w:styleId="411">
    <w:name w:val="副标题 字符1"/>
    <w:autoRedefine/>
    <w:qFormat/>
    <w:uiPriority w:val="11"/>
    <w:rPr>
      <w:rFonts w:ascii="等线 Light" w:hAnsi="等线 Light" w:cs="Times New Roman"/>
      <w:b/>
      <w:bCs/>
      <w:kern w:val="28"/>
      <w:sz w:val="32"/>
      <w:szCs w:val="32"/>
    </w:rPr>
  </w:style>
  <w:style w:type="character" w:customStyle="1" w:styleId="412">
    <w:name w:val="正文首行缩进 Char2"/>
    <w:autoRedefine/>
    <w:qFormat/>
    <w:uiPriority w:val="0"/>
    <w:rPr>
      <w:kern w:val="2"/>
      <w:sz w:val="21"/>
      <w:szCs w:val="24"/>
    </w:rPr>
  </w:style>
  <w:style w:type="character" w:customStyle="1" w:styleId="413">
    <w:name w:val="MSG_EN_FONT_STYLE_NAME_TEMPLATE_ROLE_NUMBER MSG_EN_FONT_STYLE_NAME_BY_ROLE_TEXT 49_"/>
    <w:link w:val="414"/>
    <w:autoRedefine/>
    <w:qFormat/>
    <w:locked/>
    <w:uiPriority w:val="99"/>
    <w:rPr>
      <w:sz w:val="11"/>
      <w:szCs w:val="11"/>
      <w:shd w:val="clear" w:color="auto" w:fill="FFFFFF"/>
    </w:rPr>
  </w:style>
  <w:style w:type="paragraph" w:customStyle="1" w:styleId="414">
    <w:name w:val="MSG_EN_FONT_STYLE_NAME_TEMPLATE_ROLE_NUMBER MSG_EN_FONT_STYLE_NAME_BY_ROLE_TEXT 49"/>
    <w:basedOn w:val="1"/>
    <w:link w:val="413"/>
    <w:autoRedefine/>
    <w:qFormat/>
    <w:uiPriority w:val="99"/>
    <w:pPr>
      <w:shd w:val="clear" w:color="auto" w:fill="FFFFFF"/>
      <w:spacing w:line="240" w:lineRule="atLeast"/>
      <w:jc w:val="center"/>
    </w:pPr>
    <w:rPr>
      <w:kern w:val="0"/>
      <w:sz w:val="11"/>
      <w:szCs w:val="11"/>
    </w:rPr>
  </w:style>
  <w:style w:type="character" w:customStyle="1" w:styleId="415">
    <w:name w:val="font51"/>
    <w:autoRedefine/>
    <w:qFormat/>
    <w:uiPriority w:val="0"/>
    <w:rPr>
      <w:rFonts w:hint="eastAsia" w:ascii="宋体" w:hAnsi="宋体" w:eastAsia="宋体" w:cs="宋体"/>
      <w:b/>
      <w:bCs/>
      <w:color w:val="000000"/>
      <w:sz w:val="21"/>
      <w:szCs w:val="21"/>
      <w:u w:val="none"/>
    </w:rPr>
  </w:style>
  <w:style w:type="paragraph" w:customStyle="1" w:styleId="416">
    <w:name w:val="样式17"/>
    <w:basedOn w:val="1"/>
    <w:autoRedefine/>
    <w:qFormat/>
    <w:uiPriority w:val="99"/>
    <w:pPr>
      <w:spacing w:line="360" w:lineRule="auto"/>
      <w:ind w:firstLine="480" w:firstLineChars="200"/>
    </w:pPr>
    <w:rPr>
      <w:rFonts w:ascii="Arial" w:hAnsi="Arial" w:cs="Arial"/>
      <w:sz w:val="24"/>
    </w:rPr>
  </w:style>
  <w:style w:type="paragraph" w:customStyle="1" w:styleId="417">
    <w:name w:val="Char Char2"/>
    <w:basedOn w:val="1"/>
    <w:autoRedefine/>
    <w:semiHidden/>
    <w:qFormat/>
    <w:uiPriority w:val="0"/>
    <w:pPr>
      <w:tabs>
        <w:tab w:val="left" w:pos="426"/>
      </w:tabs>
      <w:ind w:left="426" w:hanging="420"/>
    </w:pPr>
    <w:rPr>
      <w:sz w:val="24"/>
    </w:rPr>
  </w:style>
  <w:style w:type="paragraph" w:customStyle="1" w:styleId="418">
    <w:name w:val="Char Char Char Char Char Char Char1 Char Char Char Char Char Char Char"/>
    <w:basedOn w:val="1"/>
    <w:autoRedefine/>
    <w:qFormat/>
    <w:uiPriority w:val="0"/>
    <w:pPr>
      <w:tabs>
        <w:tab w:val="left" w:pos="432"/>
      </w:tabs>
      <w:ind w:left="432" w:hanging="432"/>
    </w:pPr>
    <w:rPr>
      <w:rFonts w:ascii="Tahoma" w:hAnsi="Tahoma"/>
      <w:sz w:val="24"/>
      <w:szCs w:val="20"/>
    </w:rPr>
  </w:style>
  <w:style w:type="paragraph" w:customStyle="1" w:styleId="419">
    <w:name w:val="Char Char Char Char Char Char Char Char Char Char Char Char Char Char"/>
    <w:basedOn w:val="1"/>
    <w:autoRedefine/>
    <w:qFormat/>
    <w:uiPriority w:val="0"/>
  </w:style>
  <w:style w:type="paragraph" w:customStyle="1" w:styleId="420">
    <w:name w:val="标题4 非连续"/>
    <w:basedOn w:val="1"/>
    <w:autoRedefine/>
    <w:qFormat/>
    <w:uiPriority w:val="0"/>
    <w:pPr>
      <w:keepNext/>
      <w:keepLines/>
      <w:spacing w:before="40" w:line="440" w:lineRule="exact"/>
      <w:ind w:left="851" w:hanging="851"/>
      <w:outlineLvl w:val="3"/>
    </w:pPr>
    <w:rPr>
      <w:rFonts w:ascii="Arial" w:hAnsi="Arial"/>
      <w:bCs/>
      <w:kern w:val="0"/>
      <w:sz w:val="24"/>
      <w:szCs w:val="28"/>
    </w:rPr>
  </w:style>
  <w:style w:type="paragraph" w:customStyle="1" w:styleId="421">
    <w:name w:val="xl25"/>
    <w:basedOn w:val="1"/>
    <w:autoRedefine/>
    <w:qFormat/>
    <w:uiPriority w:val="0"/>
    <w:pPr>
      <w:widowControl/>
      <w:pBdr>
        <w:left w:val="single" w:color="auto" w:sz="8" w:space="0"/>
        <w:right w:val="single" w:color="auto" w:sz="8" w:space="0"/>
      </w:pBdr>
      <w:spacing w:before="100" w:beforeAutospacing="1" w:after="100" w:afterAutospacing="1"/>
      <w:jc w:val="center"/>
    </w:pPr>
    <w:rPr>
      <w:rFonts w:ascii="宋体" w:hAnsi="宋体"/>
      <w:kern w:val="0"/>
      <w:sz w:val="24"/>
      <w:szCs w:val="20"/>
    </w:rPr>
  </w:style>
  <w:style w:type="paragraph" w:customStyle="1" w:styleId="422">
    <w:name w:val="水印"/>
    <w:basedOn w:val="1"/>
    <w:autoRedefine/>
    <w:qFormat/>
    <w:uiPriority w:val="0"/>
    <w:pPr>
      <w:adjustRightInd w:val="0"/>
      <w:spacing w:line="240" w:lineRule="atLeast"/>
    </w:pPr>
    <w:rPr>
      <w:kern w:val="0"/>
      <w:sz w:val="32"/>
      <w:szCs w:val="20"/>
    </w:rPr>
  </w:style>
  <w:style w:type="paragraph" w:customStyle="1" w:styleId="423">
    <w:name w:val="列出段落1"/>
    <w:basedOn w:val="1"/>
    <w:autoRedefine/>
    <w:qFormat/>
    <w:uiPriority w:val="34"/>
    <w:pPr>
      <w:ind w:firstLine="420" w:firstLineChars="200"/>
    </w:pPr>
    <w:rPr>
      <w:rFonts w:ascii="Calibri" w:hAnsi="Calibri"/>
      <w:szCs w:val="22"/>
    </w:rPr>
  </w:style>
  <w:style w:type="paragraph" w:customStyle="1" w:styleId="424">
    <w:name w:val="Char Char Char Char Char Char Char Char Char Char"/>
    <w:basedOn w:val="1"/>
    <w:autoRedefine/>
    <w:qFormat/>
    <w:uiPriority w:val="0"/>
    <w:pPr>
      <w:spacing w:line="360" w:lineRule="auto"/>
      <w:ind w:firstLine="200" w:firstLineChars="200"/>
    </w:pPr>
    <w:rPr>
      <w:rFonts w:ascii="宋体" w:hAnsi="宋体" w:cs="宋体"/>
      <w:sz w:val="24"/>
    </w:rPr>
  </w:style>
  <w:style w:type="paragraph" w:customStyle="1" w:styleId="425">
    <w:name w:val="样式 样式 正文样式 首行缩进:  1 字符 + 首行缩进:  1 字符 + 首行缩进:  1 字符"/>
    <w:basedOn w:val="1"/>
    <w:autoRedefine/>
    <w:qFormat/>
    <w:uiPriority w:val="0"/>
    <w:pPr>
      <w:widowControl/>
      <w:adjustRightInd w:val="0"/>
      <w:snapToGrid w:val="0"/>
      <w:spacing w:line="360" w:lineRule="auto"/>
      <w:ind w:firstLine="240" w:firstLineChars="100"/>
      <w:jc w:val="left"/>
    </w:pPr>
    <w:rPr>
      <w:rFonts w:cs="宋体"/>
      <w:kern w:val="0"/>
      <w:sz w:val="24"/>
      <w:szCs w:val="20"/>
      <w:lang w:eastAsia="en-US" w:bidi="en-US"/>
    </w:rPr>
  </w:style>
  <w:style w:type="paragraph" w:customStyle="1" w:styleId="426">
    <w:name w:val="小区名"/>
    <w:basedOn w:val="1"/>
    <w:autoRedefine/>
    <w:qFormat/>
    <w:uiPriority w:val="0"/>
    <w:pPr>
      <w:spacing w:line="360" w:lineRule="auto"/>
      <w:ind w:firstLine="555"/>
    </w:pPr>
    <w:rPr>
      <w:b/>
      <w:sz w:val="24"/>
      <w:szCs w:val="20"/>
    </w:rPr>
  </w:style>
  <w:style w:type="paragraph" w:customStyle="1" w:styleId="427">
    <w:name w:val="p19"/>
    <w:basedOn w:val="1"/>
    <w:autoRedefine/>
    <w:qFormat/>
    <w:uiPriority w:val="99"/>
    <w:pPr>
      <w:widowControl/>
      <w:spacing w:before="60" w:line="460" w:lineRule="atLeast"/>
    </w:pPr>
    <w:rPr>
      <w:b/>
      <w:bCs/>
      <w:kern w:val="0"/>
      <w:sz w:val="28"/>
      <w:szCs w:val="28"/>
    </w:rPr>
  </w:style>
  <w:style w:type="paragraph" w:customStyle="1" w:styleId="428">
    <w:name w:val="密级编号"/>
    <w:basedOn w:val="1"/>
    <w:autoRedefine/>
    <w:qFormat/>
    <w:uiPriority w:val="0"/>
    <w:pPr>
      <w:adjustRightInd w:val="0"/>
      <w:jc w:val="center"/>
      <w:textAlignment w:val="baseline"/>
    </w:pPr>
    <w:rPr>
      <w:rFonts w:ascii="仿宋_GB2312" w:eastAsia="仿宋_GB2312"/>
      <w:kern w:val="0"/>
      <w:sz w:val="24"/>
      <w:szCs w:val="20"/>
    </w:rPr>
  </w:style>
  <w:style w:type="paragraph" w:customStyle="1" w:styleId="429">
    <w:name w:val="首行缩进"/>
    <w:basedOn w:val="1"/>
    <w:autoRedefine/>
    <w:qFormat/>
    <w:uiPriority w:val="0"/>
    <w:pPr>
      <w:tabs>
        <w:tab w:val="left" w:pos="5538"/>
      </w:tabs>
      <w:adjustRightInd w:val="0"/>
      <w:snapToGrid w:val="0"/>
      <w:spacing w:line="540" w:lineRule="exact"/>
      <w:ind w:firstLine="520" w:firstLineChars="200"/>
    </w:pPr>
    <w:rPr>
      <w:color w:val="000000"/>
      <w:spacing w:val="10"/>
      <w:sz w:val="24"/>
    </w:rPr>
  </w:style>
  <w:style w:type="paragraph" w:customStyle="1" w:styleId="430">
    <w:name w:val="Char Char Char Char Char Char Char Char Char Char Char Char Char Char Char Char Char Char Char Char Char Char Char Char Char Char Char Char Char Char Char Char Char Char1"/>
    <w:basedOn w:val="1"/>
    <w:autoRedefine/>
    <w:qFormat/>
    <w:uiPriority w:val="0"/>
    <w:pPr>
      <w:spacing w:line="360" w:lineRule="auto"/>
      <w:ind w:firstLine="200" w:firstLineChars="200"/>
    </w:pPr>
    <w:rPr>
      <w:rFonts w:ascii="宋体" w:hAnsi="宋体" w:cs="宋体"/>
      <w:sz w:val="24"/>
    </w:rPr>
  </w:style>
  <w:style w:type="paragraph" w:customStyle="1" w:styleId="431">
    <w:name w:val="Char Char Char Char Char Char1 Char1"/>
    <w:basedOn w:val="1"/>
    <w:autoRedefine/>
    <w:qFormat/>
    <w:uiPriority w:val="0"/>
    <w:pPr>
      <w:widowControl/>
      <w:spacing w:after="160" w:line="240" w:lineRule="exact"/>
      <w:jc w:val="left"/>
    </w:pPr>
    <w:rPr>
      <w:rFonts w:ascii="Arial" w:hAnsi="Arial" w:eastAsia="Times New Roman" w:cs="Verdana"/>
      <w:b/>
      <w:kern w:val="0"/>
      <w:sz w:val="24"/>
      <w:lang w:eastAsia="en-US"/>
    </w:rPr>
  </w:style>
  <w:style w:type="paragraph" w:customStyle="1" w:styleId="432">
    <w:name w:val="正文缩近"/>
    <w:basedOn w:val="1"/>
    <w:autoRedefine/>
    <w:qFormat/>
    <w:uiPriority w:val="99"/>
    <w:pPr>
      <w:spacing w:line="360" w:lineRule="auto"/>
      <w:ind w:firstLine="560" w:firstLineChars="200"/>
    </w:pPr>
    <w:rPr>
      <w:sz w:val="28"/>
      <w:szCs w:val="28"/>
    </w:rPr>
  </w:style>
  <w:style w:type="paragraph" w:customStyle="1" w:styleId="433">
    <w:name w:val="表格标题 Char"/>
    <w:basedOn w:val="1"/>
    <w:autoRedefine/>
    <w:qFormat/>
    <w:uiPriority w:val="0"/>
    <w:pPr>
      <w:spacing w:before="60" w:line="420" w:lineRule="exact"/>
      <w:jc w:val="center"/>
    </w:pPr>
    <w:rPr>
      <w:sz w:val="24"/>
    </w:rPr>
  </w:style>
  <w:style w:type="paragraph" w:customStyle="1" w:styleId="434">
    <w:name w:val="_Style 5"/>
    <w:basedOn w:val="1"/>
    <w:autoRedefine/>
    <w:qFormat/>
    <w:uiPriority w:val="0"/>
    <w:pPr>
      <w:spacing w:line="360" w:lineRule="auto"/>
      <w:ind w:firstLine="200" w:firstLineChars="200"/>
    </w:pPr>
    <w:rPr>
      <w:sz w:val="24"/>
      <w:szCs w:val="20"/>
    </w:rPr>
  </w:style>
  <w:style w:type="paragraph" w:customStyle="1" w:styleId="435">
    <w:name w:val="样式 样式 正文首行缩进 + 首行缩进:  2 字符 + 首行缩进:  2 字符"/>
    <w:basedOn w:val="1"/>
    <w:autoRedefine/>
    <w:qFormat/>
    <w:uiPriority w:val="0"/>
    <w:pPr>
      <w:topLinePunct/>
      <w:adjustRightInd w:val="0"/>
      <w:snapToGrid w:val="0"/>
      <w:spacing w:line="360" w:lineRule="auto"/>
      <w:ind w:firstLine="480"/>
      <w:textAlignment w:val="baseline"/>
    </w:pPr>
    <w:rPr>
      <w:rFonts w:hAnsi="宋体" w:eastAsia="Times New Roman"/>
      <w:kern w:val="0"/>
      <w:sz w:val="24"/>
      <w:szCs w:val="20"/>
    </w:rPr>
  </w:style>
  <w:style w:type="paragraph" w:customStyle="1" w:styleId="436">
    <w:name w:val="正文 y"/>
    <w:autoRedefine/>
    <w:qFormat/>
    <w:uiPriority w:val="0"/>
    <w:pPr>
      <w:spacing w:line="480" w:lineRule="exact"/>
      <w:ind w:firstLine="200" w:firstLineChars="200"/>
    </w:pPr>
    <w:rPr>
      <w:rFonts w:ascii="Times New Roman" w:hAnsi="Times New Roman" w:eastAsia="宋体" w:cs="Times New Roman"/>
      <w:kern w:val="2"/>
      <w:sz w:val="24"/>
      <w:szCs w:val="24"/>
      <w:lang w:val="en-US" w:eastAsia="zh-CN" w:bidi="ar-SA"/>
    </w:rPr>
  </w:style>
  <w:style w:type="paragraph" w:customStyle="1" w:styleId="437">
    <w:name w:val="正文新 Char"/>
    <w:basedOn w:val="1"/>
    <w:autoRedefine/>
    <w:qFormat/>
    <w:uiPriority w:val="0"/>
    <w:pPr>
      <w:spacing w:line="360" w:lineRule="auto"/>
      <w:ind w:firstLine="480" w:firstLineChars="200"/>
    </w:pPr>
    <w:rPr>
      <w:sz w:val="24"/>
      <w:szCs w:val="20"/>
    </w:rPr>
  </w:style>
  <w:style w:type="paragraph" w:customStyle="1" w:styleId="438">
    <w:name w:val="本文正文"/>
    <w:basedOn w:val="1"/>
    <w:autoRedefine/>
    <w:qFormat/>
    <w:uiPriority w:val="99"/>
    <w:pPr>
      <w:spacing w:line="360" w:lineRule="auto"/>
      <w:ind w:firstLine="480" w:firstLineChars="200"/>
    </w:pPr>
    <w:rPr>
      <w:sz w:val="24"/>
      <w:szCs w:val="20"/>
    </w:rPr>
  </w:style>
  <w:style w:type="paragraph" w:customStyle="1" w:styleId="439">
    <w:name w:val="无间隔2"/>
    <w:autoRedefine/>
    <w:qFormat/>
    <w:uiPriority w:val="99"/>
    <w:pPr>
      <w:widowControl w:val="0"/>
      <w:jc w:val="both"/>
    </w:pPr>
    <w:rPr>
      <w:rFonts w:ascii="Times New Roman" w:hAnsi="Times New Roman" w:eastAsia="宋体" w:cs="Times New Roman"/>
      <w:kern w:val="2"/>
      <w:sz w:val="21"/>
      <w:lang w:val="en-US" w:eastAsia="zh-CN" w:bidi="ar-SA"/>
    </w:rPr>
  </w:style>
  <w:style w:type="paragraph" w:customStyle="1" w:styleId="440">
    <w:name w:val="xl6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kern w:val="0"/>
      <w:sz w:val="24"/>
    </w:rPr>
  </w:style>
  <w:style w:type="paragraph" w:customStyle="1" w:styleId="441">
    <w:name w:val="Char Char Char Char Char Char"/>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442">
    <w:name w:val="xl65"/>
    <w:basedOn w:val="1"/>
    <w:autoRedefine/>
    <w:qFormat/>
    <w:uiPriority w:val="0"/>
    <w:pPr>
      <w:widowControl/>
      <w:spacing w:before="100" w:beforeAutospacing="1" w:after="100" w:afterAutospacing="1"/>
      <w:jc w:val="center"/>
      <w:textAlignment w:val="center"/>
    </w:pPr>
    <w:rPr>
      <w:kern w:val="0"/>
      <w:sz w:val="24"/>
    </w:rPr>
  </w:style>
  <w:style w:type="paragraph" w:customStyle="1" w:styleId="443">
    <w:name w:val="正文6"/>
    <w:autoRedefine/>
    <w:qFormat/>
    <w:uiPriority w:val="0"/>
    <w:pPr>
      <w:jc w:val="both"/>
    </w:pPr>
    <w:rPr>
      <w:rFonts w:ascii="Times New Roman" w:hAnsi="Times New Roman" w:eastAsia="宋体" w:cs="Times New Roman"/>
      <w:kern w:val="2"/>
      <w:sz w:val="21"/>
      <w:szCs w:val="21"/>
      <w:lang w:val="en-US" w:eastAsia="zh-CN" w:bidi="ar-SA"/>
    </w:rPr>
  </w:style>
  <w:style w:type="paragraph" w:customStyle="1" w:styleId="444">
    <w:name w:val="简单回函地址"/>
    <w:basedOn w:val="1"/>
    <w:autoRedefine/>
    <w:qFormat/>
    <w:uiPriority w:val="0"/>
    <w:rPr>
      <w:kern w:val="0"/>
      <w:sz w:val="24"/>
      <w:szCs w:val="20"/>
    </w:rPr>
  </w:style>
  <w:style w:type="paragraph" w:customStyle="1" w:styleId="445">
    <w:name w:val="1234"/>
    <w:basedOn w:val="4"/>
    <w:autoRedefine/>
    <w:qFormat/>
    <w:uiPriority w:val="0"/>
    <w:pPr>
      <w:keepLines/>
      <w:spacing w:line="360" w:lineRule="auto"/>
      <w:jc w:val="both"/>
    </w:pPr>
    <w:rPr>
      <w:rFonts w:eastAsia="仿宋_GB2312"/>
      <w:kern w:val="0"/>
      <w:sz w:val="28"/>
      <w:szCs w:val="28"/>
    </w:rPr>
  </w:style>
  <w:style w:type="paragraph" w:customStyle="1" w:styleId="446">
    <w:name w:val="段落 Char Char Char"/>
    <w:basedOn w:val="1"/>
    <w:autoRedefine/>
    <w:qFormat/>
    <w:uiPriority w:val="0"/>
    <w:pPr>
      <w:topLinePunct/>
      <w:snapToGrid w:val="0"/>
      <w:spacing w:line="360" w:lineRule="auto"/>
      <w:ind w:firstLine="200" w:firstLineChars="200"/>
    </w:pPr>
    <w:rPr>
      <w:sz w:val="24"/>
    </w:rPr>
  </w:style>
  <w:style w:type="paragraph" w:customStyle="1" w:styleId="447">
    <w:name w:val="Char1 Char Char Char"/>
    <w:basedOn w:val="1"/>
    <w:autoRedefine/>
    <w:qFormat/>
    <w:uiPriority w:val="0"/>
  </w:style>
  <w:style w:type="paragraph" w:customStyle="1" w:styleId="448">
    <w:name w:val="Char1"/>
    <w:basedOn w:val="1"/>
    <w:autoRedefine/>
    <w:qFormat/>
    <w:uiPriority w:val="0"/>
    <w:pPr>
      <w:spacing w:line="360" w:lineRule="auto"/>
      <w:ind w:firstLine="200" w:firstLineChars="200"/>
    </w:pPr>
    <w:rPr>
      <w:rFonts w:ascii="宋体" w:hAnsi="宋体" w:cs="宋体"/>
      <w:sz w:val="24"/>
    </w:rPr>
  </w:style>
  <w:style w:type="paragraph" w:customStyle="1" w:styleId="449">
    <w:name w:val="纯文本2"/>
    <w:basedOn w:val="1"/>
    <w:autoRedefine/>
    <w:qFormat/>
    <w:uiPriority w:val="0"/>
    <w:pPr>
      <w:adjustRightInd w:val="0"/>
      <w:textAlignment w:val="baseline"/>
    </w:pPr>
    <w:rPr>
      <w:rFonts w:ascii="宋体" w:hAnsi="Courier New"/>
      <w:szCs w:val="20"/>
    </w:rPr>
  </w:style>
  <w:style w:type="paragraph" w:customStyle="1" w:styleId="450">
    <w:name w:val="常用封面文本名称"/>
    <w:basedOn w:val="1"/>
    <w:next w:val="344"/>
    <w:autoRedefine/>
    <w:qFormat/>
    <w:uiPriority w:val="99"/>
    <w:pPr>
      <w:spacing w:before="240" w:beforeLines="100" w:after="240" w:afterLines="100" w:line="360" w:lineRule="auto"/>
      <w:jc w:val="center"/>
    </w:pPr>
    <w:rPr>
      <w:rFonts w:ascii="华文新魏" w:hAnsi="华文新魏" w:eastAsia="华文新魏" w:cs="华文新魏"/>
      <w:b/>
      <w:sz w:val="52"/>
      <w:szCs w:val="52"/>
    </w:rPr>
  </w:style>
  <w:style w:type="paragraph" w:customStyle="1" w:styleId="451">
    <w:name w:val="样式 小四 首行缩进:  24 磅 行距: 多倍行距 1.25 字行"/>
    <w:basedOn w:val="1"/>
    <w:autoRedefine/>
    <w:qFormat/>
    <w:uiPriority w:val="0"/>
    <w:pPr>
      <w:adjustRightInd w:val="0"/>
      <w:spacing w:line="440" w:lineRule="exact"/>
      <w:ind w:firstLine="480"/>
    </w:pPr>
    <w:rPr>
      <w:kern w:val="0"/>
      <w:sz w:val="24"/>
      <w:szCs w:val="20"/>
    </w:rPr>
  </w:style>
  <w:style w:type="paragraph" w:customStyle="1" w:styleId="452">
    <w:name w:val="样式 样式 正文1 + 段前: 0.1 行 + 段前: 0.1 行"/>
    <w:basedOn w:val="1"/>
    <w:autoRedefine/>
    <w:qFormat/>
    <w:uiPriority w:val="0"/>
    <w:pPr>
      <w:snapToGrid w:val="0"/>
      <w:spacing w:before="24" w:beforeLines="10" w:line="440" w:lineRule="atLeast"/>
      <w:ind w:firstLine="567"/>
    </w:pPr>
    <w:rPr>
      <w:rFonts w:cs="宋体"/>
      <w:sz w:val="24"/>
      <w:szCs w:val="20"/>
    </w:rPr>
  </w:style>
  <w:style w:type="paragraph" w:customStyle="1" w:styleId="453">
    <w:name w:val="Char Char Char1 Char Char Char Char"/>
    <w:basedOn w:val="1"/>
    <w:autoRedefine/>
    <w:qFormat/>
    <w:uiPriority w:val="0"/>
    <w:pPr>
      <w:tabs>
        <w:tab w:val="left" w:pos="794"/>
        <w:tab w:val="left" w:pos="1191"/>
        <w:tab w:val="left" w:pos="1588"/>
        <w:tab w:val="left" w:pos="1985"/>
      </w:tabs>
      <w:autoSpaceDE w:val="0"/>
      <w:autoSpaceDN w:val="0"/>
      <w:adjustRightInd w:val="0"/>
      <w:spacing w:before="136"/>
    </w:pPr>
    <w:rPr>
      <w:rFonts w:ascii="Tahoma" w:hAnsi="Tahoma"/>
      <w:sz w:val="24"/>
      <w:lang w:val="en-GB"/>
    </w:rPr>
  </w:style>
  <w:style w:type="paragraph" w:customStyle="1" w:styleId="454">
    <w:name w:val="p20"/>
    <w:basedOn w:val="1"/>
    <w:autoRedefine/>
    <w:qFormat/>
    <w:uiPriority w:val="99"/>
    <w:pPr>
      <w:widowControl/>
      <w:snapToGrid w:val="0"/>
      <w:spacing w:line="440" w:lineRule="atLeast"/>
      <w:ind w:firstLine="567"/>
    </w:pPr>
    <w:rPr>
      <w:kern w:val="0"/>
      <w:sz w:val="24"/>
    </w:rPr>
  </w:style>
  <w:style w:type="paragraph" w:customStyle="1" w:styleId="455">
    <w:name w:val="Char Char Char Char Char Char3 Char Char Char Char Char Char Char"/>
    <w:basedOn w:val="1"/>
    <w:next w:val="1"/>
    <w:autoRedefine/>
    <w:qFormat/>
    <w:uiPriority w:val="0"/>
    <w:rPr>
      <w:rFonts w:eastAsia="黑体"/>
      <w:sz w:val="28"/>
    </w:rPr>
  </w:style>
  <w:style w:type="paragraph" w:customStyle="1" w:styleId="456">
    <w:name w:val="p17"/>
    <w:basedOn w:val="1"/>
    <w:autoRedefine/>
    <w:qFormat/>
    <w:uiPriority w:val="99"/>
    <w:pPr>
      <w:widowControl/>
      <w:spacing w:after="120" w:line="480" w:lineRule="auto"/>
      <w:ind w:left="420"/>
    </w:pPr>
    <w:rPr>
      <w:kern w:val="0"/>
    </w:rPr>
  </w:style>
  <w:style w:type="paragraph" w:customStyle="1" w:styleId="457">
    <w:name w:val="样式 居中"/>
    <w:basedOn w:val="1"/>
    <w:autoRedefine/>
    <w:qFormat/>
    <w:uiPriority w:val="0"/>
    <w:pPr>
      <w:widowControl/>
      <w:jc w:val="center"/>
    </w:pPr>
    <w:rPr>
      <w:rFonts w:cs="宋体"/>
      <w:kern w:val="0"/>
      <w:sz w:val="24"/>
      <w:szCs w:val="20"/>
      <w:lang w:eastAsia="en-US" w:bidi="en-US"/>
    </w:rPr>
  </w:style>
  <w:style w:type="paragraph" w:customStyle="1" w:styleId="458">
    <w:name w:val="正文（首行缩进）"/>
    <w:basedOn w:val="23"/>
    <w:autoRedefine/>
    <w:qFormat/>
    <w:uiPriority w:val="0"/>
    <w:pPr>
      <w:widowControl w:val="0"/>
      <w:snapToGrid/>
      <w:spacing w:line="300" w:lineRule="auto"/>
      <w:ind w:firstLine="200" w:firstLineChars="200"/>
    </w:pPr>
    <w:rPr>
      <w:sz w:val="21"/>
      <w:szCs w:val="24"/>
    </w:rPr>
  </w:style>
  <w:style w:type="paragraph" w:customStyle="1" w:styleId="459">
    <w:name w:val="Char Char Char Char Char Char Char Char Char Char Char Char1 Char Char Char Char Char Char Char Char Char Char Char Char Char Char Char Char Char Char Char"/>
    <w:basedOn w:val="1"/>
    <w:autoRedefine/>
    <w:qFormat/>
    <w:uiPriority w:val="0"/>
    <w:pPr>
      <w:widowControl/>
      <w:spacing w:line="360" w:lineRule="auto"/>
      <w:ind w:firstLine="200" w:firstLineChars="200"/>
      <w:jc w:val="left"/>
    </w:pPr>
    <w:rPr>
      <w:rFonts w:ascii="宋体" w:hAnsi="宋体" w:cs="宋体"/>
      <w:sz w:val="24"/>
      <w:szCs w:val="20"/>
    </w:rPr>
  </w:style>
  <w:style w:type="paragraph" w:customStyle="1" w:styleId="460">
    <w:name w:val="日期1"/>
    <w:basedOn w:val="1"/>
    <w:next w:val="1"/>
    <w:autoRedefine/>
    <w:qFormat/>
    <w:uiPriority w:val="0"/>
    <w:rPr>
      <w:rFonts w:ascii="宋体" w:hAnsi="Courier New"/>
      <w:sz w:val="24"/>
      <w:szCs w:val="20"/>
    </w:rPr>
  </w:style>
  <w:style w:type="paragraph" w:customStyle="1" w:styleId="461">
    <w:name w:val="Char Char3 Char Char"/>
    <w:basedOn w:val="1"/>
    <w:autoRedefine/>
    <w:qFormat/>
    <w:uiPriority w:val="0"/>
    <w:rPr>
      <w:sz w:val="24"/>
    </w:rPr>
  </w:style>
  <w:style w:type="paragraph" w:customStyle="1" w:styleId="462">
    <w:name w:val="流程图文字"/>
    <w:basedOn w:val="1"/>
    <w:autoRedefine/>
    <w:qFormat/>
    <w:uiPriority w:val="0"/>
    <w:pPr>
      <w:spacing w:before="100" w:after="40"/>
      <w:jc w:val="center"/>
    </w:pPr>
    <w:rPr>
      <w:szCs w:val="20"/>
    </w:rPr>
  </w:style>
  <w:style w:type="paragraph" w:customStyle="1" w:styleId="463">
    <w:name w:val="msonormal"/>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464">
    <w:name w:val="Char Char Char Char Char Char1 Char"/>
    <w:basedOn w:val="1"/>
    <w:autoRedefine/>
    <w:qFormat/>
    <w:uiPriority w:val="0"/>
    <w:pPr>
      <w:widowControl/>
      <w:spacing w:after="160" w:line="240" w:lineRule="exact"/>
      <w:jc w:val="left"/>
    </w:pPr>
    <w:rPr>
      <w:rFonts w:ascii="Arial" w:hAnsi="Arial" w:eastAsia="Times New Roman" w:cs="Verdana"/>
      <w:b/>
      <w:kern w:val="0"/>
      <w:sz w:val="24"/>
      <w:lang w:eastAsia="en-US"/>
    </w:rPr>
  </w:style>
  <w:style w:type="paragraph" w:customStyle="1" w:styleId="465">
    <w:name w:val="_Style 108"/>
    <w:basedOn w:val="1"/>
    <w:autoRedefine/>
    <w:qFormat/>
    <w:uiPriority w:val="0"/>
    <w:rPr>
      <w:rFonts w:eastAsia="仿宋_GB2312"/>
      <w:kern w:val="0"/>
    </w:rPr>
  </w:style>
  <w:style w:type="paragraph" w:customStyle="1" w:styleId="466">
    <w:name w:val="注"/>
    <w:basedOn w:val="1"/>
    <w:autoRedefine/>
    <w:qFormat/>
    <w:uiPriority w:val="0"/>
    <w:pPr>
      <w:jc w:val="left"/>
    </w:pPr>
    <w:rPr>
      <w:sz w:val="18"/>
    </w:rPr>
  </w:style>
  <w:style w:type="paragraph" w:customStyle="1" w:styleId="467">
    <w:name w:val="Char Char Char Char Char Char1 Char Char Char Char"/>
    <w:basedOn w:val="1"/>
    <w:autoRedefine/>
    <w:qFormat/>
    <w:uiPriority w:val="0"/>
    <w:pPr>
      <w:spacing w:line="360" w:lineRule="auto"/>
      <w:ind w:firstLine="200" w:firstLineChars="200"/>
    </w:pPr>
  </w:style>
  <w:style w:type="paragraph" w:customStyle="1" w:styleId="468">
    <w:name w:val="样式6"/>
    <w:basedOn w:val="1"/>
    <w:autoRedefine/>
    <w:qFormat/>
    <w:uiPriority w:val="0"/>
    <w:pPr>
      <w:spacing w:line="320" w:lineRule="atLeast"/>
      <w:jc w:val="center"/>
    </w:pPr>
    <w:rPr>
      <w:rFonts w:hAnsi="宋体"/>
      <w:kern w:val="0"/>
    </w:rPr>
  </w:style>
  <w:style w:type="paragraph" w:customStyle="1" w:styleId="469">
    <w:name w:val="Char Char Char Char Char Char Char Char Char Char Char Char Char Char Char Char Char Char Char Char Char Char Char Char Char Char Char Char Char Char Char"/>
    <w:basedOn w:val="1"/>
    <w:autoRedefine/>
    <w:qFormat/>
    <w:uiPriority w:val="0"/>
    <w:pPr>
      <w:spacing w:line="360" w:lineRule="auto"/>
      <w:ind w:firstLine="200" w:firstLineChars="200"/>
    </w:pPr>
    <w:rPr>
      <w:rFonts w:ascii="宋体" w:hAnsi="宋体" w:cs="宋体"/>
      <w:sz w:val="24"/>
    </w:rPr>
  </w:style>
  <w:style w:type="paragraph" w:customStyle="1" w:styleId="470">
    <w:name w:val="Char Char Char Char Char Char1 Char Char Char Char11"/>
    <w:basedOn w:val="1"/>
    <w:autoRedefine/>
    <w:qFormat/>
    <w:uiPriority w:val="0"/>
    <w:pPr>
      <w:spacing w:line="360" w:lineRule="auto"/>
      <w:ind w:firstLine="200" w:firstLineChars="200"/>
    </w:pPr>
  </w:style>
  <w:style w:type="paragraph" w:customStyle="1" w:styleId="471">
    <w:name w:val="T表格"/>
    <w:basedOn w:val="1"/>
    <w:next w:val="1"/>
    <w:autoRedefine/>
    <w:qFormat/>
    <w:uiPriority w:val="0"/>
    <w:pPr>
      <w:autoSpaceDE w:val="0"/>
      <w:autoSpaceDN w:val="0"/>
      <w:adjustRightInd w:val="0"/>
      <w:jc w:val="left"/>
    </w:pPr>
    <w:rPr>
      <w:rFonts w:ascii="宋体"/>
      <w:kern w:val="0"/>
      <w:sz w:val="20"/>
    </w:rPr>
  </w:style>
  <w:style w:type="paragraph" w:customStyle="1" w:styleId="472">
    <w:name w:val="正文文本缩进1"/>
    <w:basedOn w:val="1"/>
    <w:autoRedefine/>
    <w:qFormat/>
    <w:uiPriority w:val="0"/>
    <w:pPr>
      <w:ind w:left="-88" w:firstLine="516" w:firstLineChars="199"/>
    </w:pPr>
    <w:rPr>
      <w:sz w:val="24"/>
      <w:szCs w:val="20"/>
    </w:rPr>
  </w:style>
  <w:style w:type="paragraph" w:customStyle="1" w:styleId="473">
    <w:name w:val="xl24"/>
    <w:basedOn w:val="1"/>
    <w:autoRedefine/>
    <w:qFormat/>
    <w:uiPriority w:val="0"/>
    <w:pPr>
      <w:widowControl/>
      <w:pBdr>
        <w:bottom w:val="single" w:color="auto" w:sz="4" w:space="0"/>
        <w:right w:val="single" w:color="auto" w:sz="4" w:space="0"/>
      </w:pBdr>
      <w:spacing w:before="100" w:beforeAutospacing="1" w:after="100" w:afterAutospacing="1"/>
      <w:jc w:val="center"/>
    </w:pPr>
    <w:rPr>
      <w:rFonts w:eastAsia="Arial Unicode MS"/>
      <w:kern w:val="0"/>
    </w:rPr>
  </w:style>
  <w:style w:type="paragraph" w:customStyle="1" w:styleId="474">
    <w:name w:val="图标"/>
    <w:basedOn w:val="1"/>
    <w:autoRedefine/>
    <w:qFormat/>
    <w:uiPriority w:val="0"/>
    <w:pPr>
      <w:spacing w:line="440" w:lineRule="exact"/>
      <w:jc w:val="center"/>
    </w:pPr>
    <w:rPr>
      <w:rFonts w:ascii="黑体" w:eastAsia="黑体"/>
      <w:sz w:val="28"/>
      <w:szCs w:val="20"/>
    </w:rPr>
  </w:style>
  <w:style w:type="paragraph" w:customStyle="1" w:styleId="475">
    <w:name w:val="样式 (中文) 仿宋_GB2312 四号 首行缩进:  0.98 厘米 行距: 固定值 22 磅"/>
    <w:basedOn w:val="1"/>
    <w:autoRedefine/>
    <w:qFormat/>
    <w:uiPriority w:val="0"/>
    <w:pPr>
      <w:spacing w:line="300" w:lineRule="auto"/>
      <w:ind w:firstLine="556"/>
    </w:pPr>
    <w:rPr>
      <w:rFonts w:eastAsia="仿宋_GB2312" w:cs="宋体"/>
      <w:spacing w:val="-2"/>
      <w:sz w:val="28"/>
      <w:szCs w:val="20"/>
    </w:rPr>
  </w:style>
  <w:style w:type="paragraph" w:customStyle="1" w:styleId="476">
    <w:name w:val="*表头"/>
    <w:basedOn w:val="1"/>
    <w:autoRedefine/>
    <w:qFormat/>
    <w:uiPriority w:val="0"/>
    <w:pPr>
      <w:spacing w:line="360" w:lineRule="auto"/>
      <w:jc w:val="center"/>
    </w:pPr>
    <w:rPr>
      <w:b/>
    </w:rPr>
  </w:style>
  <w:style w:type="paragraph" w:customStyle="1" w:styleId="477">
    <w:name w:val="Char11"/>
    <w:basedOn w:val="1"/>
    <w:autoRedefine/>
    <w:qFormat/>
    <w:uiPriority w:val="0"/>
    <w:pPr>
      <w:spacing w:line="360" w:lineRule="auto"/>
      <w:ind w:firstLine="200" w:firstLineChars="200"/>
    </w:pPr>
    <w:rPr>
      <w:rFonts w:ascii="宋体" w:hAnsi="宋体" w:cs="宋体"/>
      <w:sz w:val="24"/>
    </w:rPr>
  </w:style>
  <w:style w:type="paragraph" w:customStyle="1" w:styleId="478">
    <w:name w:val="常用封面编制单位"/>
    <w:basedOn w:val="344"/>
    <w:next w:val="344"/>
    <w:autoRedefine/>
    <w:qFormat/>
    <w:uiPriority w:val="99"/>
    <w:pPr>
      <w:ind w:firstLine="0"/>
      <w:jc w:val="center"/>
    </w:pPr>
    <w:rPr>
      <w:rFonts w:eastAsia="华文新魏"/>
      <w:b/>
      <w:sz w:val="32"/>
    </w:rPr>
  </w:style>
  <w:style w:type="paragraph" w:customStyle="1" w:styleId="479">
    <w:name w:val="表格式"/>
    <w:basedOn w:val="45"/>
    <w:autoRedefine/>
    <w:qFormat/>
    <w:uiPriority w:val="99"/>
    <w:pPr>
      <w:spacing w:before="60" w:after="100" w:line="320" w:lineRule="exact"/>
      <w:ind w:left="0" w:firstLine="0" w:firstLineChars="0"/>
      <w:jc w:val="center"/>
    </w:pPr>
    <w:rPr>
      <w:rFonts w:ascii="宋体" w:hAnsi="Brush Script MT"/>
      <w:kern w:val="2"/>
      <w:sz w:val="21"/>
    </w:rPr>
  </w:style>
  <w:style w:type="paragraph" w:customStyle="1" w:styleId="480">
    <w:name w:val="正文3"/>
    <w:autoRedefine/>
    <w:qFormat/>
    <w:uiPriority w:val="0"/>
    <w:pPr>
      <w:jc w:val="both"/>
    </w:pPr>
    <w:rPr>
      <w:rFonts w:ascii="Times New Roman" w:hAnsi="Times New Roman" w:eastAsia="宋体" w:cs="Times New Roman"/>
      <w:kern w:val="2"/>
      <w:sz w:val="21"/>
      <w:szCs w:val="21"/>
      <w:lang w:val="en-US" w:eastAsia="zh-CN" w:bidi="ar-SA"/>
    </w:rPr>
  </w:style>
  <w:style w:type="paragraph" w:customStyle="1" w:styleId="481">
    <w:name w:val="列出段落2"/>
    <w:basedOn w:val="1"/>
    <w:autoRedefine/>
    <w:qFormat/>
    <w:uiPriority w:val="0"/>
    <w:pPr>
      <w:ind w:firstLine="420" w:firstLineChars="200"/>
    </w:pPr>
    <w:rPr>
      <w:rFonts w:ascii="Calibri" w:hAnsi="Calibri"/>
      <w:kern w:val="0"/>
      <w:sz w:val="24"/>
      <w:szCs w:val="22"/>
    </w:rPr>
  </w:style>
  <w:style w:type="paragraph" w:customStyle="1" w:styleId="482">
    <w:name w:val="Char Char1 Char Char Char Char Char Char Char Char Char Char Char Char Char Char Char Char Char Char"/>
    <w:basedOn w:val="1"/>
    <w:autoRedefine/>
    <w:qFormat/>
    <w:uiPriority w:val="0"/>
    <w:pPr>
      <w:spacing w:line="360" w:lineRule="auto"/>
      <w:ind w:firstLine="200" w:firstLineChars="200"/>
    </w:pPr>
    <w:rPr>
      <w:rFonts w:ascii="宋体" w:hAnsi="宋体" w:cs="宋体"/>
      <w:sz w:val="24"/>
    </w:rPr>
  </w:style>
  <w:style w:type="paragraph" w:customStyle="1" w:styleId="483">
    <w:name w:val="font6"/>
    <w:basedOn w:val="1"/>
    <w:autoRedefine/>
    <w:qFormat/>
    <w:uiPriority w:val="0"/>
    <w:pPr>
      <w:widowControl/>
      <w:spacing w:before="100" w:beforeAutospacing="1" w:after="100" w:afterAutospacing="1"/>
      <w:jc w:val="left"/>
    </w:pPr>
    <w:rPr>
      <w:kern w:val="0"/>
      <w:sz w:val="24"/>
    </w:rPr>
  </w:style>
  <w:style w:type="paragraph" w:customStyle="1" w:styleId="484">
    <w:name w:val="Char Char Char1 Char"/>
    <w:basedOn w:val="1"/>
    <w:autoRedefine/>
    <w:qFormat/>
    <w:uiPriority w:val="0"/>
    <w:rPr>
      <w:sz w:val="24"/>
    </w:rPr>
  </w:style>
  <w:style w:type="paragraph" w:customStyle="1" w:styleId="485">
    <w:name w:val="_Style 15"/>
    <w:basedOn w:val="1"/>
    <w:autoRedefine/>
    <w:qFormat/>
    <w:uiPriority w:val="0"/>
  </w:style>
  <w:style w:type="paragraph" w:customStyle="1" w:styleId="486">
    <w:name w:val="正文001 Char Char"/>
    <w:basedOn w:val="1"/>
    <w:autoRedefine/>
    <w:qFormat/>
    <w:uiPriority w:val="99"/>
    <w:pPr>
      <w:spacing w:before="60" w:line="420" w:lineRule="exact"/>
      <w:ind w:firstLine="482"/>
    </w:pPr>
    <w:rPr>
      <w:sz w:val="24"/>
      <w:szCs w:val="20"/>
    </w:rPr>
  </w:style>
  <w:style w:type="paragraph" w:customStyle="1" w:styleId="487">
    <w:name w:val="xl34"/>
    <w:basedOn w:val="1"/>
    <w:autoRedefine/>
    <w:qFormat/>
    <w:uiPriority w:val="0"/>
    <w:pPr>
      <w:widowControl/>
      <w:pBdr>
        <w:bottom w:val="single" w:color="auto" w:sz="4" w:space="0"/>
        <w:right w:val="single" w:color="auto" w:sz="4" w:space="0"/>
      </w:pBdr>
      <w:spacing w:before="100" w:beforeAutospacing="1" w:after="100" w:afterAutospacing="1"/>
      <w:jc w:val="center"/>
    </w:pPr>
    <w:rPr>
      <w:rFonts w:ascii="宋体" w:hAnsi="宋体"/>
      <w:color w:val="FF0000"/>
      <w:kern w:val="0"/>
      <w:sz w:val="18"/>
      <w:szCs w:val="18"/>
    </w:rPr>
  </w:style>
  <w:style w:type="paragraph" w:customStyle="1" w:styleId="488">
    <w:name w:val="contentarticle"/>
    <w:basedOn w:val="1"/>
    <w:autoRedefine/>
    <w:qFormat/>
    <w:uiPriority w:val="0"/>
    <w:pPr>
      <w:widowControl/>
      <w:spacing w:before="100" w:beforeAutospacing="1" w:after="100" w:afterAutospacing="1"/>
      <w:jc w:val="left"/>
    </w:pPr>
    <w:rPr>
      <w:rFonts w:ascii="宋体" w:hAnsi="宋体" w:cs="宋体"/>
      <w:kern w:val="0"/>
    </w:rPr>
  </w:style>
  <w:style w:type="paragraph" w:customStyle="1" w:styleId="489">
    <w:name w:val="Char1 Char Char Char1"/>
    <w:basedOn w:val="1"/>
    <w:autoRedefine/>
    <w:qFormat/>
    <w:uiPriority w:val="0"/>
  </w:style>
  <w:style w:type="paragraph" w:customStyle="1" w:styleId="490">
    <w:name w:val="4级（小）标题-都"/>
    <w:basedOn w:val="117"/>
    <w:autoRedefine/>
    <w:qFormat/>
    <w:uiPriority w:val="0"/>
    <w:pPr>
      <w:ind w:firstLine="0" w:firstLineChars="0"/>
      <w:outlineLvl w:val="3"/>
    </w:pPr>
    <w:rPr>
      <w:b/>
      <w:kern w:val="2"/>
      <w:szCs w:val="24"/>
    </w:rPr>
  </w:style>
  <w:style w:type="paragraph" w:customStyle="1" w:styleId="491">
    <w:name w:val="char"/>
    <w:basedOn w:val="1"/>
    <w:autoRedefine/>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492">
    <w:name w:val="－列表2"/>
    <w:basedOn w:val="1"/>
    <w:autoRedefine/>
    <w:semiHidden/>
    <w:qFormat/>
    <w:uiPriority w:val="0"/>
    <w:pPr>
      <w:jc w:val="center"/>
    </w:pPr>
  </w:style>
  <w:style w:type="paragraph" w:customStyle="1" w:styleId="493">
    <w:name w:val="xl7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kern w:val="0"/>
      <w:sz w:val="24"/>
    </w:rPr>
  </w:style>
  <w:style w:type="paragraph" w:customStyle="1" w:styleId="494">
    <w:name w:val="中文报告书样式"/>
    <w:basedOn w:val="1"/>
    <w:autoRedefine/>
    <w:qFormat/>
    <w:uiPriority w:val="0"/>
    <w:pPr>
      <w:adjustRightInd w:val="0"/>
      <w:spacing w:line="480" w:lineRule="atLeast"/>
      <w:ind w:firstLine="482"/>
      <w:textAlignment w:val="baseline"/>
    </w:pPr>
    <w:rPr>
      <w:kern w:val="24"/>
      <w:sz w:val="24"/>
      <w:szCs w:val="20"/>
    </w:rPr>
  </w:style>
  <w:style w:type="paragraph" w:customStyle="1" w:styleId="495">
    <w:name w:val="_Style 490"/>
    <w:autoRedefine/>
    <w:unhideWhenUsed/>
    <w:qFormat/>
    <w:uiPriority w:val="99"/>
    <w:rPr>
      <w:rFonts w:ascii="Times New Roman" w:hAnsi="Times New Roman" w:eastAsia="宋体" w:cs="Times New Roman"/>
      <w:kern w:val="2"/>
      <w:sz w:val="21"/>
      <w:szCs w:val="21"/>
      <w:lang w:val="en-US" w:eastAsia="zh-CN" w:bidi="ar-SA"/>
    </w:rPr>
  </w:style>
  <w:style w:type="paragraph" w:customStyle="1" w:styleId="496">
    <w:name w:val="表格后文"/>
    <w:basedOn w:val="143"/>
    <w:autoRedefine/>
    <w:qFormat/>
    <w:uiPriority w:val="0"/>
    <w:pPr>
      <w:spacing w:before="300" w:line="460" w:lineRule="exact"/>
      <w:ind w:firstLine="200" w:firstLineChars="200"/>
    </w:pPr>
    <w:rPr>
      <w:sz w:val="24"/>
      <w:szCs w:val="24"/>
    </w:rPr>
  </w:style>
  <w:style w:type="paragraph" w:customStyle="1" w:styleId="497">
    <w:name w:val="样式 样式 正文缩进 + 小四 首行缩进:  2 字符 + 首行缩进:  2 字符 + 首行缩进:  2 字符"/>
    <w:basedOn w:val="1"/>
    <w:autoRedefine/>
    <w:qFormat/>
    <w:uiPriority w:val="99"/>
    <w:pPr>
      <w:spacing w:line="324" w:lineRule="auto"/>
      <w:ind w:firstLine="200" w:firstLineChars="200"/>
    </w:pPr>
    <w:rPr>
      <w:sz w:val="24"/>
    </w:rPr>
  </w:style>
  <w:style w:type="paragraph" w:customStyle="1" w:styleId="498">
    <w:name w:val="样式 样式 纯文本 Char普通文字 Char普通文字 Char CharChar普通文字 Char Char Char C.....4"/>
    <w:basedOn w:val="1"/>
    <w:autoRedefine/>
    <w:qFormat/>
    <w:uiPriority w:val="0"/>
    <w:pPr>
      <w:spacing w:line="360" w:lineRule="auto"/>
      <w:ind w:firstLine="200" w:firstLineChars="200"/>
    </w:pPr>
    <w:rPr>
      <w:rFonts w:ascii="Arial" w:hAnsi="Arial" w:cs="宋体"/>
      <w:sz w:val="24"/>
      <w:szCs w:val="20"/>
    </w:rPr>
  </w:style>
  <w:style w:type="paragraph" w:customStyle="1" w:styleId="499">
    <w:name w:val="表1"/>
    <w:basedOn w:val="1"/>
    <w:next w:val="1"/>
    <w:autoRedefine/>
    <w:qFormat/>
    <w:uiPriority w:val="0"/>
    <w:pPr>
      <w:spacing w:line="300" w:lineRule="auto"/>
      <w:ind w:left="900" w:leftChars="200" w:hanging="480" w:hangingChars="200"/>
      <w:jc w:val="center"/>
    </w:pPr>
    <w:rPr>
      <w:sz w:val="24"/>
    </w:rPr>
  </w:style>
  <w:style w:type="paragraph" w:customStyle="1" w:styleId="500">
    <w:name w:val="font10"/>
    <w:basedOn w:val="1"/>
    <w:autoRedefine/>
    <w:qFormat/>
    <w:uiPriority w:val="0"/>
    <w:pPr>
      <w:widowControl/>
      <w:spacing w:before="100" w:beforeAutospacing="1" w:after="100" w:afterAutospacing="1"/>
      <w:jc w:val="left"/>
    </w:pPr>
    <w:rPr>
      <w:rFonts w:ascii="楷体_GB2312" w:hAnsi="宋体" w:eastAsia="楷体_GB2312" w:cs="宋体"/>
      <w:color w:val="000000"/>
      <w:kern w:val="0"/>
      <w:sz w:val="24"/>
    </w:rPr>
  </w:style>
  <w:style w:type="paragraph" w:customStyle="1" w:styleId="501">
    <w:name w:val="样式 标题 1 + (中文) 宋体 居中"/>
    <w:basedOn w:val="3"/>
    <w:autoRedefine/>
    <w:qFormat/>
    <w:uiPriority w:val="0"/>
    <w:pPr>
      <w:keepLines/>
      <w:overflowPunct/>
      <w:snapToGrid/>
      <w:spacing w:before="100" w:beforeAutospacing="1" w:after="100" w:afterAutospacing="1" w:line="360" w:lineRule="auto"/>
      <w:ind w:left="0" w:firstLine="0"/>
      <w:jc w:val="center"/>
    </w:pPr>
    <w:rPr>
      <w:rFonts w:eastAsia="宋体" w:cs="宋体"/>
      <w:color w:val="auto"/>
      <w:sz w:val="44"/>
      <w:szCs w:val="20"/>
    </w:rPr>
  </w:style>
  <w:style w:type="paragraph" w:customStyle="1" w:styleId="502">
    <w:name w:val="Char Char Char Char Char Char Char Char1"/>
    <w:basedOn w:val="1"/>
    <w:autoRedefine/>
    <w:qFormat/>
    <w:uiPriority w:val="0"/>
    <w:pPr>
      <w:widowControl/>
      <w:jc w:val="left"/>
    </w:pPr>
    <w:rPr>
      <w:rFonts w:ascii="Tahoma" w:hAnsi="Tahoma" w:cs="Tahoma"/>
      <w:color w:val="000000"/>
      <w:kern w:val="0"/>
      <w:sz w:val="24"/>
    </w:rPr>
  </w:style>
  <w:style w:type="paragraph" w:customStyle="1" w:styleId="503">
    <w:name w:val="默认段落字体 Para Char Char Char Char"/>
    <w:basedOn w:val="1"/>
    <w:autoRedefine/>
    <w:qFormat/>
    <w:uiPriority w:val="0"/>
    <w:rPr>
      <w:sz w:val="24"/>
    </w:rPr>
  </w:style>
  <w:style w:type="paragraph" w:customStyle="1" w:styleId="504">
    <w:name w:val="标1"/>
    <w:basedOn w:val="1"/>
    <w:autoRedefine/>
    <w:qFormat/>
    <w:uiPriority w:val="0"/>
    <w:pPr>
      <w:spacing w:before="60" w:line="460" w:lineRule="exact"/>
      <w:outlineLvl w:val="0"/>
    </w:pPr>
    <w:rPr>
      <w:b/>
      <w:sz w:val="32"/>
      <w:szCs w:val="20"/>
    </w:rPr>
  </w:style>
  <w:style w:type="paragraph" w:customStyle="1" w:styleId="505">
    <w:name w:val="Char Char Char Char Char Char Char Char Char Char Char Char Char Char11"/>
    <w:basedOn w:val="1"/>
    <w:autoRedefine/>
    <w:qFormat/>
    <w:uiPriority w:val="0"/>
  </w:style>
  <w:style w:type="paragraph" w:customStyle="1" w:styleId="506">
    <w:name w:val="标题111 Char Char Char Char"/>
    <w:basedOn w:val="1"/>
    <w:autoRedefine/>
    <w:qFormat/>
    <w:uiPriority w:val="0"/>
    <w:pPr>
      <w:spacing w:line="360" w:lineRule="auto"/>
      <w:ind w:firstLine="200" w:firstLineChars="200"/>
    </w:pPr>
    <w:rPr>
      <w:rFonts w:ascii="宋体" w:hAnsi="宋体" w:cs="宋体"/>
      <w:sz w:val="24"/>
    </w:rPr>
  </w:style>
  <w:style w:type="paragraph" w:customStyle="1" w:styleId="507">
    <w:name w:val="Char Char1 Char Char Char Char"/>
    <w:basedOn w:val="1"/>
    <w:autoRedefine/>
    <w:qFormat/>
    <w:uiPriority w:val="0"/>
    <w:pPr>
      <w:widowControl/>
      <w:spacing w:after="160" w:line="240" w:lineRule="exact"/>
      <w:jc w:val="left"/>
    </w:pPr>
    <w:rPr>
      <w:szCs w:val="20"/>
    </w:rPr>
  </w:style>
  <w:style w:type="paragraph" w:customStyle="1" w:styleId="508">
    <w:name w:val="样式 样式 样式 纯文本 Char普通文字 Char普通文字 Char CharChar普通文字 Char Char Char ..."/>
    <w:basedOn w:val="1"/>
    <w:autoRedefine/>
    <w:qFormat/>
    <w:uiPriority w:val="0"/>
    <w:pPr>
      <w:spacing w:line="360" w:lineRule="auto"/>
      <w:ind w:firstLine="480" w:firstLineChars="200"/>
    </w:pPr>
    <w:rPr>
      <w:rFonts w:ascii="Arial" w:hAnsi="Arial" w:cs="宋体"/>
      <w:sz w:val="24"/>
      <w:szCs w:val="20"/>
    </w:rPr>
  </w:style>
  <w:style w:type="paragraph" w:customStyle="1" w:styleId="509">
    <w:name w:val="MTDisplayEquation"/>
    <w:basedOn w:val="1"/>
    <w:next w:val="1"/>
    <w:autoRedefine/>
    <w:qFormat/>
    <w:uiPriority w:val="0"/>
    <w:pPr>
      <w:tabs>
        <w:tab w:val="center" w:pos="4160"/>
        <w:tab w:val="right" w:pos="8300"/>
      </w:tabs>
      <w:spacing w:line="440" w:lineRule="exact"/>
      <w:ind w:firstLine="200" w:firstLineChars="200"/>
    </w:pPr>
    <w:rPr>
      <w:rFonts w:eastAsia="仿宋_GB2312"/>
      <w:bCs/>
      <w:sz w:val="32"/>
    </w:rPr>
  </w:style>
  <w:style w:type="paragraph" w:customStyle="1" w:styleId="510">
    <w:name w:val="纯文本211"/>
    <w:basedOn w:val="1"/>
    <w:autoRedefine/>
    <w:qFormat/>
    <w:uiPriority w:val="0"/>
    <w:pPr>
      <w:adjustRightInd w:val="0"/>
      <w:textAlignment w:val="baseline"/>
    </w:pPr>
    <w:rPr>
      <w:rFonts w:ascii="宋体" w:hAnsi="Courier New"/>
      <w:szCs w:val="20"/>
    </w:rPr>
  </w:style>
  <w:style w:type="paragraph" w:customStyle="1" w:styleId="511">
    <w:name w:val="表内表"/>
    <w:basedOn w:val="1"/>
    <w:autoRedefine/>
    <w:qFormat/>
    <w:uiPriority w:val="0"/>
    <w:pPr>
      <w:jc w:val="center"/>
    </w:pPr>
    <w:rPr>
      <w:rFonts w:eastAsia="仿宋_GB2312"/>
      <w:kern w:val="0"/>
      <w:szCs w:val="20"/>
    </w:rPr>
  </w:style>
  <w:style w:type="paragraph" w:customStyle="1" w:styleId="512">
    <w:name w:val="Char21"/>
    <w:basedOn w:val="1"/>
    <w:autoRedefine/>
    <w:qFormat/>
    <w:uiPriority w:val="0"/>
    <w:pPr>
      <w:spacing w:line="360" w:lineRule="auto"/>
      <w:ind w:firstLine="200" w:firstLineChars="200"/>
    </w:pPr>
    <w:rPr>
      <w:rFonts w:ascii="宋体" w:hAnsi="宋体" w:cs="宋体"/>
      <w:sz w:val="24"/>
    </w:rPr>
  </w:style>
  <w:style w:type="paragraph" w:customStyle="1" w:styleId="513">
    <w:name w:val="正文 首行缩进:  2 字符"/>
    <w:basedOn w:val="1"/>
    <w:autoRedefine/>
    <w:qFormat/>
    <w:uiPriority w:val="0"/>
    <w:pPr>
      <w:spacing w:line="360" w:lineRule="auto"/>
      <w:ind w:firstLine="480" w:firstLineChars="200"/>
      <w:jc w:val="left"/>
    </w:pPr>
    <w:rPr>
      <w:sz w:val="24"/>
    </w:rPr>
  </w:style>
  <w:style w:type="paragraph" w:customStyle="1" w:styleId="514">
    <w:name w:val="Char Char Char Char Char Char Char Char Char Char Char Char Char"/>
    <w:basedOn w:val="1"/>
    <w:autoRedefine/>
    <w:qFormat/>
    <w:uiPriority w:val="0"/>
    <w:pPr>
      <w:tabs>
        <w:tab w:val="left" w:pos="432"/>
      </w:tabs>
      <w:ind w:left="432" w:hanging="432"/>
    </w:pPr>
    <w:rPr>
      <w:rFonts w:ascii="Tahoma" w:hAnsi="Tahoma"/>
      <w:sz w:val="24"/>
      <w:szCs w:val="20"/>
    </w:rPr>
  </w:style>
  <w:style w:type="paragraph" w:customStyle="1" w:styleId="515">
    <w:name w:val="样式4"/>
    <w:basedOn w:val="5"/>
    <w:autoRedefine/>
    <w:qFormat/>
    <w:uiPriority w:val="0"/>
    <w:pPr>
      <w:widowControl/>
      <w:spacing w:line="360" w:lineRule="auto"/>
      <w:ind w:firstLine="480" w:firstLineChars="200"/>
    </w:pPr>
    <w:rPr>
      <w:rFonts w:ascii="Arial" w:hAnsi="Arial"/>
      <w:kern w:val="0"/>
      <w:sz w:val="24"/>
      <w:szCs w:val="24"/>
    </w:rPr>
  </w:style>
  <w:style w:type="paragraph" w:customStyle="1" w:styleId="516">
    <w:name w:val="表格内文字"/>
    <w:basedOn w:val="1"/>
    <w:autoRedefine/>
    <w:qFormat/>
    <w:uiPriority w:val="0"/>
    <w:pPr>
      <w:spacing w:line="320" w:lineRule="exact"/>
      <w:jc w:val="center"/>
    </w:pPr>
  </w:style>
  <w:style w:type="paragraph" w:customStyle="1" w:styleId="517">
    <w:name w:val="ST20_1"/>
    <w:basedOn w:val="1"/>
    <w:autoRedefine/>
    <w:qFormat/>
    <w:uiPriority w:val="0"/>
    <w:pPr>
      <w:autoSpaceDE w:val="0"/>
      <w:autoSpaceDN w:val="0"/>
      <w:adjustRightInd w:val="0"/>
      <w:spacing w:line="312" w:lineRule="atLeast"/>
      <w:jc w:val="center"/>
      <w:textAlignment w:val="baseline"/>
    </w:pPr>
    <w:rPr>
      <w:rFonts w:ascii="宋体" w:hAnsi="Tms Rmn"/>
      <w:kern w:val="0"/>
      <w:sz w:val="24"/>
      <w:szCs w:val="20"/>
    </w:rPr>
  </w:style>
  <w:style w:type="paragraph" w:customStyle="1" w:styleId="518">
    <w:name w:val="xl6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4"/>
    </w:rPr>
  </w:style>
  <w:style w:type="paragraph" w:customStyle="1" w:styleId="519">
    <w:name w:val="Char Char Char Char Char Char Char Char Char Char Char Char Char Char1"/>
    <w:basedOn w:val="1"/>
    <w:autoRedefine/>
    <w:qFormat/>
    <w:uiPriority w:val="0"/>
  </w:style>
  <w:style w:type="paragraph" w:customStyle="1" w:styleId="520">
    <w:name w:val="备注"/>
    <w:basedOn w:val="323"/>
    <w:autoRedefine/>
    <w:qFormat/>
    <w:uiPriority w:val="0"/>
    <w:pPr>
      <w:adjustRightInd/>
      <w:snapToGrid/>
      <w:spacing w:line="240" w:lineRule="auto"/>
      <w:ind w:firstLine="0" w:firstLineChars="0"/>
    </w:pPr>
    <w:rPr>
      <w:rFonts w:hAnsi="宋体" w:eastAsia="楷体_GB2312"/>
      <w:b/>
      <w:sz w:val="21"/>
    </w:rPr>
  </w:style>
  <w:style w:type="paragraph" w:customStyle="1" w:styleId="521">
    <w:name w:val="流程图"/>
    <w:basedOn w:val="1"/>
    <w:autoRedefine/>
    <w:qFormat/>
    <w:uiPriority w:val="0"/>
    <w:pPr>
      <w:tabs>
        <w:tab w:val="left" w:pos="0"/>
      </w:tabs>
      <w:autoSpaceDE w:val="0"/>
      <w:autoSpaceDN w:val="0"/>
      <w:adjustRightInd w:val="0"/>
      <w:spacing w:before="60" w:after="120"/>
      <w:textAlignment w:val="bottom"/>
    </w:pPr>
    <w:rPr>
      <w:rFonts w:ascii="宋体"/>
    </w:rPr>
  </w:style>
  <w:style w:type="paragraph" w:customStyle="1" w:styleId="522">
    <w:name w:val="Char2"/>
    <w:basedOn w:val="1"/>
    <w:autoRedefine/>
    <w:qFormat/>
    <w:uiPriority w:val="0"/>
    <w:pPr>
      <w:spacing w:line="360" w:lineRule="auto"/>
      <w:ind w:firstLine="200" w:firstLineChars="200"/>
    </w:pPr>
    <w:rPr>
      <w:rFonts w:ascii="宋体" w:hAnsi="宋体" w:cs="宋体"/>
      <w:sz w:val="24"/>
    </w:rPr>
  </w:style>
  <w:style w:type="paragraph" w:customStyle="1" w:styleId="523">
    <w:name w:val="默认段落字体 Para Char Char"/>
    <w:basedOn w:val="1"/>
    <w:autoRedefine/>
    <w:semiHidden/>
    <w:qFormat/>
    <w:uiPriority w:val="0"/>
  </w:style>
  <w:style w:type="paragraph" w:customStyle="1" w:styleId="524">
    <w:name w:val="p16"/>
    <w:basedOn w:val="1"/>
    <w:autoRedefine/>
    <w:qFormat/>
    <w:uiPriority w:val="99"/>
    <w:pPr>
      <w:widowControl/>
      <w:spacing w:after="120" w:line="480" w:lineRule="auto"/>
      <w:ind w:left="420"/>
    </w:pPr>
    <w:rPr>
      <w:kern w:val="0"/>
    </w:rPr>
  </w:style>
  <w:style w:type="paragraph" w:customStyle="1" w:styleId="525">
    <w:name w:val="Char Char1 Char Char Char Char Char Char Char Char Char Char Char Char Char Char Char Char Char Char Char Char1 Char"/>
    <w:basedOn w:val="1"/>
    <w:autoRedefine/>
    <w:qFormat/>
    <w:uiPriority w:val="0"/>
    <w:pPr>
      <w:spacing w:line="360" w:lineRule="auto"/>
      <w:ind w:firstLine="200" w:firstLineChars="200"/>
    </w:pPr>
    <w:rPr>
      <w:rFonts w:ascii="宋体" w:hAnsi="宋体" w:cs="宋体"/>
      <w:sz w:val="24"/>
    </w:rPr>
  </w:style>
  <w:style w:type="paragraph" w:customStyle="1" w:styleId="526">
    <w:name w:val="样式 样式 标题 3第二层条3H3h3Underrubrik2h31본문글1.1.1heading 3h32TH...1 + 段..."/>
    <w:basedOn w:val="1"/>
    <w:autoRedefine/>
    <w:qFormat/>
    <w:uiPriority w:val="0"/>
    <w:pPr>
      <w:keepNext/>
      <w:keepLines/>
      <w:tabs>
        <w:tab w:val="left" w:pos="1080"/>
      </w:tabs>
      <w:spacing w:before="50" w:beforeLines="50" w:after="50" w:afterLines="50" w:line="360" w:lineRule="auto"/>
      <w:ind w:left="709" w:hanging="709"/>
      <w:jc w:val="left"/>
      <w:outlineLvl w:val="2"/>
    </w:pPr>
    <w:rPr>
      <w:rFonts w:ascii="Arial" w:hAnsi="Arial" w:cs="宋体"/>
      <w:sz w:val="24"/>
      <w:szCs w:val="20"/>
    </w:rPr>
  </w:style>
  <w:style w:type="paragraph" w:customStyle="1" w:styleId="527">
    <w:name w:val="Char1 Char Char Char2"/>
    <w:basedOn w:val="1"/>
    <w:autoRedefine/>
    <w:qFormat/>
    <w:uiPriority w:val="0"/>
  </w:style>
  <w:style w:type="paragraph" w:customStyle="1" w:styleId="528">
    <w:name w:val="1.1.1"/>
    <w:basedOn w:val="1"/>
    <w:autoRedefine/>
    <w:qFormat/>
    <w:uiPriority w:val="0"/>
    <w:rPr>
      <w:rFonts w:ascii="黑体"/>
      <w:sz w:val="24"/>
    </w:rPr>
  </w:style>
  <w:style w:type="paragraph" w:customStyle="1" w:styleId="529">
    <w:name w:val="Char Char Char Char2"/>
    <w:basedOn w:val="1"/>
    <w:autoRedefine/>
    <w:qFormat/>
    <w:uiPriority w:val="0"/>
    <w:pPr>
      <w:spacing w:line="360" w:lineRule="auto"/>
      <w:ind w:firstLine="200" w:firstLineChars="200"/>
    </w:pPr>
    <w:rPr>
      <w:rFonts w:ascii="宋体" w:hAnsi="宋体" w:cs="宋体"/>
      <w:sz w:val="24"/>
    </w:rPr>
  </w:style>
  <w:style w:type="paragraph" w:customStyle="1" w:styleId="530">
    <w:name w:val="常用责任表"/>
    <w:basedOn w:val="344"/>
    <w:next w:val="344"/>
    <w:autoRedefine/>
    <w:qFormat/>
    <w:uiPriority w:val="0"/>
    <w:pPr>
      <w:ind w:firstLine="0"/>
      <w:jc w:val="center"/>
    </w:pPr>
    <w:rPr>
      <w:rFonts w:ascii="华文新魏" w:eastAsia="华文新魏" w:cs="宋体"/>
      <w:b/>
      <w:bCs/>
      <w:sz w:val="44"/>
      <w:szCs w:val="20"/>
    </w:rPr>
  </w:style>
  <w:style w:type="paragraph" w:customStyle="1" w:styleId="531">
    <w:name w:val="Char Char Char Char Char Char Char Char Char Char Char Char1 Char Char Char Char"/>
    <w:basedOn w:val="1"/>
    <w:autoRedefine/>
    <w:qFormat/>
    <w:uiPriority w:val="0"/>
    <w:pPr>
      <w:spacing w:line="360" w:lineRule="auto"/>
      <w:ind w:firstLine="200" w:firstLineChars="200"/>
    </w:pPr>
  </w:style>
  <w:style w:type="paragraph" w:customStyle="1" w:styleId="532">
    <w:name w:val="正文_10"/>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533">
    <w:name w:val="Char Char1 Char Char Char Char Char Char Char Char Char Char Char Char Char Char Char Char Char Char Char Char1 Char1"/>
    <w:basedOn w:val="1"/>
    <w:autoRedefine/>
    <w:qFormat/>
    <w:uiPriority w:val="0"/>
    <w:pPr>
      <w:spacing w:line="360" w:lineRule="auto"/>
      <w:ind w:firstLine="200" w:firstLineChars="200"/>
    </w:pPr>
    <w:rPr>
      <w:rFonts w:ascii="宋体" w:hAnsi="宋体" w:cs="宋体"/>
      <w:sz w:val="24"/>
    </w:rPr>
  </w:style>
  <w:style w:type="paragraph" w:customStyle="1" w:styleId="534">
    <w:name w:val="表格文本"/>
    <w:basedOn w:val="1"/>
    <w:next w:val="1"/>
    <w:autoRedefine/>
    <w:qFormat/>
    <w:uiPriority w:val="0"/>
    <w:pPr>
      <w:spacing w:line="240" w:lineRule="exact"/>
      <w:jc w:val="center"/>
    </w:pPr>
    <w:rPr>
      <w:rFonts w:eastAsia="Times New Roman"/>
      <w:szCs w:val="20"/>
    </w:rPr>
  </w:style>
  <w:style w:type="paragraph" w:customStyle="1" w:styleId="535">
    <w:name w:val="样式 正文001 + 首行缩进:  2 字符"/>
    <w:basedOn w:val="181"/>
    <w:autoRedefine/>
    <w:qFormat/>
    <w:uiPriority w:val="0"/>
    <w:pPr>
      <w:spacing w:line="460" w:lineRule="atLeast"/>
      <w:ind w:firstLine="480" w:firstLineChars="200"/>
    </w:pPr>
  </w:style>
  <w:style w:type="paragraph" w:customStyle="1" w:styleId="536">
    <w:name w:val="p15"/>
    <w:basedOn w:val="1"/>
    <w:autoRedefine/>
    <w:qFormat/>
    <w:uiPriority w:val="99"/>
    <w:pPr>
      <w:widowControl/>
      <w:spacing w:line="360" w:lineRule="auto"/>
      <w:ind w:firstLine="420"/>
    </w:pPr>
    <w:rPr>
      <w:rFonts w:ascii="Arial" w:hAnsi="Arial" w:cs="Arial"/>
      <w:kern w:val="0"/>
      <w:sz w:val="24"/>
    </w:rPr>
  </w:style>
  <w:style w:type="paragraph" w:customStyle="1" w:styleId="537">
    <w:name w:val="普通(网站)1"/>
    <w:basedOn w:val="1"/>
    <w:autoRedefine/>
    <w:qFormat/>
    <w:uiPriority w:val="0"/>
    <w:pPr>
      <w:widowControl/>
      <w:spacing w:before="100" w:beforeAutospacing="1" w:after="100" w:afterAutospacing="1"/>
      <w:jc w:val="left"/>
    </w:pPr>
    <w:rPr>
      <w:rFonts w:hint="eastAsia" w:ascii="宋体" w:hAnsi="宋体"/>
      <w:sz w:val="24"/>
      <w:szCs w:val="20"/>
    </w:rPr>
  </w:style>
  <w:style w:type="paragraph" w:customStyle="1" w:styleId="538">
    <w:name w:val="xl37"/>
    <w:basedOn w:val="1"/>
    <w:autoRedefine/>
    <w:qFormat/>
    <w:uiPriority w:val="0"/>
    <w:pPr>
      <w:widowControl/>
      <w:spacing w:before="100" w:beforeAutospacing="1" w:after="100" w:afterAutospacing="1"/>
      <w:jc w:val="center"/>
    </w:pPr>
    <w:rPr>
      <w:rFonts w:ascii="宋体" w:hAnsi="宋体"/>
      <w:kern w:val="0"/>
      <w:sz w:val="24"/>
      <w:szCs w:val="20"/>
    </w:rPr>
  </w:style>
  <w:style w:type="paragraph" w:customStyle="1" w:styleId="539">
    <w:name w:val="Char Char Char Char Char Char3 Char Char Char Char Char Char Char1"/>
    <w:basedOn w:val="1"/>
    <w:next w:val="1"/>
    <w:autoRedefine/>
    <w:qFormat/>
    <w:uiPriority w:val="0"/>
    <w:rPr>
      <w:rFonts w:eastAsia="黑体"/>
      <w:sz w:val="28"/>
    </w:rPr>
  </w:style>
  <w:style w:type="paragraph" w:customStyle="1" w:styleId="540">
    <w:name w:val="zxz5"/>
    <w:next w:val="1"/>
    <w:autoRedefine/>
    <w:qFormat/>
    <w:uiPriority w:val="0"/>
    <w:pPr>
      <w:tabs>
        <w:tab w:val="left" w:pos="0"/>
      </w:tabs>
      <w:jc w:val="center"/>
    </w:pPr>
    <w:rPr>
      <w:rFonts w:ascii="宋体" w:hAnsi="宋体" w:eastAsia="Times New Roman" w:cs="Times New Roman"/>
      <w:kern w:val="2"/>
      <w:sz w:val="18"/>
      <w:lang w:val="en-US" w:eastAsia="zh-CN" w:bidi="ar-SA"/>
    </w:rPr>
  </w:style>
  <w:style w:type="paragraph" w:customStyle="1" w:styleId="541">
    <w:name w:val="List Paragraph1"/>
    <w:basedOn w:val="1"/>
    <w:autoRedefine/>
    <w:qFormat/>
    <w:uiPriority w:val="0"/>
    <w:pPr>
      <w:ind w:firstLine="420" w:firstLineChars="200"/>
    </w:pPr>
  </w:style>
  <w:style w:type="paragraph" w:customStyle="1" w:styleId="542">
    <w:name w:val="_Style 537"/>
    <w:basedOn w:val="3"/>
    <w:next w:val="1"/>
    <w:autoRedefine/>
    <w:qFormat/>
    <w:uiPriority w:val="39"/>
    <w:pPr>
      <w:keepLines/>
      <w:widowControl/>
      <w:overflowPunct/>
      <w:snapToGrid/>
      <w:spacing w:before="480" w:after="0" w:line="276" w:lineRule="auto"/>
      <w:ind w:left="0" w:firstLine="0"/>
      <w:jc w:val="left"/>
      <w:outlineLvl w:val="9"/>
    </w:pPr>
    <w:rPr>
      <w:rFonts w:ascii="Cambria" w:hAnsi="Cambria" w:eastAsia="宋体"/>
      <w:color w:val="365F91"/>
      <w:kern w:val="0"/>
      <w:sz w:val="28"/>
      <w:szCs w:val="28"/>
    </w:rPr>
  </w:style>
  <w:style w:type="paragraph" w:customStyle="1" w:styleId="543">
    <w:name w:val="p0"/>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544">
    <w:name w:val="1 Char Char Char Char Char Char Char Char"/>
    <w:basedOn w:val="1"/>
    <w:autoRedefine/>
    <w:qFormat/>
    <w:uiPriority w:val="0"/>
    <w:rPr>
      <w:sz w:val="24"/>
    </w:rPr>
  </w:style>
  <w:style w:type="paragraph" w:customStyle="1" w:styleId="545">
    <w:name w:val="font5"/>
    <w:basedOn w:val="1"/>
    <w:autoRedefine/>
    <w:qFormat/>
    <w:uiPriority w:val="0"/>
    <w:pPr>
      <w:widowControl/>
      <w:spacing w:before="100" w:beforeAutospacing="1" w:after="100" w:afterAutospacing="1"/>
      <w:jc w:val="left"/>
    </w:pPr>
    <w:rPr>
      <w:rFonts w:hint="eastAsia" w:ascii="宋体" w:hAnsi="宋体"/>
      <w:kern w:val="0"/>
      <w:sz w:val="18"/>
      <w:szCs w:val="18"/>
    </w:rPr>
  </w:style>
  <w:style w:type="paragraph" w:customStyle="1" w:styleId="546">
    <w:name w:val="正文五"/>
    <w:basedOn w:val="1"/>
    <w:autoRedefine/>
    <w:qFormat/>
    <w:uiPriority w:val="99"/>
    <w:pPr>
      <w:snapToGrid w:val="0"/>
      <w:jc w:val="center"/>
    </w:pPr>
    <w:rPr>
      <w:szCs w:val="28"/>
    </w:rPr>
  </w:style>
  <w:style w:type="paragraph" w:customStyle="1" w:styleId="547">
    <w:name w:val="Char Char1 Char Char Char Char1"/>
    <w:basedOn w:val="1"/>
    <w:autoRedefine/>
    <w:qFormat/>
    <w:uiPriority w:val="0"/>
    <w:pPr>
      <w:widowControl/>
      <w:spacing w:after="160" w:line="240" w:lineRule="exact"/>
      <w:jc w:val="left"/>
    </w:pPr>
    <w:rPr>
      <w:szCs w:val="20"/>
    </w:rPr>
  </w:style>
  <w:style w:type="paragraph" w:customStyle="1" w:styleId="548">
    <w:name w:val="Char3"/>
    <w:basedOn w:val="1"/>
    <w:autoRedefine/>
    <w:qFormat/>
    <w:uiPriority w:val="0"/>
    <w:pPr>
      <w:spacing w:line="360" w:lineRule="auto"/>
      <w:ind w:firstLine="200" w:firstLineChars="200"/>
    </w:pPr>
    <w:rPr>
      <w:rFonts w:ascii="宋体" w:hAnsi="宋体" w:cs="宋体"/>
      <w:sz w:val="24"/>
    </w:rPr>
  </w:style>
  <w:style w:type="paragraph" w:customStyle="1" w:styleId="549">
    <w:name w:val="样式 标题 4款标题1.1.1.1标题 4 Char Char标题 4 Char四表格1目H4H41L4Mi..."/>
    <w:basedOn w:val="6"/>
    <w:autoRedefine/>
    <w:qFormat/>
    <w:uiPriority w:val="0"/>
    <w:pPr>
      <w:tabs>
        <w:tab w:val="left" w:pos="851"/>
      </w:tabs>
      <w:adjustRightInd/>
      <w:spacing w:before="0" w:after="0"/>
      <w:ind w:left="1128" w:hanging="561"/>
      <w:jc w:val="center"/>
      <w:textAlignment w:val="auto"/>
    </w:pPr>
    <w:rPr>
      <w:rFonts w:eastAsia="仿宋_GB2312" w:cs="宋体"/>
      <w:b/>
      <w:bCs/>
    </w:rPr>
  </w:style>
  <w:style w:type="paragraph" w:customStyle="1" w:styleId="550">
    <w:name w:val="xl32"/>
    <w:basedOn w:val="1"/>
    <w:autoRedefine/>
    <w:qFormat/>
    <w:uiPriority w:val="0"/>
    <w:pPr>
      <w:widowControl/>
      <w:pBdr>
        <w:left w:val="single" w:color="auto" w:sz="4" w:space="0"/>
        <w:right w:val="single" w:color="auto" w:sz="4" w:space="0"/>
      </w:pBdr>
      <w:spacing w:before="100" w:beforeAutospacing="1" w:after="100" w:afterAutospacing="1"/>
    </w:pPr>
    <w:rPr>
      <w:rFonts w:ascii="宋体" w:hAnsi="宋体"/>
      <w:kern w:val="0"/>
      <w:sz w:val="24"/>
    </w:rPr>
  </w:style>
  <w:style w:type="paragraph" w:customStyle="1" w:styleId="551">
    <w:name w:val="Char Char Char Char Char Char Char Char"/>
    <w:basedOn w:val="1"/>
    <w:autoRedefine/>
    <w:qFormat/>
    <w:uiPriority w:val="0"/>
    <w:pPr>
      <w:widowControl/>
      <w:jc w:val="left"/>
    </w:pPr>
    <w:rPr>
      <w:rFonts w:ascii="Tahoma" w:hAnsi="Tahoma" w:cs="Tahoma"/>
      <w:color w:val="000000"/>
      <w:kern w:val="0"/>
      <w:sz w:val="24"/>
    </w:rPr>
  </w:style>
  <w:style w:type="paragraph" w:customStyle="1" w:styleId="552">
    <w:name w:val="gao"/>
    <w:basedOn w:val="1"/>
    <w:autoRedefine/>
    <w:qFormat/>
    <w:uiPriority w:val="0"/>
    <w:pPr>
      <w:autoSpaceDE w:val="0"/>
      <w:autoSpaceDN w:val="0"/>
      <w:adjustRightInd w:val="0"/>
      <w:spacing w:line="360" w:lineRule="auto"/>
    </w:pPr>
    <w:rPr>
      <w:rFonts w:hint="eastAsia" w:ascii="宋体"/>
      <w:kern w:val="0"/>
      <w:sz w:val="28"/>
      <w:szCs w:val="20"/>
    </w:rPr>
  </w:style>
  <w:style w:type="paragraph" w:customStyle="1" w:styleId="553">
    <w:name w:val="2级标题-都"/>
    <w:basedOn w:val="117"/>
    <w:autoRedefine/>
    <w:qFormat/>
    <w:uiPriority w:val="0"/>
    <w:pPr>
      <w:ind w:firstLine="0" w:firstLineChars="0"/>
      <w:outlineLvl w:val="1"/>
    </w:pPr>
    <w:rPr>
      <w:b/>
      <w:kern w:val="2"/>
      <w:sz w:val="28"/>
      <w:szCs w:val="21"/>
    </w:rPr>
  </w:style>
  <w:style w:type="paragraph" w:customStyle="1" w:styleId="554">
    <w:name w:val="表格头"/>
    <w:basedOn w:val="1"/>
    <w:autoRedefine/>
    <w:qFormat/>
    <w:uiPriority w:val="0"/>
    <w:pPr>
      <w:spacing w:line="360" w:lineRule="auto"/>
      <w:jc w:val="center"/>
    </w:pPr>
    <w:rPr>
      <w:b/>
      <w:bCs/>
      <w:szCs w:val="20"/>
    </w:rPr>
  </w:style>
  <w:style w:type="paragraph" w:customStyle="1" w:styleId="555">
    <w:name w:val="xl76"/>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kern w:val="0"/>
      <w:sz w:val="24"/>
    </w:rPr>
  </w:style>
  <w:style w:type="paragraph" w:customStyle="1" w:styleId="556">
    <w:name w:val="p21"/>
    <w:basedOn w:val="1"/>
    <w:autoRedefine/>
    <w:qFormat/>
    <w:uiPriority w:val="99"/>
    <w:pPr>
      <w:widowControl/>
      <w:spacing w:before="300" w:line="460" w:lineRule="atLeast"/>
    </w:pPr>
    <w:rPr>
      <w:b/>
      <w:bCs/>
      <w:kern w:val="0"/>
      <w:sz w:val="24"/>
    </w:rPr>
  </w:style>
  <w:style w:type="paragraph" w:customStyle="1" w:styleId="557">
    <w:name w:val="样式 表格样式1 + (西文) Arial (中文) 宋体 自动设置 两端对齐 行距: 单倍行距"/>
    <w:basedOn w:val="1"/>
    <w:autoRedefine/>
    <w:qFormat/>
    <w:uiPriority w:val="0"/>
    <w:pPr>
      <w:jc w:val="center"/>
    </w:pPr>
    <w:rPr>
      <w:rFonts w:ascii="Arial" w:hAnsi="Arial" w:cs="宋体"/>
      <w:kern w:val="0"/>
      <w:szCs w:val="20"/>
    </w:rPr>
  </w:style>
  <w:style w:type="paragraph" w:customStyle="1" w:styleId="558">
    <w:name w:val="1表格"/>
    <w:basedOn w:val="1"/>
    <w:autoRedefine/>
    <w:qFormat/>
    <w:uiPriority w:val="0"/>
    <w:pPr>
      <w:snapToGrid w:val="0"/>
      <w:jc w:val="center"/>
      <w:outlineLvl w:val="4"/>
    </w:pPr>
    <w:rPr>
      <w:spacing w:val="4"/>
    </w:rPr>
  </w:style>
  <w:style w:type="paragraph" w:customStyle="1" w:styleId="559">
    <w:name w:val="正文AAA"/>
    <w:basedOn w:val="1"/>
    <w:autoRedefine/>
    <w:qFormat/>
    <w:uiPriority w:val="99"/>
    <w:pPr>
      <w:spacing w:line="500" w:lineRule="exact"/>
      <w:ind w:firstLine="480" w:firstLineChars="200"/>
    </w:pPr>
    <w:rPr>
      <w:rFonts w:ascii="宋体" w:hAnsi="宋体" w:cs="宋体"/>
      <w:sz w:val="24"/>
      <w:szCs w:val="20"/>
    </w:rPr>
  </w:style>
  <w:style w:type="paragraph" w:customStyle="1" w:styleId="560">
    <w:name w:val="ZW"/>
    <w:basedOn w:val="1"/>
    <w:autoRedefine/>
    <w:qFormat/>
    <w:uiPriority w:val="0"/>
    <w:pPr>
      <w:spacing w:line="480" w:lineRule="exact"/>
      <w:ind w:firstLine="200" w:firstLineChars="200"/>
    </w:pPr>
    <w:rPr>
      <w:spacing w:val="10"/>
      <w:sz w:val="24"/>
    </w:rPr>
  </w:style>
  <w:style w:type="paragraph" w:customStyle="1" w:styleId="561">
    <w:name w:val="标题02"/>
    <w:basedOn w:val="1"/>
    <w:next w:val="1"/>
    <w:autoRedefine/>
    <w:qFormat/>
    <w:uiPriority w:val="0"/>
    <w:pPr>
      <w:snapToGrid w:val="0"/>
      <w:spacing w:line="440" w:lineRule="atLeast"/>
      <w:outlineLvl w:val="1"/>
    </w:pPr>
    <w:rPr>
      <w:b/>
      <w:sz w:val="24"/>
      <w:szCs w:val="20"/>
    </w:rPr>
  </w:style>
  <w:style w:type="paragraph" w:customStyle="1" w:styleId="562">
    <w:name w:val="Char2 Char Char Char Char Char Char4"/>
    <w:basedOn w:val="1"/>
    <w:autoRedefine/>
    <w:qFormat/>
    <w:uiPriority w:val="0"/>
  </w:style>
  <w:style w:type="paragraph" w:customStyle="1" w:styleId="563">
    <w:name w:val="表格文字（都）"/>
    <w:basedOn w:val="1"/>
    <w:autoRedefine/>
    <w:qFormat/>
    <w:uiPriority w:val="0"/>
    <w:pPr>
      <w:jc w:val="center"/>
    </w:pPr>
  </w:style>
  <w:style w:type="paragraph" w:customStyle="1" w:styleId="564">
    <w:name w:val="Char Char1 Char Char Char Char Char Char Char Char Char Char Char Char Char Char Char Char Char Char Char Char1 Char2"/>
    <w:basedOn w:val="1"/>
    <w:autoRedefine/>
    <w:qFormat/>
    <w:uiPriority w:val="0"/>
    <w:pPr>
      <w:spacing w:line="360" w:lineRule="auto"/>
      <w:ind w:firstLine="200" w:firstLineChars="200"/>
    </w:pPr>
    <w:rPr>
      <w:rFonts w:ascii="宋体" w:hAnsi="宋体" w:cs="宋体"/>
      <w:sz w:val="24"/>
    </w:rPr>
  </w:style>
  <w:style w:type="paragraph" w:customStyle="1" w:styleId="565">
    <w:name w:val="表格居中"/>
    <w:autoRedefine/>
    <w:qFormat/>
    <w:uiPriority w:val="0"/>
    <w:pPr>
      <w:jc w:val="center"/>
    </w:pPr>
    <w:rPr>
      <w:rFonts w:ascii="Times New Roman" w:hAnsi="Times New Roman" w:eastAsia="宋体" w:cs="Times New Roman"/>
      <w:kern w:val="2"/>
      <w:sz w:val="24"/>
      <w:szCs w:val="24"/>
      <w:lang w:val="en-US" w:eastAsia="zh-CN" w:bidi="ar-SA"/>
    </w:rPr>
  </w:style>
  <w:style w:type="paragraph" w:customStyle="1" w:styleId="566">
    <w:name w:val="样式33333333333333333333"/>
    <w:basedOn w:val="106"/>
    <w:autoRedefine/>
    <w:qFormat/>
    <w:uiPriority w:val="0"/>
    <w:pPr>
      <w:adjustRightInd/>
      <w:jc w:val="both"/>
      <w:outlineLvl w:val="2"/>
    </w:pPr>
    <w:rPr>
      <w:rFonts w:ascii="Times New Roman" w:eastAsia="黑体" w:cs="Times New Roman"/>
      <w:color w:val="auto"/>
    </w:rPr>
  </w:style>
  <w:style w:type="paragraph" w:customStyle="1" w:styleId="567">
    <w:name w:val="font8"/>
    <w:basedOn w:val="1"/>
    <w:autoRedefine/>
    <w:qFormat/>
    <w:uiPriority w:val="0"/>
    <w:pPr>
      <w:widowControl/>
      <w:spacing w:before="100" w:beforeAutospacing="1" w:after="100" w:afterAutospacing="1"/>
      <w:jc w:val="left"/>
    </w:pPr>
    <w:rPr>
      <w:color w:val="000000"/>
      <w:kern w:val="0"/>
      <w:sz w:val="24"/>
    </w:rPr>
  </w:style>
  <w:style w:type="paragraph" w:customStyle="1" w:styleId="568">
    <w:name w:val="生态表格正文"/>
    <w:basedOn w:val="1"/>
    <w:autoRedefine/>
    <w:qFormat/>
    <w:uiPriority w:val="0"/>
    <w:pPr>
      <w:widowControl/>
      <w:spacing w:line="400" w:lineRule="exact"/>
      <w:jc w:val="center"/>
    </w:pPr>
    <w:rPr>
      <w:rFonts w:ascii="宋体" w:eastAsia="仿宋_GB2312"/>
      <w:kern w:val="0"/>
      <w:sz w:val="24"/>
    </w:rPr>
  </w:style>
  <w:style w:type="paragraph" w:customStyle="1" w:styleId="569">
    <w:name w:val="xl44"/>
    <w:basedOn w:val="1"/>
    <w:autoRedefine/>
    <w:qFormat/>
    <w:uiPriority w:val="0"/>
    <w:pPr>
      <w:widowControl/>
      <w:pBdr>
        <w:left w:val="single" w:color="auto" w:sz="4" w:space="0"/>
        <w:right w:val="single" w:color="auto" w:sz="4" w:space="0"/>
      </w:pBdr>
      <w:spacing w:before="100" w:beforeAutospacing="1" w:after="100" w:afterAutospacing="1"/>
      <w:jc w:val="center"/>
      <w:textAlignment w:val="center"/>
    </w:pPr>
    <w:rPr>
      <w:rFonts w:eastAsia="Arial Unicode MS"/>
      <w:color w:val="000000"/>
      <w:kern w:val="0"/>
    </w:rPr>
  </w:style>
  <w:style w:type="paragraph" w:customStyle="1" w:styleId="570">
    <w:name w:val="xl30"/>
    <w:basedOn w:val="1"/>
    <w:autoRedefine/>
    <w:qFormat/>
    <w:uiPriority w:val="0"/>
    <w:pPr>
      <w:widowControl/>
      <w:spacing w:before="100" w:beforeAutospacing="1" w:after="100" w:afterAutospacing="1"/>
      <w:jc w:val="center"/>
      <w:textAlignment w:val="center"/>
    </w:pPr>
    <w:rPr>
      <w:rFonts w:ascii="宋体" w:hAnsi="宋体"/>
      <w:kern w:val="0"/>
      <w:sz w:val="24"/>
    </w:rPr>
  </w:style>
  <w:style w:type="paragraph" w:customStyle="1" w:styleId="571">
    <w:name w:val="正文yh"/>
    <w:autoRedefine/>
    <w:qFormat/>
    <w:uiPriority w:val="0"/>
    <w:pPr>
      <w:spacing w:line="480" w:lineRule="exact"/>
      <w:ind w:firstLine="200" w:firstLineChars="200"/>
    </w:pPr>
    <w:rPr>
      <w:rFonts w:ascii="Times New Roman" w:hAnsi="Times New Roman" w:eastAsia="宋体" w:cs="Times New Roman"/>
      <w:color w:val="000000"/>
      <w:sz w:val="24"/>
      <w:szCs w:val="24"/>
      <w:lang w:val="en-US" w:eastAsia="zh-CN" w:bidi="en-US"/>
    </w:rPr>
  </w:style>
  <w:style w:type="paragraph" w:customStyle="1" w:styleId="572">
    <w:name w:val="五号"/>
    <w:basedOn w:val="1"/>
    <w:autoRedefine/>
    <w:qFormat/>
    <w:uiPriority w:val="0"/>
  </w:style>
  <w:style w:type="paragraph" w:customStyle="1" w:styleId="573">
    <w:name w:val="分区正文"/>
    <w:basedOn w:val="1"/>
    <w:autoRedefine/>
    <w:qFormat/>
    <w:uiPriority w:val="0"/>
    <w:pPr>
      <w:spacing w:line="480" w:lineRule="exact"/>
      <w:ind w:firstLine="200" w:firstLineChars="200"/>
    </w:pPr>
    <w:rPr>
      <w:rFonts w:ascii="宋体" w:hAnsi="宋体" w:cs="宋体"/>
      <w:sz w:val="24"/>
      <w:szCs w:val="20"/>
    </w:rPr>
  </w:style>
  <w:style w:type="paragraph" w:customStyle="1" w:styleId="574">
    <w:name w:val="xl7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楷体_GB2312" w:hAnsi="宋体" w:eastAsia="楷体_GB2312" w:cs="宋体"/>
      <w:kern w:val="0"/>
      <w:sz w:val="24"/>
    </w:rPr>
  </w:style>
  <w:style w:type="paragraph" w:customStyle="1" w:styleId="575">
    <w:name w:val="xl7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kern w:val="0"/>
      <w:sz w:val="24"/>
    </w:rPr>
  </w:style>
  <w:style w:type="paragraph" w:customStyle="1" w:styleId="576">
    <w:name w:val="4"/>
    <w:basedOn w:val="1"/>
    <w:autoRedefine/>
    <w:qFormat/>
    <w:uiPriority w:val="39"/>
  </w:style>
  <w:style w:type="paragraph" w:customStyle="1" w:styleId="577">
    <w:name w:val="xl36"/>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Arial Unicode MS" w:hAnsi="Arial Unicode MS"/>
      <w:kern w:val="0"/>
      <w:sz w:val="22"/>
      <w:szCs w:val="22"/>
    </w:rPr>
  </w:style>
  <w:style w:type="paragraph" w:customStyle="1" w:styleId="578">
    <w:name w:val="Char"/>
    <w:basedOn w:val="1"/>
    <w:autoRedefine/>
    <w:qFormat/>
    <w:uiPriority w:val="0"/>
    <w:pPr>
      <w:spacing w:line="360" w:lineRule="auto"/>
      <w:ind w:firstLine="200" w:firstLineChars="200"/>
    </w:pPr>
    <w:rPr>
      <w:rFonts w:ascii="宋体" w:hAnsi="宋体" w:cs="宋体"/>
      <w:sz w:val="24"/>
    </w:rPr>
  </w:style>
  <w:style w:type="paragraph" w:customStyle="1" w:styleId="579">
    <w:name w:val="Char Char Char Char Char Char Char1 Char Char Char Char Char Char Char1"/>
    <w:basedOn w:val="1"/>
    <w:autoRedefine/>
    <w:qFormat/>
    <w:uiPriority w:val="0"/>
    <w:pPr>
      <w:tabs>
        <w:tab w:val="left" w:pos="432"/>
      </w:tabs>
      <w:ind w:left="432" w:hanging="432"/>
    </w:pPr>
    <w:rPr>
      <w:rFonts w:ascii="Tahoma" w:hAnsi="Tahoma"/>
      <w:sz w:val="24"/>
      <w:szCs w:val="20"/>
    </w:rPr>
  </w:style>
  <w:style w:type="paragraph" w:customStyle="1" w:styleId="580">
    <w:name w:val="无间隔1"/>
    <w:autoRedefine/>
    <w:qFormat/>
    <w:uiPriority w:val="99"/>
    <w:pPr>
      <w:widowControl w:val="0"/>
      <w:jc w:val="both"/>
    </w:pPr>
    <w:rPr>
      <w:rFonts w:ascii="Times New Roman" w:hAnsi="Times New Roman" w:eastAsia="宋体" w:cs="Times New Roman"/>
      <w:kern w:val="2"/>
      <w:sz w:val="21"/>
      <w:lang w:val="en-US" w:eastAsia="zh-CN" w:bidi="ar-SA"/>
    </w:rPr>
  </w:style>
  <w:style w:type="paragraph" w:customStyle="1" w:styleId="581">
    <w:name w:val="Char Char Char Char Char Char Char"/>
    <w:basedOn w:val="1"/>
    <w:autoRedefine/>
    <w:qFormat/>
    <w:uiPriority w:val="0"/>
    <w:rPr>
      <w:sz w:val="24"/>
    </w:rPr>
  </w:style>
  <w:style w:type="paragraph" w:customStyle="1" w:styleId="582">
    <w:name w:val="正文2 Char Char Char Char Char Char Char Char Char Char Char Char1 Char Char Char Char Char Char Char Char1 Char Char Char Char Char Char"/>
    <w:basedOn w:val="1"/>
    <w:autoRedefine/>
    <w:qFormat/>
    <w:uiPriority w:val="0"/>
    <w:pPr>
      <w:widowControl/>
      <w:spacing w:line="400" w:lineRule="exact"/>
      <w:jc w:val="center"/>
    </w:pPr>
    <w:rPr>
      <w:rFonts w:ascii="Verdana" w:hAnsi="Verdana"/>
      <w:kern w:val="0"/>
      <w:szCs w:val="20"/>
      <w:lang w:eastAsia="en-US"/>
    </w:rPr>
  </w:style>
  <w:style w:type="paragraph" w:customStyle="1" w:styleId="583">
    <w:name w:val="1级标题"/>
    <w:basedOn w:val="1"/>
    <w:autoRedefine/>
    <w:qFormat/>
    <w:uiPriority w:val="0"/>
    <w:pPr>
      <w:spacing w:before="60" w:line="460" w:lineRule="exact"/>
      <w:outlineLvl w:val="0"/>
    </w:pPr>
    <w:rPr>
      <w:rFonts w:ascii="Arial" w:hAnsi="Arial"/>
      <w:b/>
      <w:bCs/>
      <w:sz w:val="32"/>
      <w:szCs w:val="28"/>
    </w:rPr>
  </w:style>
  <w:style w:type="paragraph" w:customStyle="1" w:styleId="584">
    <w:name w:val="reader-word-layer"/>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585">
    <w:name w:val="常用责任表文字"/>
    <w:basedOn w:val="344"/>
    <w:next w:val="344"/>
    <w:autoRedefine/>
    <w:qFormat/>
    <w:uiPriority w:val="99"/>
    <w:pPr>
      <w:spacing w:line="480" w:lineRule="auto"/>
      <w:ind w:firstLine="0"/>
    </w:pPr>
  </w:style>
  <w:style w:type="paragraph" w:customStyle="1" w:styleId="586">
    <w:name w:val="bt2"/>
    <w:basedOn w:val="1"/>
    <w:autoRedefine/>
    <w:qFormat/>
    <w:uiPriority w:val="0"/>
    <w:pPr>
      <w:autoSpaceDE w:val="0"/>
      <w:autoSpaceDN w:val="0"/>
      <w:adjustRightInd w:val="0"/>
      <w:spacing w:line="360" w:lineRule="auto"/>
    </w:pPr>
    <w:rPr>
      <w:rFonts w:ascii="宋体"/>
      <w:b/>
      <w:kern w:val="0"/>
      <w:sz w:val="28"/>
      <w:szCs w:val="20"/>
    </w:rPr>
  </w:style>
  <w:style w:type="paragraph" w:customStyle="1" w:styleId="587">
    <w:name w:val="Char Char1 Char Char Char Char Char Char Char Char Char Char Char Char Char Char Char Char Char Char1"/>
    <w:basedOn w:val="1"/>
    <w:autoRedefine/>
    <w:qFormat/>
    <w:uiPriority w:val="0"/>
    <w:pPr>
      <w:spacing w:line="360" w:lineRule="auto"/>
      <w:ind w:firstLine="200" w:firstLineChars="200"/>
    </w:pPr>
    <w:rPr>
      <w:rFonts w:ascii="宋体" w:hAnsi="宋体" w:cs="宋体"/>
      <w:sz w:val="24"/>
    </w:rPr>
  </w:style>
  <w:style w:type="paragraph" w:customStyle="1" w:styleId="588">
    <w:name w:val="Char Char Char Char"/>
    <w:basedOn w:val="1"/>
    <w:autoRedefine/>
    <w:qFormat/>
    <w:uiPriority w:val="0"/>
    <w:pPr>
      <w:spacing w:line="360" w:lineRule="auto"/>
      <w:ind w:firstLine="200" w:firstLineChars="200"/>
    </w:pPr>
    <w:rPr>
      <w:rFonts w:ascii="宋体" w:hAnsi="宋体" w:cs="宋体"/>
      <w:sz w:val="24"/>
    </w:rPr>
  </w:style>
  <w:style w:type="paragraph" w:customStyle="1" w:styleId="589">
    <w:name w:val="默认段落字体 Para Char Char Char Char Char Char Char Char Char Char"/>
    <w:basedOn w:val="2"/>
    <w:autoRedefine/>
    <w:qFormat/>
    <w:uiPriority w:val="0"/>
    <w:pPr>
      <w:tabs>
        <w:tab w:val="left" w:pos="360"/>
        <w:tab w:val="left" w:pos="900"/>
      </w:tabs>
      <w:snapToGrid w:val="0"/>
      <w:spacing w:before="120" w:after="120" w:line="360" w:lineRule="auto"/>
      <w:ind w:left="542" w:leftChars="-12" w:firstLine="200" w:firstLineChars="200"/>
      <w:jc w:val="left"/>
    </w:pPr>
    <w:rPr>
      <w:rFonts w:eastAsia="黑体"/>
      <w:b w:val="0"/>
      <w:bCs w:val="0"/>
      <w:sz w:val="24"/>
      <w:szCs w:val="24"/>
    </w:rPr>
  </w:style>
  <w:style w:type="paragraph" w:customStyle="1" w:styleId="590">
    <w:name w:val="样式2"/>
    <w:basedOn w:val="5"/>
    <w:autoRedefine/>
    <w:qFormat/>
    <w:uiPriority w:val="99"/>
    <w:pPr>
      <w:spacing w:line="360" w:lineRule="auto"/>
      <w:ind w:firstLine="480" w:firstLineChars="200"/>
    </w:pPr>
    <w:rPr>
      <w:rFonts w:ascii="Arial" w:hAnsi="Arial" w:cs="Arial"/>
      <w:kern w:val="0"/>
      <w:sz w:val="24"/>
      <w:szCs w:val="24"/>
    </w:rPr>
  </w:style>
  <w:style w:type="paragraph" w:customStyle="1" w:styleId="591">
    <w:name w:val="T正文"/>
    <w:autoRedefine/>
    <w:qFormat/>
    <w:uiPriority w:val="99"/>
    <w:pPr>
      <w:widowControl w:val="0"/>
      <w:adjustRightInd w:val="0"/>
      <w:snapToGrid w:val="0"/>
      <w:spacing w:line="360" w:lineRule="auto"/>
      <w:ind w:firstLine="200" w:firstLineChars="200"/>
      <w:jc w:val="both"/>
    </w:pPr>
    <w:rPr>
      <w:rFonts w:ascii="Times New Roman" w:hAnsi="Times New Roman" w:eastAsia="仿宋_GB2312" w:cs="Times New Roman"/>
      <w:sz w:val="28"/>
      <w:lang w:val="en-US" w:eastAsia="zh-CN" w:bidi="ar-SA"/>
    </w:rPr>
  </w:style>
  <w:style w:type="paragraph" w:customStyle="1" w:styleId="592">
    <w:name w:val="正文样式1"/>
    <w:basedOn w:val="1"/>
    <w:autoRedefine/>
    <w:qFormat/>
    <w:uiPriority w:val="99"/>
    <w:pPr>
      <w:adjustRightInd w:val="0"/>
      <w:spacing w:line="288" w:lineRule="auto"/>
      <w:ind w:firstLine="360" w:firstLineChars="150"/>
      <w:textAlignment w:val="baseline"/>
    </w:pPr>
    <w:rPr>
      <w:kern w:val="0"/>
      <w:sz w:val="24"/>
      <w:szCs w:val="20"/>
    </w:rPr>
  </w:style>
  <w:style w:type="paragraph" w:customStyle="1" w:styleId="593">
    <w:name w:val="Char3 Char Char Char"/>
    <w:basedOn w:val="1"/>
    <w:autoRedefine/>
    <w:qFormat/>
    <w:uiPriority w:val="0"/>
    <w:pPr>
      <w:spacing w:line="360" w:lineRule="auto"/>
      <w:ind w:firstLine="200" w:firstLineChars="200"/>
    </w:pPr>
    <w:rPr>
      <w:rFonts w:ascii="宋体" w:hAnsi="宋体" w:cs="宋体"/>
      <w:sz w:val="24"/>
    </w:rPr>
  </w:style>
  <w:style w:type="paragraph" w:customStyle="1" w:styleId="594">
    <w:name w:val="Body Text 22"/>
    <w:basedOn w:val="1"/>
    <w:autoRedefine/>
    <w:qFormat/>
    <w:uiPriority w:val="0"/>
    <w:pPr>
      <w:adjustRightInd w:val="0"/>
      <w:spacing w:line="440" w:lineRule="atLeast"/>
      <w:ind w:firstLine="480"/>
      <w:textAlignment w:val="baseline"/>
    </w:pPr>
    <w:rPr>
      <w:rFonts w:eastAsia="仿宋_GB2312"/>
      <w:sz w:val="24"/>
      <w:szCs w:val="20"/>
    </w:rPr>
  </w:style>
  <w:style w:type="paragraph" w:customStyle="1" w:styleId="595">
    <w:name w:val="xl38"/>
    <w:basedOn w:val="1"/>
    <w:autoRedefine/>
    <w:qFormat/>
    <w:uiPriority w:val="0"/>
    <w:pPr>
      <w:widowControl/>
      <w:pBdr>
        <w:top w:val="single" w:color="auto" w:sz="4" w:space="0"/>
        <w:left w:val="single" w:color="auto" w:sz="4" w:space="0"/>
        <w:bottom w:val="single" w:color="auto" w:sz="4" w:space="0"/>
        <w:right w:val="single" w:color="auto" w:sz="4" w:space="0"/>
      </w:pBdr>
      <w:shd w:val="clear" w:color="auto" w:fill="FFFF00"/>
      <w:spacing w:before="100" w:beforeAutospacing="1" w:after="100" w:afterAutospacing="1"/>
      <w:jc w:val="left"/>
    </w:pPr>
    <w:rPr>
      <w:rFonts w:ascii="Arial Unicode MS" w:hAnsi="Arial Unicode MS"/>
      <w:kern w:val="0"/>
      <w:sz w:val="22"/>
      <w:szCs w:val="22"/>
    </w:rPr>
  </w:style>
  <w:style w:type="paragraph" w:customStyle="1" w:styleId="596">
    <w:name w:val="Char Char2 Char Char Char Char"/>
    <w:basedOn w:val="1"/>
    <w:autoRedefine/>
    <w:qFormat/>
    <w:uiPriority w:val="0"/>
    <w:rPr>
      <w:szCs w:val="20"/>
    </w:rPr>
  </w:style>
  <w:style w:type="paragraph" w:customStyle="1" w:styleId="597">
    <w:name w:val="五号表格"/>
    <w:basedOn w:val="1"/>
    <w:autoRedefine/>
    <w:qFormat/>
    <w:uiPriority w:val="0"/>
    <w:pPr>
      <w:spacing w:line="360" w:lineRule="auto"/>
      <w:jc w:val="center"/>
    </w:pPr>
    <w:rPr>
      <w:kern w:val="0"/>
      <w:sz w:val="24"/>
      <w:szCs w:val="20"/>
    </w:rPr>
  </w:style>
  <w:style w:type="paragraph" w:customStyle="1" w:styleId="598">
    <w:name w:val="表格2"/>
    <w:basedOn w:val="1"/>
    <w:autoRedefine/>
    <w:qFormat/>
    <w:uiPriority w:val="0"/>
    <w:pPr>
      <w:spacing w:line="360" w:lineRule="atLeast"/>
      <w:jc w:val="center"/>
    </w:pPr>
  </w:style>
  <w:style w:type="paragraph" w:customStyle="1" w:styleId="599">
    <w:name w:val="标题3本文 Char Char Char Char"/>
    <w:basedOn w:val="2"/>
    <w:next w:val="1"/>
    <w:autoRedefine/>
    <w:qFormat/>
    <w:uiPriority w:val="0"/>
    <w:pPr>
      <w:keepNext w:val="0"/>
      <w:tabs>
        <w:tab w:val="left" w:pos="709"/>
      </w:tabs>
      <w:spacing w:before="360" w:after="240" w:line="360" w:lineRule="auto"/>
    </w:pPr>
    <w:rPr>
      <w:rFonts w:cs="宋体"/>
      <w:b w:val="0"/>
      <w:bCs w:val="0"/>
      <w:sz w:val="24"/>
      <w:szCs w:val="24"/>
    </w:rPr>
  </w:style>
  <w:style w:type="paragraph" w:customStyle="1" w:styleId="600">
    <w:name w:val="xl22"/>
    <w:basedOn w:val="1"/>
    <w:autoRedefine/>
    <w:qFormat/>
    <w:uiPriority w:val="0"/>
    <w:pPr>
      <w:widowControl/>
      <w:spacing w:before="100" w:after="100"/>
      <w:jc w:val="center"/>
    </w:pPr>
    <w:rPr>
      <w:kern w:val="0"/>
      <w:sz w:val="24"/>
    </w:rPr>
  </w:style>
  <w:style w:type="paragraph" w:customStyle="1" w:styleId="601">
    <w:name w:val="表格文字"/>
    <w:basedOn w:val="36"/>
    <w:autoRedefine/>
    <w:qFormat/>
    <w:uiPriority w:val="0"/>
    <w:pPr>
      <w:spacing w:line="400" w:lineRule="exact"/>
    </w:pPr>
    <w:rPr>
      <w:rFonts w:ascii="宋体" w:hAnsi="宋体"/>
    </w:rPr>
  </w:style>
  <w:style w:type="paragraph" w:customStyle="1" w:styleId="602">
    <w:name w:val="Char Char Char Char Char Char Char1"/>
    <w:basedOn w:val="1"/>
    <w:autoRedefine/>
    <w:qFormat/>
    <w:uiPriority w:val="99"/>
    <w:rPr>
      <w:sz w:val="24"/>
    </w:rPr>
  </w:style>
  <w:style w:type="paragraph" w:customStyle="1" w:styleId="603">
    <w:name w:val="font9"/>
    <w:basedOn w:val="1"/>
    <w:autoRedefine/>
    <w:qFormat/>
    <w:uiPriority w:val="0"/>
    <w:pPr>
      <w:widowControl/>
      <w:spacing w:before="100" w:beforeAutospacing="1" w:after="100" w:afterAutospacing="1"/>
      <w:jc w:val="left"/>
    </w:pPr>
    <w:rPr>
      <w:rFonts w:ascii="宋体" w:hAnsi="宋体" w:cs="宋体"/>
      <w:color w:val="000000"/>
      <w:kern w:val="0"/>
      <w:sz w:val="24"/>
    </w:rPr>
  </w:style>
  <w:style w:type="paragraph" w:customStyle="1" w:styleId="604">
    <w:name w:val="font7"/>
    <w:basedOn w:val="1"/>
    <w:autoRedefine/>
    <w:qFormat/>
    <w:uiPriority w:val="0"/>
    <w:pPr>
      <w:widowControl/>
      <w:spacing w:before="100" w:beforeAutospacing="1" w:after="100" w:afterAutospacing="1"/>
      <w:jc w:val="left"/>
    </w:pPr>
    <w:rPr>
      <w:rFonts w:ascii="宋体" w:hAnsi="宋体" w:cs="宋体"/>
      <w:color w:val="000000"/>
      <w:kern w:val="0"/>
      <w:sz w:val="22"/>
      <w:szCs w:val="22"/>
    </w:rPr>
  </w:style>
  <w:style w:type="paragraph" w:customStyle="1" w:styleId="605">
    <w:name w:val="Char Char Char Char Char Char Char Char2"/>
    <w:basedOn w:val="1"/>
    <w:autoRedefine/>
    <w:qFormat/>
    <w:uiPriority w:val="0"/>
    <w:pPr>
      <w:widowControl/>
      <w:jc w:val="left"/>
    </w:pPr>
    <w:rPr>
      <w:rFonts w:ascii="Tahoma" w:hAnsi="Tahoma" w:cs="Tahoma"/>
      <w:color w:val="000000"/>
      <w:kern w:val="0"/>
      <w:sz w:val="24"/>
    </w:rPr>
  </w:style>
  <w:style w:type="paragraph" w:customStyle="1" w:styleId="606">
    <w:name w:val="正文段落"/>
    <w:basedOn w:val="1"/>
    <w:autoRedefine/>
    <w:qFormat/>
    <w:uiPriority w:val="0"/>
    <w:pPr>
      <w:spacing w:line="360" w:lineRule="auto"/>
    </w:pPr>
    <w:rPr>
      <w:spacing w:val="8"/>
      <w:sz w:val="24"/>
      <w:szCs w:val="20"/>
    </w:rPr>
  </w:style>
  <w:style w:type="paragraph" w:customStyle="1" w:styleId="607">
    <w:name w:val="opsom1"/>
    <w:basedOn w:val="17"/>
    <w:autoRedefine/>
    <w:qFormat/>
    <w:uiPriority w:val="0"/>
    <w:pPr>
      <w:widowControl/>
      <w:spacing w:line="360" w:lineRule="auto"/>
      <w:ind w:left="284" w:hanging="284"/>
      <w:jc w:val="left"/>
    </w:pPr>
    <w:rPr>
      <w:rFonts w:ascii="Arial" w:hAnsi="Arial" w:eastAsia="Times New Roman"/>
      <w:kern w:val="0"/>
      <w:sz w:val="22"/>
      <w:szCs w:val="20"/>
      <w:lang w:val="nl" w:eastAsia="en-US"/>
    </w:rPr>
  </w:style>
  <w:style w:type="paragraph" w:customStyle="1" w:styleId="608">
    <w:name w:val="xl6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color w:val="000000"/>
      <w:kern w:val="0"/>
      <w:sz w:val="24"/>
    </w:rPr>
  </w:style>
  <w:style w:type="paragraph" w:customStyle="1" w:styleId="609">
    <w:name w:val="p18"/>
    <w:basedOn w:val="1"/>
    <w:autoRedefine/>
    <w:qFormat/>
    <w:uiPriority w:val="99"/>
    <w:pPr>
      <w:widowControl/>
      <w:spacing w:line="360" w:lineRule="atLeast"/>
      <w:jc w:val="center"/>
    </w:pPr>
    <w:rPr>
      <w:kern w:val="0"/>
    </w:rPr>
  </w:style>
  <w:style w:type="paragraph" w:customStyle="1" w:styleId="610">
    <w:name w:val="xl6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kern w:val="0"/>
      <w:sz w:val="24"/>
    </w:rPr>
  </w:style>
  <w:style w:type="paragraph" w:customStyle="1" w:styleId="611">
    <w:name w:val="小四"/>
    <w:basedOn w:val="1"/>
    <w:autoRedefine/>
    <w:qFormat/>
    <w:uiPriority w:val="0"/>
    <w:rPr>
      <w:sz w:val="24"/>
    </w:rPr>
  </w:style>
  <w:style w:type="paragraph" w:customStyle="1" w:styleId="612">
    <w:name w:val="Char Char Char Char Char Char Char Char Char Char1"/>
    <w:basedOn w:val="1"/>
    <w:autoRedefine/>
    <w:qFormat/>
    <w:uiPriority w:val="0"/>
    <w:pPr>
      <w:spacing w:line="360" w:lineRule="auto"/>
      <w:ind w:firstLine="200" w:firstLineChars="200"/>
    </w:pPr>
    <w:rPr>
      <w:rFonts w:ascii="宋体" w:hAnsi="宋体" w:cs="宋体"/>
      <w:sz w:val="24"/>
    </w:rPr>
  </w:style>
  <w:style w:type="paragraph" w:customStyle="1" w:styleId="613">
    <w:name w:val="样式 正文首行缩进 + 首行缩进:  2 字符1"/>
    <w:basedOn w:val="29"/>
    <w:autoRedefine/>
    <w:qFormat/>
    <w:uiPriority w:val="0"/>
    <w:pPr>
      <w:adjustRightInd/>
      <w:ind w:firstLine="480" w:firstLineChars="200"/>
      <w:textAlignment w:val="auto"/>
    </w:pPr>
    <w:rPr>
      <w:rFonts w:ascii="Times New Roman"/>
      <w:kern w:val="2"/>
      <w:szCs w:val="24"/>
    </w:rPr>
  </w:style>
  <w:style w:type="paragraph" w:customStyle="1" w:styleId="614">
    <w:name w:val="标题四 y"/>
    <w:autoRedefine/>
    <w:qFormat/>
    <w:uiPriority w:val="0"/>
    <w:pPr>
      <w:spacing w:line="480" w:lineRule="exact"/>
      <w:outlineLvl w:val="3"/>
    </w:pPr>
    <w:rPr>
      <w:rFonts w:ascii="Times New Roman" w:hAnsi="Times New Roman" w:eastAsia="宋体" w:cs="Times New Roman"/>
      <w:b/>
      <w:bCs/>
      <w:kern w:val="2"/>
      <w:sz w:val="24"/>
      <w:szCs w:val="24"/>
      <w:lang w:val="en-US" w:eastAsia="zh-CN" w:bidi="ar-SA"/>
    </w:rPr>
  </w:style>
  <w:style w:type="paragraph" w:customStyle="1" w:styleId="615">
    <w:name w:val="正文-1"/>
    <w:basedOn w:val="1"/>
    <w:autoRedefine/>
    <w:qFormat/>
    <w:uiPriority w:val="0"/>
    <w:pPr>
      <w:spacing w:line="560" w:lineRule="exact"/>
      <w:ind w:firstLine="200" w:firstLineChars="200"/>
    </w:pPr>
    <w:rPr>
      <w:rFonts w:eastAsia="仿宋_GB2312"/>
      <w:kern w:val="0"/>
      <w:sz w:val="32"/>
    </w:rPr>
  </w:style>
  <w:style w:type="paragraph" w:customStyle="1" w:styleId="616">
    <w:name w:val="Char Char Char Char Char Char Char Char Char Char Char Char Char1"/>
    <w:basedOn w:val="1"/>
    <w:autoRedefine/>
    <w:qFormat/>
    <w:uiPriority w:val="0"/>
    <w:pPr>
      <w:tabs>
        <w:tab w:val="left" w:pos="432"/>
      </w:tabs>
      <w:ind w:left="432" w:hanging="432"/>
    </w:pPr>
    <w:rPr>
      <w:rFonts w:ascii="Tahoma" w:hAnsi="Tahoma"/>
      <w:sz w:val="24"/>
      <w:szCs w:val="20"/>
    </w:rPr>
  </w:style>
  <w:style w:type="paragraph" w:customStyle="1" w:styleId="617">
    <w:name w:val="方程"/>
    <w:basedOn w:val="1"/>
    <w:autoRedefine/>
    <w:qFormat/>
    <w:uiPriority w:val="0"/>
    <w:pPr>
      <w:widowControl/>
      <w:overflowPunct w:val="0"/>
      <w:adjustRightInd w:val="0"/>
      <w:spacing w:before="60" w:after="60" w:line="440" w:lineRule="atLeast"/>
      <w:ind w:firstLine="482"/>
      <w:jc w:val="center"/>
      <w:textAlignment w:val="bottom"/>
    </w:pPr>
    <w:rPr>
      <w:rFonts w:ascii="CG Times (W1)" w:hAnsi="CG Times (W1)"/>
      <w:kern w:val="0"/>
      <w:sz w:val="28"/>
      <w:szCs w:val="20"/>
    </w:rPr>
  </w:style>
  <w:style w:type="paragraph" w:customStyle="1" w:styleId="618">
    <w:name w:val="pa-6"/>
    <w:basedOn w:val="1"/>
    <w:autoRedefine/>
    <w:qFormat/>
    <w:uiPriority w:val="0"/>
    <w:pPr>
      <w:widowControl/>
      <w:spacing w:before="150" w:after="150"/>
      <w:jc w:val="left"/>
    </w:pPr>
    <w:rPr>
      <w:rFonts w:ascii="宋体" w:hAnsi="宋体" w:cs="宋体"/>
      <w:kern w:val="0"/>
      <w:sz w:val="24"/>
    </w:rPr>
  </w:style>
  <w:style w:type="paragraph" w:customStyle="1" w:styleId="619">
    <w:name w:val="二级无标题条"/>
    <w:basedOn w:val="1"/>
    <w:autoRedefine/>
    <w:qFormat/>
    <w:uiPriority w:val="0"/>
  </w:style>
  <w:style w:type="paragraph" w:customStyle="1" w:styleId="620">
    <w:name w:val="普通(网站)2"/>
    <w:basedOn w:val="1"/>
    <w:autoRedefine/>
    <w:qFormat/>
    <w:uiPriority w:val="0"/>
    <w:pPr>
      <w:widowControl/>
      <w:spacing w:before="100" w:beforeAutospacing="1" w:after="100" w:afterAutospacing="1"/>
      <w:jc w:val="left"/>
    </w:pPr>
    <w:rPr>
      <w:rFonts w:ascii="宋体" w:hAnsi="宋体"/>
      <w:sz w:val="24"/>
      <w:szCs w:val="20"/>
    </w:rPr>
  </w:style>
  <w:style w:type="paragraph" w:customStyle="1" w:styleId="621">
    <w:name w:val="其他正文"/>
    <w:basedOn w:val="1"/>
    <w:autoRedefine/>
    <w:qFormat/>
    <w:uiPriority w:val="0"/>
    <w:pPr>
      <w:spacing w:line="440" w:lineRule="exact"/>
      <w:ind w:firstLine="200" w:firstLineChars="200"/>
    </w:pPr>
    <w:rPr>
      <w:rFonts w:ascii="Arial" w:hAnsi="Arial" w:cs="Arial"/>
      <w:kern w:val="0"/>
      <w:sz w:val="24"/>
      <w:szCs w:val="20"/>
    </w:rPr>
  </w:style>
  <w:style w:type="paragraph" w:customStyle="1" w:styleId="622">
    <w:name w:val="Char Char Char Char Char Char1"/>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23">
    <w:name w:val="样式12"/>
    <w:basedOn w:val="1"/>
    <w:autoRedefine/>
    <w:qFormat/>
    <w:uiPriority w:val="99"/>
    <w:pPr>
      <w:spacing w:line="360" w:lineRule="auto"/>
    </w:pPr>
    <w:rPr>
      <w:rFonts w:ascii="Arial" w:hAnsi="Arial"/>
      <w:b/>
      <w:szCs w:val="20"/>
    </w:rPr>
  </w:style>
  <w:style w:type="paragraph" w:customStyle="1" w:styleId="624">
    <w:name w:val="Char Char"/>
    <w:basedOn w:val="1"/>
    <w:autoRedefine/>
    <w:semiHidden/>
    <w:qFormat/>
    <w:uiPriority w:val="0"/>
    <w:pPr>
      <w:tabs>
        <w:tab w:val="left" w:pos="426"/>
      </w:tabs>
      <w:ind w:left="426" w:hanging="420"/>
    </w:pPr>
    <w:rPr>
      <w:sz w:val="24"/>
    </w:rPr>
  </w:style>
  <w:style w:type="paragraph" w:customStyle="1" w:styleId="625">
    <w:name w:val="普通(网站)21"/>
    <w:basedOn w:val="1"/>
    <w:autoRedefine/>
    <w:qFormat/>
    <w:uiPriority w:val="0"/>
    <w:pPr>
      <w:widowControl/>
      <w:spacing w:before="100" w:beforeAutospacing="1" w:after="100" w:afterAutospacing="1"/>
      <w:jc w:val="left"/>
    </w:pPr>
    <w:rPr>
      <w:rFonts w:ascii="宋体" w:hAnsi="宋体"/>
      <w:sz w:val="24"/>
      <w:szCs w:val="20"/>
    </w:rPr>
  </w:style>
  <w:style w:type="paragraph" w:customStyle="1" w:styleId="626">
    <w:name w:val="xl7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kern w:val="0"/>
      <w:sz w:val="24"/>
    </w:rPr>
  </w:style>
  <w:style w:type="paragraph" w:customStyle="1" w:styleId="627">
    <w:name w:val="xl7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4"/>
    </w:rPr>
  </w:style>
  <w:style w:type="paragraph" w:customStyle="1" w:styleId="628">
    <w:name w:val="表头 y"/>
    <w:autoRedefine/>
    <w:qFormat/>
    <w:uiPriority w:val="0"/>
    <w:pPr>
      <w:spacing w:line="440" w:lineRule="exact"/>
      <w:ind w:firstLine="200" w:firstLineChars="200"/>
      <w:jc w:val="center"/>
    </w:pPr>
    <w:rPr>
      <w:rFonts w:ascii="Times New Roman" w:hAnsi="Times New Roman" w:eastAsia="宋体" w:cs="Times New Roman"/>
      <w:b/>
      <w:kern w:val="2"/>
      <w:sz w:val="21"/>
      <w:szCs w:val="21"/>
      <w:lang w:val="en-US" w:eastAsia="zh-CN" w:bidi="ar-SA"/>
    </w:rPr>
  </w:style>
  <w:style w:type="paragraph" w:customStyle="1" w:styleId="629">
    <w:name w:val="编号1"/>
    <w:basedOn w:val="1"/>
    <w:autoRedefine/>
    <w:qFormat/>
    <w:uiPriority w:val="0"/>
    <w:pPr>
      <w:tabs>
        <w:tab w:val="left" w:pos="900"/>
      </w:tabs>
      <w:ind w:left="900" w:hanging="360"/>
    </w:pPr>
    <w:rPr>
      <w:szCs w:val="20"/>
    </w:rPr>
  </w:style>
  <w:style w:type="paragraph" w:customStyle="1" w:styleId="630">
    <w:name w:val="表格001"/>
    <w:basedOn w:val="1"/>
    <w:autoRedefine/>
    <w:qFormat/>
    <w:uiPriority w:val="0"/>
    <w:pPr>
      <w:jc w:val="center"/>
    </w:pPr>
    <w:rPr>
      <w:kern w:val="0"/>
      <w:sz w:val="20"/>
    </w:rPr>
  </w:style>
  <w:style w:type="paragraph" w:customStyle="1" w:styleId="631">
    <w:name w:val="样式 正文01 + Times New Roman 首行缩进:  2 字符"/>
    <w:basedOn w:val="143"/>
    <w:autoRedefine/>
    <w:qFormat/>
    <w:uiPriority w:val="0"/>
    <w:pPr>
      <w:spacing w:line="460" w:lineRule="exact"/>
      <w:ind w:firstLine="200" w:firstLineChars="200"/>
    </w:pPr>
    <w:rPr>
      <w:rFonts w:cs="宋体"/>
      <w:sz w:val="24"/>
      <w:szCs w:val="24"/>
    </w:rPr>
  </w:style>
  <w:style w:type="paragraph" w:customStyle="1" w:styleId="632">
    <w:name w:val="1正文段落"/>
    <w:basedOn w:val="1"/>
    <w:autoRedefine/>
    <w:qFormat/>
    <w:uiPriority w:val="99"/>
    <w:pPr>
      <w:spacing w:line="360" w:lineRule="auto"/>
      <w:ind w:firstLine="480" w:firstLineChars="200"/>
      <w:jc w:val="left"/>
    </w:pPr>
    <w:rPr>
      <w:kern w:val="0"/>
      <w:sz w:val="24"/>
    </w:rPr>
  </w:style>
  <w:style w:type="paragraph" w:customStyle="1" w:styleId="633">
    <w:name w:val="2级标题"/>
    <w:basedOn w:val="1"/>
    <w:autoRedefine/>
    <w:qFormat/>
    <w:uiPriority w:val="0"/>
    <w:pPr>
      <w:spacing w:before="60" w:line="460" w:lineRule="exact"/>
      <w:outlineLvl w:val="1"/>
    </w:pPr>
    <w:rPr>
      <w:rFonts w:ascii="Arial" w:hAnsi="Arial"/>
      <w:b/>
      <w:sz w:val="28"/>
      <w:szCs w:val="20"/>
    </w:rPr>
  </w:style>
  <w:style w:type="paragraph" w:customStyle="1" w:styleId="634">
    <w:name w:val="样式 正文（首行缩进两字） + 行距: 固定值 20 磅"/>
    <w:basedOn w:val="5"/>
    <w:autoRedefine/>
    <w:qFormat/>
    <w:uiPriority w:val="0"/>
    <w:pPr>
      <w:spacing w:after="62" w:afterLines="20" w:line="400" w:lineRule="exact"/>
      <w:ind w:firstLine="480" w:firstLineChars="200"/>
    </w:pPr>
    <w:rPr>
      <w:sz w:val="24"/>
    </w:rPr>
  </w:style>
  <w:style w:type="paragraph" w:customStyle="1" w:styleId="635">
    <w:name w:val="Table Paragraph"/>
    <w:basedOn w:val="1"/>
    <w:next w:val="1"/>
    <w:autoRedefine/>
    <w:qFormat/>
    <w:uiPriority w:val="1"/>
    <w:pPr>
      <w:widowControl/>
      <w:jc w:val="left"/>
    </w:pPr>
    <w:rPr>
      <w:rFonts w:ascii="Calibri" w:hAnsi="Calibri"/>
      <w:kern w:val="0"/>
      <w:sz w:val="22"/>
      <w:szCs w:val="22"/>
    </w:rPr>
  </w:style>
  <w:style w:type="paragraph" w:customStyle="1" w:styleId="636">
    <w:name w:val="font0"/>
    <w:basedOn w:val="1"/>
    <w:autoRedefine/>
    <w:qFormat/>
    <w:uiPriority w:val="0"/>
    <w:pPr>
      <w:widowControl/>
      <w:spacing w:before="100" w:beforeAutospacing="1" w:after="100" w:afterAutospacing="1"/>
      <w:jc w:val="left"/>
    </w:pPr>
    <w:rPr>
      <w:rFonts w:hint="eastAsia" w:ascii="宋体" w:hAnsi="宋体"/>
      <w:kern w:val="0"/>
      <w:sz w:val="24"/>
    </w:rPr>
  </w:style>
  <w:style w:type="paragraph" w:customStyle="1" w:styleId="637">
    <w:name w:val="xl27"/>
    <w:basedOn w:val="1"/>
    <w:autoRedefine/>
    <w:qFormat/>
    <w:uiPriority w:val="0"/>
    <w:pPr>
      <w:widowControl/>
      <w:pBdr>
        <w:bottom w:val="single" w:color="auto" w:sz="4" w:space="0"/>
        <w:right w:val="single" w:color="auto" w:sz="4" w:space="0"/>
      </w:pBdr>
      <w:spacing w:before="100" w:beforeAutospacing="1" w:after="100" w:afterAutospacing="1"/>
      <w:jc w:val="center"/>
    </w:pPr>
    <w:rPr>
      <w:rFonts w:hint="eastAsia" w:ascii="仿宋_GB2312" w:hAnsi="Arial Unicode MS"/>
      <w:kern w:val="0"/>
      <w:szCs w:val="20"/>
    </w:rPr>
  </w:style>
  <w:style w:type="paragraph" w:customStyle="1" w:styleId="638">
    <w:name w:val="xl55"/>
    <w:basedOn w:val="1"/>
    <w:autoRedefine/>
    <w:qFormat/>
    <w:uiPriority w:val="0"/>
    <w:pPr>
      <w:widowControl/>
      <w:pBdr>
        <w:bottom w:val="single" w:color="auto" w:sz="4" w:space="0"/>
      </w:pBdr>
      <w:spacing w:before="100" w:beforeAutospacing="1" w:after="100" w:afterAutospacing="1"/>
      <w:jc w:val="left"/>
    </w:pPr>
    <w:rPr>
      <w:rFonts w:ascii="宋体" w:hAnsi="宋体"/>
      <w:kern w:val="0"/>
      <w:sz w:val="24"/>
    </w:rPr>
  </w:style>
  <w:style w:type="paragraph" w:customStyle="1" w:styleId="639">
    <w:name w:val="Char Char Char Char1"/>
    <w:basedOn w:val="1"/>
    <w:autoRedefine/>
    <w:qFormat/>
    <w:uiPriority w:val="0"/>
    <w:pPr>
      <w:spacing w:line="360" w:lineRule="auto"/>
      <w:ind w:firstLine="200" w:firstLineChars="200"/>
    </w:pPr>
    <w:rPr>
      <w:rFonts w:ascii="宋体" w:hAnsi="宋体" w:cs="宋体"/>
      <w:sz w:val="24"/>
    </w:rPr>
  </w:style>
  <w:style w:type="paragraph" w:customStyle="1" w:styleId="640">
    <w:name w:val="xl77"/>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4"/>
    </w:rPr>
  </w:style>
  <w:style w:type="paragraph" w:customStyle="1" w:styleId="641">
    <w:name w:val="Char4"/>
    <w:basedOn w:val="1"/>
    <w:autoRedefine/>
    <w:qFormat/>
    <w:uiPriority w:val="0"/>
    <w:pPr>
      <w:spacing w:line="360" w:lineRule="auto"/>
      <w:ind w:firstLine="200" w:firstLineChars="200"/>
    </w:pPr>
    <w:rPr>
      <w:rFonts w:ascii="宋体" w:hAnsi="宋体" w:cs="宋体"/>
      <w:sz w:val="24"/>
    </w:rPr>
  </w:style>
  <w:style w:type="paragraph" w:customStyle="1" w:styleId="642">
    <w:name w:val="纯文本21"/>
    <w:basedOn w:val="1"/>
    <w:autoRedefine/>
    <w:qFormat/>
    <w:uiPriority w:val="0"/>
    <w:pPr>
      <w:adjustRightInd w:val="0"/>
      <w:textAlignment w:val="baseline"/>
    </w:pPr>
    <w:rPr>
      <w:rFonts w:ascii="宋体" w:hAnsi="Courier New"/>
      <w:szCs w:val="20"/>
    </w:rPr>
  </w:style>
  <w:style w:type="paragraph" w:customStyle="1" w:styleId="643">
    <w:name w:val="表后正文"/>
    <w:basedOn w:val="36"/>
    <w:autoRedefine/>
    <w:qFormat/>
    <w:uiPriority w:val="0"/>
    <w:pPr>
      <w:adjustRightInd w:val="0"/>
      <w:spacing w:before="156" w:beforeLines="50"/>
      <w:ind w:firstLine="560"/>
      <w:jc w:val="both"/>
      <w:textAlignment w:val="baseline"/>
    </w:pPr>
    <w:rPr>
      <w:rFonts w:eastAsia="楷体_GB2312"/>
      <w:color w:val="000000"/>
      <w:sz w:val="28"/>
      <w:szCs w:val="20"/>
    </w:rPr>
  </w:style>
  <w:style w:type="paragraph" w:customStyle="1" w:styleId="644">
    <w:name w:val="表题"/>
    <w:basedOn w:val="1"/>
    <w:autoRedefine/>
    <w:qFormat/>
    <w:uiPriority w:val="0"/>
    <w:pPr>
      <w:snapToGrid w:val="0"/>
      <w:jc w:val="center"/>
    </w:pPr>
    <w:rPr>
      <w:rFonts w:eastAsia="黑体"/>
      <w:sz w:val="24"/>
      <w:szCs w:val="20"/>
    </w:rPr>
  </w:style>
  <w:style w:type="paragraph" w:customStyle="1" w:styleId="645">
    <w:name w:val="Char22"/>
    <w:basedOn w:val="1"/>
    <w:autoRedefine/>
    <w:qFormat/>
    <w:uiPriority w:val="0"/>
    <w:pPr>
      <w:spacing w:line="360" w:lineRule="auto"/>
      <w:ind w:firstLine="200" w:firstLineChars="200"/>
    </w:pPr>
    <w:rPr>
      <w:rFonts w:ascii="宋体" w:hAnsi="宋体" w:cs="宋体"/>
      <w:sz w:val="24"/>
    </w:rPr>
  </w:style>
  <w:style w:type="paragraph" w:customStyle="1" w:styleId="646">
    <w:name w:val="样式 样式 标题 2 + Times New Roman + 段前: 0.5 行 段后: 0.5 行1"/>
    <w:basedOn w:val="1"/>
    <w:autoRedefine/>
    <w:qFormat/>
    <w:uiPriority w:val="99"/>
    <w:pPr>
      <w:keepNext/>
      <w:keepLines/>
      <w:spacing w:line="360" w:lineRule="auto"/>
      <w:outlineLvl w:val="1"/>
    </w:pPr>
    <w:rPr>
      <w:rFonts w:cs="宋体"/>
      <w:b/>
      <w:bCs/>
      <w:sz w:val="28"/>
      <w:szCs w:val="20"/>
    </w:rPr>
  </w:style>
  <w:style w:type="paragraph" w:customStyle="1" w:styleId="647">
    <w:name w:val="阿缩进"/>
    <w:basedOn w:val="1"/>
    <w:next w:val="1"/>
    <w:autoRedefine/>
    <w:qFormat/>
    <w:uiPriority w:val="0"/>
    <w:pPr>
      <w:spacing w:line="360" w:lineRule="auto"/>
      <w:ind w:firstLine="880" w:firstLineChars="200"/>
    </w:pPr>
    <w:rPr>
      <w:sz w:val="22"/>
      <w:szCs w:val="20"/>
    </w:rPr>
  </w:style>
  <w:style w:type="paragraph" w:customStyle="1" w:styleId="648">
    <w:name w:val="表格下方正文"/>
    <w:basedOn w:val="1"/>
    <w:autoRedefine/>
    <w:qFormat/>
    <w:uiPriority w:val="0"/>
    <w:pPr>
      <w:spacing w:before="400" w:line="460" w:lineRule="exact"/>
      <w:ind w:firstLine="200" w:firstLineChars="200"/>
    </w:pPr>
    <w:rPr>
      <w:rFonts w:eastAsia="仿宋_GB2312"/>
      <w:sz w:val="24"/>
      <w:szCs w:val="20"/>
    </w:rPr>
  </w:style>
  <w:style w:type="paragraph" w:customStyle="1" w:styleId="649">
    <w:name w:val="表4.6-1"/>
    <w:autoRedefine/>
    <w:qFormat/>
    <w:uiPriority w:val="0"/>
    <w:pPr>
      <w:numPr>
        <w:ilvl w:val="0"/>
        <w:numId w:val="4"/>
      </w:numPr>
      <w:spacing w:line="320" w:lineRule="exact"/>
      <w:ind w:left="0" w:firstLine="0"/>
      <w:jc w:val="center"/>
      <w:outlineLvl w:val="4"/>
    </w:pPr>
    <w:rPr>
      <w:rFonts w:ascii="Arial" w:hAnsi="Arial" w:eastAsia="宋体" w:cs="Times New Roman"/>
      <w:kern w:val="2"/>
      <w:sz w:val="24"/>
      <w:szCs w:val="21"/>
      <w:lang w:val="en-US" w:eastAsia="zh-CN" w:bidi="ar-SA"/>
    </w:rPr>
  </w:style>
  <w:style w:type="paragraph" w:customStyle="1" w:styleId="650">
    <w:name w:val="样式13"/>
    <w:basedOn w:val="1"/>
    <w:autoRedefine/>
    <w:qFormat/>
    <w:uiPriority w:val="99"/>
    <w:pPr>
      <w:spacing w:line="360" w:lineRule="auto"/>
      <w:ind w:firstLine="480" w:firstLineChars="200"/>
    </w:pPr>
    <w:rPr>
      <w:rFonts w:ascii="Arial" w:hAnsi="Arial" w:cs="Arial"/>
      <w:sz w:val="24"/>
    </w:rPr>
  </w:style>
  <w:style w:type="paragraph" w:customStyle="1" w:styleId="651">
    <w:name w:val="Char Char Char Char Char Char1 Char2"/>
    <w:basedOn w:val="1"/>
    <w:autoRedefine/>
    <w:qFormat/>
    <w:uiPriority w:val="0"/>
    <w:pPr>
      <w:widowControl/>
      <w:spacing w:after="160" w:line="240" w:lineRule="exact"/>
      <w:jc w:val="left"/>
    </w:pPr>
    <w:rPr>
      <w:rFonts w:ascii="Arial" w:hAnsi="Arial" w:eastAsia="Times New Roman" w:cs="Verdana"/>
      <w:b/>
      <w:kern w:val="0"/>
      <w:sz w:val="24"/>
      <w:lang w:eastAsia="en-US"/>
    </w:rPr>
  </w:style>
  <w:style w:type="paragraph" w:customStyle="1" w:styleId="652">
    <w:name w:val="xl26"/>
    <w:basedOn w:val="1"/>
    <w:autoRedefine/>
    <w:qFormat/>
    <w:uiPriority w:val="0"/>
    <w:pPr>
      <w:widowControl/>
      <w:pBdr>
        <w:bottom w:val="single" w:color="auto" w:sz="4" w:space="0"/>
        <w:right w:val="single" w:color="auto" w:sz="4" w:space="0"/>
      </w:pBdr>
      <w:spacing w:before="100" w:beforeAutospacing="1" w:after="100" w:afterAutospacing="1"/>
      <w:jc w:val="center"/>
    </w:pPr>
    <w:rPr>
      <w:rFonts w:ascii="宋体" w:hAnsi="宋体"/>
      <w:kern w:val="0"/>
      <w:sz w:val="20"/>
      <w:szCs w:val="20"/>
    </w:rPr>
  </w:style>
  <w:style w:type="paragraph" w:customStyle="1" w:styleId="653">
    <w:name w:val="表格标题-都"/>
    <w:basedOn w:val="516"/>
    <w:autoRedefine/>
    <w:qFormat/>
    <w:uiPriority w:val="0"/>
    <w:pPr>
      <w:widowControl/>
      <w:tabs>
        <w:tab w:val="left" w:pos="0"/>
      </w:tabs>
      <w:snapToGrid w:val="0"/>
      <w:spacing w:line="440" w:lineRule="exact"/>
    </w:pPr>
    <w:rPr>
      <w:rFonts w:eastAsia="黑体" w:cs="宋体"/>
      <w:b/>
      <w:kern w:val="0"/>
      <w:szCs w:val="24"/>
    </w:rPr>
  </w:style>
  <w:style w:type="paragraph" w:customStyle="1" w:styleId="654">
    <w:name w:val="Char Char1"/>
    <w:basedOn w:val="1"/>
    <w:autoRedefine/>
    <w:qFormat/>
    <w:uiPriority w:val="0"/>
    <w:pPr>
      <w:spacing w:line="360" w:lineRule="auto"/>
      <w:ind w:firstLine="200" w:firstLineChars="200"/>
    </w:pPr>
    <w:rPr>
      <w:rFonts w:ascii="宋体" w:hAnsi="宋体" w:cs="宋体"/>
      <w:sz w:val="24"/>
    </w:rPr>
  </w:style>
  <w:style w:type="paragraph" w:customStyle="1" w:styleId="655">
    <w:name w:val="xl49"/>
    <w:basedOn w:val="1"/>
    <w:autoRedefine/>
    <w:qFormat/>
    <w:uiPriority w:val="0"/>
    <w:pPr>
      <w:widowControl/>
      <w:pBdr>
        <w:bottom w:val="single" w:color="auto" w:sz="8" w:space="0"/>
      </w:pBdr>
      <w:spacing w:before="100" w:beforeAutospacing="1" w:after="100" w:afterAutospacing="1"/>
      <w:jc w:val="center"/>
    </w:pPr>
    <w:rPr>
      <w:rFonts w:ascii="宋体" w:hAnsi="宋体"/>
      <w:kern w:val="0"/>
      <w:sz w:val="24"/>
    </w:rPr>
  </w:style>
  <w:style w:type="paragraph" w:customStyle="1" w:styleId="656">
    <w:name w:val="表文"/>
    <w:basedOn w:val="23"/>
    <w:next w:val="5"/>
    <w:autoRedefine/>
    <w:qFormat/>
    <w:uiPriority w:val="99"/>
    <w:pPr>
      <w:widowControl w:val="0"/>
      <w:snapToGrid/>
      <w:spacing w:line="240" w:lineRule="auto"/>
      <w:jc w:val="center"/>
    </w:pPr>
    <w:rPr>
      <w:rFonts w:eastAsia="仿宋_GB2312"/>
      <w:kern w:val="2"/>
      <w:sz w:val="28"/>
      <w:szCs w:val="28"/>
    </w:rPr>
  </w:style>
  <w:style w:type="paragraph" w:customStyle="1" w:styleId="657">
    <w:name w:val="xl7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kern w:val="0"/>
    </w:rPr>
  </w:style>
  <w:style w:type="paragraph" w:customStyle="1" w:styleId="658">
    <w:name w:val="图文框"/>
    <w:basedOn w:val="1"/>
    <w:autoRedefine/>
    <w:qFormat/>
    <w:uiPriority w:val="99"/>
    <w:pPr>
      <w:jc w:val="center"/>
    </w:pPr>
  </w:style>
  <w:style w:type="paragraph" w:customStyle="1" w:styleId="659">
    <w:name w:val="尾注M01"/>
    <w:basedOn w:val="1"/>
    <w:autoRedefine/>
    <w:qFormat/>
    <w:uiPriority w:val="0"/>
    <w:pPr>
      <w:jc w:val="left"/>
    </w:pPr>
    <w:rPr>
      <w:rFonts w:eastAsia="黑体" w:cs="Arial"/>
      <w:kern w:val="0"/>
      <w:sz w:val="20"/>
      <w:szCs w:val="20"/>
    </w:rPr>
  </w:style>
  <w:style w:type="paragraph" w:customStyle="1" w:styleId="660">
    <w:name w:val="注释"/>
    <w:basedOn w:val="1"/>
    <w:autoRedefine/>
    <w:qFormat/>
    <w:uiPriority w:val="0"/>
    <w:pPr>
      <w:adjustRightInd w:val="0"/>
      <w:snapToGrid w:val="0"/>
      <w:spacing w:line="360" w:lineRule="exact"/>
    </w:pPr>
  </w:style>
  <w:style w:type="paragraph" w:customStyle="1" w:styleId="661">
    <w:name w:val="报告表文字1"/>
    <w:basedOn w:val="1"/>
    <w:autoRedefine/>
    <w:qFormat/>
    <w:uiPriority w:val="0"/>
    <w:pPr>
      <w:jc w:val="center"/>
    </w:pPr>
    <w:rPr>
      <w:rFonts w:ascii="宋体" w:hAnsi="宋体"/>
      <w:sz w:val="24"/>
    </w:rPr>
  </w:style>
  <w:style w:type="paragraph" w:customStyle="1" w:styleId="662">
    <w:name w:val="xl75"/>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cs="宋体"/>
      <w:kern w:val="0"/>
      <w:sz w:val="24"/>
    </w:rPr>
  </w:style>
  <w:style w:type="paragraph" w:customStyle="1" w:styleId="663">
    <w:name w:val="表标题"/>
    <w:basedOn w:val="1"/>
    <w:autoRedefine/>
    <w:qFormat/>
    <w:uiPriority w:val="0"/>
    <w:pPr>
      <w:adjustRightInd w:val="0"/>
      <w:snapToGrid w:val="0"/>
      <w:spacing w:line="320" w:lineRule="exact"/>
      <w:jc w:val="center"/>
    </w:pPr>
    <w:rPr>
      <w:b/>
      <w:bCs/>
    </w:rPr>
  </w:style>
  <w:style w:type="paragraph" w:customStyle="1" w:styleId="664">
    <w:name w:val="1111111111"/>
    <w:basedOn w:val="1"/>
    <w:autoRedefine/>
    <w:qFormat/>
    <w:uiPriority w:val="0"/>
    <w:pPr>
      <w:spacing w:line="360" w:lineRule="auto"/>
      <w:ind w:firstLine="560" w:firstLineChars="200"/>
    </w:pPr>
    <w:rPr>
      <w:kern w:val="0"/>
      <w:sz w:val="28"/>
      <w:szCs w:val="20"/>
    </w:rPr>
  </w:style>
  <w:style w:type="paragraph" w:customStyle="1" w:styleId="665">
    <w:name w:val="图题i"/>
    <w:basedOn w:val="1"/>
    <w:autoRedefine/>
    <w:qFormat/>
    <w:uiPriority w:val="99"/>
    <w:rPr>
      <w:rFonts w:eastAsia="黑体"/>
      <w:sz w:val="28"/>
    </w:rPr>
  </w:style>
  <w:style w:type="paragraph" w:customStyle="1" w:styleId="666">
    <w:name w:val="样式 标题 3 + 首行缩进:  2 字符"/>
    <w:basedOn w:val="2"/>
    <w:autoRedefine/>
    <w:qFormat/>
    <w:uiPriority w:val="0"/>
    <w:pPr>
      <w:spacing w:before="30" w:after="30" w:line="500" w:lineRule="exact"/>
    </w:pPr>
    <w:rPr>
      <w:bCs w:val="0"/>
      <w:sz w:val="30"/>
      <w:szCs w:val="20"/>
    </w:rPr>
  </w:style>
  <w:style w:type="paragraph" w:customStyle="1" w:styleId="667">
    <w:name w:val="Char Char Char Char Char Char1 Char Char Char Char1"/>
    <w:basedOn w:val="1"/>
    <w:autoRedefine/>
    <w:qFormat/>
    <w:uiPriority w:val="0"/>
    <w:pPr>
      <w:spacing w:line="360" w:lineRule="auto"/>
      <w:ind w:firstLine="200" w:firstLineChars="200"/>
    </w:pPr>
  </w:style>
  <w:style w:type="table" w:customStyle="1" w:styleId="668">
    <w:name w:val="表格样式2"/>
    <w:basedOn w:val="59"/>
    <w:autoRedefine/>
    <w:qFormat/>
    <w:uiPriority w:val="0"/>
    <w:pPr>
      <w:jc w:val="center"/>
    </w:pPr>
    <w:rPr>
      <w:sz w:val="21"/>
    </w:rPr>
    <w:tblPr>
      <w:tblBorders>
        <w:top w:val="single" w:color="auto" w:sz="12" w:space="0"/>
        <w:bottom w:val="single" w:color="auto" w:sz="12" w:space="0"/>
        <w:insideH w:val="single" w:color="auto" w:sz="4" w:space="0"/>
        <w:insideV w:val="single" w:color="auto" w:sz="4" w:space="0"/>
      </w:tblBorders>
    </w:tblPr>
    <w:tcPr>
      <w:vAlign w:val="center"/>
    </w:tcPr>
  </w:style>
  <w:style w:type="table" w:customStyle="1" w:styleId="669">
    <w:name w:val="表格样式1"/>
    <w:basedOn w:val="59"/>
    <w:autoRedefine/>
    <w:qFormat/>
    <w:uiPriority w:val="0"/>
    <w:pPr>
      <w:widowControl w:val="0"/>
      <w:jc w:val="center"/>
    </w:pPr>
    <w:rPr>
      <w:rFonts w:ascii="Arial" w:hAnsi="Arial"/>
      <w:sz w:val="21"/>
    </w:rPr>
    <w:tblPr>
      <w:jc w:val="center"/>
      <w:tblBorders>
        <w:top w:val="single" w:color="auto" w:sz="12" w:space="0"/>
        <w:bottom w:val="single" w:color="auto" w:sz="12" w:space="0"/>
        <w:insideH w:val="single" w:color="auto" w:sz="4" w:space="0"/>
        <w:insideV w:val="single" w:color="auto" w:sz="4" w:space="0"/>
      </w:tblBorders>
    </w:tblPr>
    <w:trPr>
      <w:jc w:val="center"/>
    </w:trPr>
    <w:tcPr>
      <w:vAlign w:val="center"/>
    </w:tcPr>
    <w:tblStylePr w:type="firstRow">
      <w:pPr>
        <w:jc w:val="center"/>
      </w:pPr>
      <w:rPr>
        <w:rFonts w:ascii="time" w:hAnsi="time" w:eastAsia="TimesNewRomanPSMT"/>
        <w:sz w:val="24"/>
      </w:rPr>
      <w:tblPr/>
      <w:trPr>
        <w:tblHeader/>
      </w:trPr>
      <w:tcPr>
        <w:tcBorders>
          <w:top w:val="nil"/>
          <w:left w:val="single" w:color="auto" w:sz="12" w:space="0"/>
          <w:bottom w:val="nil"/>
          <w:right w:val="nil"/>
          <w:insideH w:val="nil"/>
          <w:insideV w:val="nil"/>
          <w:tl2br w:val="nil"/>
          <w:tr2bl w:val="nil"/>
        </w:tcBorders>
      </w:tcPr>
    </w:tblStylePr>
    <w:tblStylePr w:type="lastRow">
      <w:rPr>
        <w:rFonts w:ascii="time" w:hAnsi="time" w:eastAsia="TimesNewRomanPSMT"/>
        <w:sz w:val="24"/>
      </w:rPr>
    </w:tblStylePr>
    <w:tblStylePr w:type="firstCol">
      <w:rPr>
        <w:rFonts w:ascii="time" w:hAnsi="time" w:eastAsia="TimesNewRomanPSMT"/>
        <w:sz w:val="24"/>
      </w:rPr>
    </w:tblStylePr>
    <w:tblStylePr w:type="lastCol">
      <w:rPr>
        <w:rFonts w:ascii="time" w:hAnsi="time" w:eastAsia="TimesNewRomanPSMT"/>
        <w:sz w:val="24"/>
      </w:rPr>
    </w:tblStylePr>
  </w:style>
  <w:style w:type="table" w:customStyle="1" w:styleId="670">
    <w:name w:val="网格型（pxg）1"/>
    <w:basedOn w:val="59"/>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71">
    <w:name w:val="浅色列表1"/>
    <w:autoRedefine/>
    <w:qFormat/>
    <w:uiPriority w:val="99"/>
    <w:tblPr>
      <w:tblBorders>
        <w:top w:val="single" w:color="000000" w:sz="8" w:space="0"/>
        <w:left w:val="single" w:color="000000" w:sz="8" w:space="0"/>
        <w:bottom w:val="single" w:color="000000" w:sz="8" w:space="0"/>
        <w:right w:val="single" w:color="000000" w:sz="8" w:space="0"/>
      </w:tblBorders>
      <w:tblCellMar>
        <w:top w:w="0" w:type="dxa"/>
        <w:left w:w="108" w:type="dxa"/>
        <w:bottom w:w="0" w:type="dxa"/>
        <w:right w:w="108" w:type="dxa"/>
      </w:tblCellMar>
    </w:tblPr>
  </w:style>
  <w:style w:type="table" w:customStyle="1" w:styleId="672">
    <w:name w:val="Table Normal"/>
    <w:autoRedefine/>
    <w:unhideWhenUsed/>
    <w:qFormat/>
    <w:uiPriority w:val="2"/>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paragraph" w:customStyle="1" w:styleId="673">
    <w:name w:val="报告书表格"/>
    <w:basedOn w:val="1"/>
    <w:autoRedefine/>
    <w:qFormat/>
    <w:uiPriority w:val="0"/>
    <w:pPr>
      <w:adjustRightInd w:val="0"/>
      <w:spacing w:line="400" w:lineRule="exact"/>
      <w:jc w:val="center"/>
      <w:textAlignment w:val="baseline"/>
    </w:pPr>
    <w:rPr>
      <w:rFonts w:eastAsia="仿宋_GB2312"/>
      <w:kern w:val="0"/>
      <w:sz w:val="24"/>
      <w:szCs w:val="20"/>
    </w:rPr>
  </w:style>
  <w:style w:type="paragraph" w:customStyle="1" w:styleId="674">
    <w:name w:val="Default1"/>
    <w:autoRedefine/>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675">
    <w:name w:val="样式5"/>
    <w:basedOn w:val="676"/>
    <w:next w:val="1"/>
    <w:autoRedefine/>
    <w:qFormat/>
    <w:uiPriority w:val="0"/>
    <w:pPr>
      <w:tabs>
        <w:tab w:val="left" w:pos="420"/>
        <w:tab w:val="left" w:pos="1260"/>
      </w:tabs>
      <w:ind w:left="420" w:hanging="420"/>
    </w:pPr>
    <w:rPr>
      <w:sz w:val="20"/>
      <w:lang w:val="zh-CN"/>
    </w:rPr>
  </w:style>
  <w:style w:type="paragraph" w:customStyle="1" w:styleId="676">
    <w:name w:val="样式3"/>
    <w:basedOn w:val="35"/>
    <w:autoRedefine/>
    <w:qFormat/>
    <w:uiPriority w:val="0"/>
    <w:pPr>
      <w:keepLines/>
      <w:spacing w:line="360" w:lineRule="auto"/>
      <w:ind w:firstLine="425"/>
    </w:pPr>
    <w:rPr>
      <w:rFonts w:ascii="宋体"/>
      <w:b/>
    </w:rPr>
  </w:style>
  <w:style w:type="paragraph" w:customStyle="1" w:styleId="677">
    <w:name w:val="WPSOffice手动目录 1"/>
    <w:autoRedefine/>
    <w:qFormat/>
    <w:uiPriority w:val="0"/>
    <w:rPr>
      <w:rFonts w:ascii="Times New Roman" w:hAnsi="Times New Roman" w:eastAsia="宋体" w:cs="Times New Roman"/>
      <w:lang w:val="en-US" w:eastAsia="zh-CN" w:bidi="ar-SA"/>
    </w:rPr>
  </w:style>
  <w:style w:type="paragraph" w:customStyle="1" w:styleId="678">
    <w:name w:val="A环评n的黑体"/>
    <w:basedOn w:val="1"/>
    <w:autoRedefine/>
    <w:qFormat/>
    <w:uiPriority w:val="0"/>
    <w:pPr>
      <w:spacing w:line="360" w:lineRule="auto"/>
      <w:ind w:firstLine="200" w:firstLineChars="200"/>
    </w:pPr>
    <w:rPr>
      <w:b/>
      <w:snapToGrid/>
      <w:sz w:val="24"/>
    </w:rPr>
  </w:style>
  <w:style w:type="paragraph" w:customStyle="1" w:styleId="679">
    <w:name w:val="A环评n"/>
    <w:basedOn w:val="1"/>
    <w:link w:val="680"/>
    <w:autoRedefine/>
    <w:qFormat/>
    <w:uiPriority w:val="0"/>
    <w:pPr>
      <w:spacing w:line="360" w:lineRule="auto"/>
      <w:ind w:firstLine="200" w:firstLineChars="200"/>
    </w:pPr>
    <w:rPr>
      <w:snapToGrid/>
      <w:sz w:val="24"/>
    </w:rPr>
  </w:style>
  <w:style w:type="character" w:customStyle="1" w:styleId="680">
    <w:name w:val="A环评n 字符"/>
    <w:link w:val="679"/>
    <w:autoRedefine/>
    <w:qFormat/>
    <w:uiPriority w:val="0"/>
    <w:rPr>
      <w:kern w:val="2"/>
      <w:sz w:val="24"/>
      <w:szCs w:val="21"/>
    </w:rPr>
  </w:style>
  <w:style w:type="character" w:customStyle="1" w:styleId="681">
    <w:name w:val="font61"/>
    <w:autoRedefine/>
    <w:qFormat/>
    <w:uiPriority w:val="0"/>
    <w:rPr>
      <w:rFonts w:hint="eastAsia" w:ascii="等线" w:hAnsi="等线" w:eastAsia="等线" w:cs="等线"/>
      <w:color w:val="000000"/>
      <w:sz w:val="22"/>
      <w:szCs w:val="22"/>
      <w:u w:val="none"/>
    </w:rPr>
  </w:style>
  <w:style w:type="character" w:customStyle="1" w:styleId="682">
    <w:name w:val="font71"/>
    <w:autoRedefine/>
    <w:qFormat/>
    <w:uiPriority w:val="0"/>
    <w:rPr>
      <w:rFonts w:hint="eastAsia" w:ascii="等线" w:hAnsi="等线" w:eastAsia="等线" w:cs="等线"/>
      <w:color w:val="000000"/>
      <w:sz w:val="22"/>
      <w:szCs w:val="22"/>
      <w:u w:val="none"/>
    </w:rPr>
  </w:style>
  <w:style w:type="character" w:customStyle="1" w:styleId="683">
    <w:name w:val="font81"/>
    <w:autoRedefine/>
    <w:qFormat/>
    <w:uiPriority w:val="0"/>
    <w:rPr>
      <w:rFonts w:hint="eastAsia" w:ascii="宋体" w:hAnsi="宋体" w:eastAsia="宋体" w:cs="宋体"/>
      <w:color w:val="FF0000"/>
      <w:sz w:val="21"/>
      <w:szCs w:val="21"/>
      <w:u w:val="none"/>
    </w:rPr>
  </w:style>
  <w:style w:type="character" w:customStyle="1" w:styleId="684">
    <w:name w:val="font91"/>
    <w:autoRedefine/>
    <w:qFormat/>
    <w:uiPriority w:val="0"/>
    <w:rPr>
      <w:rFonts w:hint="eastAsia" w:ascii="等线" w:hAnsi="等线" w:eastAsia="等线" w:cs="等线"/>
      <w:color w:val="000000"/>
      <w:sz w:val="21"/>
      <w:szCs w:val="21"/>
      <w:u w:val="none"/>
    </w:rPr>
  </w:style>
  <w:style w:type="paragraph" w:customStyle="1" w:styleId="685">
    <w:name w:val="修订1"/>
    <w:autoRedefine/>
    <w:hidden/>
    <w:unhideWhenUsed/>
    <w:qFormat/>
    <w:uiPriority w:val="99"/>
    <w:rPr>
      <w:rFonts w:ascii="Times New Roman" w:hAnsi="Times New Roman" w:eastAsia="宋体" w:cs="Times New Roman"/>
      <w:snapToGrid w:val="0"/>
      <w:kern w:val="2"/>
      <w:sz w:val="21"/>
      <w:szCs w:val="21"/>
      <w:lang w:val="en-US" w:eastAsia="zh-CN" w:bidi="ar-SA"/>
    </w:rPr>
  </w:style>
  <w:style w:type="paragraph" w:customStyle="1" w:styleId="686">
    <w:name w:val="修订2"/>
    <w:autoRedefine/>
    <w:hidden/>
    <w:unhideWhenUsed/>
    <w:qFormat/>
    <w:uiPriority w:val="99"/>
    <w:rPr>
      <w:rFonts w:ascii="Times New Roman" w:hAnsi="Times New Roman" w:eastAsia="宋体" w:cs="Times New Roman"/>
      <w:snapToGrid w:val="0"/>
      <w:kern w:val="2"/>
      <w:sz w:val="21"/>
      <w:szCs w:val="21"/>
      <w:lang w:val="en-US" w:eastAsia="zh-CN" w:bidi="ar-SA"/>
    </w:rPr>
  </w:style>
  <w:style w:type="paragraph" w:customStyle="1" w:styleId="687">
    <w:name w:val="Table Text"/>
    <w:basedOn w:val="1"/>
    <w:autoRedefine/>
    <w:semiHidden/>
    <w:qFormat/>
    <w:uiPriority w:val="0"/>
    <w:rPr>
      <w:rFonts w:eastAsia="Times New Roman"/>
      <w:lang w:eastAsia="en-US"/>
    </w:rPr>
  </w:style>
  <w:style w:type="paragraph" w:customStyle="1" w:styleId="688">
    <w:name w:val="表表文字"/>
    <w:basedOn w:val="1"/>
    <w:autoRedefine/>
    <w:qFormat/>
    <w:uiPriority w:val="99"/>
    <w:pPr>
      <w:wordWrap w:val="0"/>
      <w:adjustRightInd w:val="0"/>
      <w:snapToGrid w:val="0"/>
      <w:jc w:val="center"/>
    </w:pPr>
    <w:rPr>
      <w:rFonts w:ascii="Calibri" w:hAnsi="Calibri"/>
      <w:kern w:val="0"/>
      <w:sz w:val="20"/>
    </w:rPr>
  </w:style>
  <w:style w:type="paragraph" w:customStyle="1" w:styleId="689">
    <w:name w:val="修订3"/>
    <w:autoRedefine/>
    <w:hidden/>
    <w:unhideWhenUsed/>
    <w:qFormat/>
    <w:uiPriority w:val="99"/>
    <w:rPr>
      <w:rFonts w:ascii="Times New Roman" w:hAnsi="Times New Roman" w:eastAsia="宋体" w:cs="Times New Roman"/>
      <w:snapToGrid w:val="0"/>
      <w:kern w:val="2"/>
      <w:sz w:val="21"/>
      <w:szCs w:val="21"/>
      <w:lang w:val="en-US" w:eastAsia="zh-CN" w:bidi="ar-SA"/>
    </w:rPr>
  </w:style>
  <w:style w:type="paragraph" w:customStyle="1" w:styleId="690">
    <w:name w:val="A环评表中表"/>
    <w:autoRedefine/>
    <w:unhideWhenUsed/>
    <w:qFormat/>
    <w:uiPriority w:val="0"/>
    <w:pPr>
      <w:jc w:val="center"/>
    </w:pPr>
    <w:rPr>
      <w:rFonts w:ascii="Times New Roman" w:hAnsi="Times New Roman" w:eastAsia="宋体" w:cs="Times New Roman"/>
      <w:sz w:val="24"/>
      <w:szCs w:val="24"/>
      <w:lang w:val="en-US" w:eastAsia="zh-CN" w:bidi="ar-SA"/>
    </w:rPr>
  </w:style>
  <w:style w:type="paragraph" w:customStyle="1" w:styleId="691">
    <w:name w:val="修订4"/>
    <w:autoRedefine/>
    <w:hidden/>
    <w:unhideWhenUsed/>
    <w:qFormat/>
    <w:uiPriority w:val="99"/>
    <w:rPr>
      <w:rFonts w:ascii="Times New Roman" w:hAnsi="Times New Roman" w:eastAsia="宋体" w:cs="Times New Roman"/>
      <w:snapToGrid w:val="0"/>
      <w:kern w:val="2"/>
      <w:sz w:val="21"/>
      <w:szCs w:val="21"/>
      <w:lang w:val="en-US" w:eastAsia="zh-CN" w:bidi="ar-SA"/>
    </w:rPr>
  </w:style>
  <w:style w:type="paragraph" w:customStyle="1" w:styleId="692">
    <w:name w:val="表格标题1"/>
    <w:basedOn w:val="1"/>
    <w:autoRedefine/>
    <w:qFormat/>
    <w:uiPriority w:val="0"/>
    <w:pPr>
      <w:spacing w:line="360" w:lineRule="auto"/>
      <w:jc w:val="center"/>
    </w:pPr>
    <w:rPr>
      <w:b/>
    </w:rPr>
  </w:style>
  <w:style w:type="paragraph" w:customStyle="1" w:styleId="693">
    <w:name w:val="表格首行"/>
    <w:basedOn w:val="1"/>
    <w:autoRedefine/>
    <w:qFormat/>
    <w:uiPriority w:val="0"/>
    <w:pPr>
      <w:jc w:val="center"/>
    </w:pPr>
    <w:rPr>
      <w:rFonts w:eastAsia="仿宋_GB2312"/>
      <w:b/>
    </w:rPr>
  </w:style>
  <w:style w:type="paragraph" w:customStyle="1" w:styleId="694">
    <w:name w:val="表格 普通文字"/>
    <w:autoRedefine/>
    <w:qFormat/>
    <w:uiPriority w:val="99"/>
    <w:pPr>
      <w:jc w:val="center"/>
    </w:pPr>
    <w:rPr>
      <w:rFonts w:ascii="Times New Roman" w:hAnsi="Times New Roman" w:eastAsia="仿宋_GB2312" w:cs="Times New Roman"/>
      <w:kern w:val="2"/>
      <w:sz w:val="21"/>
      <w:szCs w:val="21"/>
      <w:lang w:val="en-US" w:eastAsia="zh-CN" w:bidi="ar-SA"/>
    </w:rPr>
  </w:style>
  <w:style w:type="paragraph" w:customStyle="1" w:styleId="695">
    <w:name w:val="表格内"/>
    <w:basedOn w:val="1"/>
    <w:autoRedefine/>
    <w:qFormat/>
    <w:uiPriority w:val="0"/>
    <w:pPr>
      <w:adjustRightInd w:val="0"/>
      <w:spacing w:line="240" w:lineRule="atLeast"/>
      <w:jc w:val="center"/>
      <w:textAlignment w:val="baseline"/>
    </w:pPr>
    <w:rPr>
      <w:rFonts w:ascii="宋体"/>
      <w:kern w:val="0"/>
      <w:szCs w:val="20"/>
    </w:rPr>
  </w:style>
  <w:style w:type="paragraph" w:customStyle="1" w:styleId="696">
    <w:name w:val="表格中文字"/>
    <w:basedOn w:val="1"/>
    <w:autoRedefine/>
    <w:qFormat/>
    <w:uiPriority w:val="0"/>
    <w:pPr>
      <w:adjustRightInd w:val="0"/>
      <w:snapToGrid w:val="0"/>
      <w:jc w:val="center"/>
    </w:pPr>
    <w:rPr>
      <w:kern w:val="18"/>
    </w:rPr>
  </w:style>
  <w:style w:type="paragraph" w:customStyle="1" w:styleId="697">
    <w:name w:val="报告表正文"/>
    <w:basedOn w:val="239"/>
    <w:autoRedefine/>
    <w:qFormat/>
    <w:uiPriority w:val="0"/>
    <w:pPr>
      <w:ind w:firstLine="200" w:firstLineChars="200"/>
      <w:jc w:val="left"/>
    </w:pPr>
    <w:rPr>
      <w:rFonts w:ascii="Times New Roman" w:hAnsi="Times New Roman"/>
      <w:szCs w:val="24"/>
    </w:rPr>
  </w:style>
  <w:style w:type="paragraph" w:customStyle="1" w:styleId="698">
    <w:name w:val="表格普通"/>
    <w:basedOn w:val="1"/>
    <w:autoRedefine/>
    <w:qFormat/>
    <w:uiPriority w:val="0"/>
    <w:pPr>
      <w:jc w:val="center"/>
    </w:pPr>
    <w:rPr>
      <w:rFonts w:eastAsia="仿宋_GB2312"/>
    </w:rPr>
  </w:style>
  <w:style w:type="paragraph" w:customStyle="1" w:styleId="699">
    <w:name w:val="图表 标题"/>
    <w:autoRedefine/>
    <w:qFormat/>
    <w:uiPriority w:val="0"/>
    <w:pPr>
      <w:widowControl w:val="0"/>
      <w:spacing w:beforeLines="20" w:afterLines="20"/>
      <w:jc w:val="center"/>
    </w:pPr>
    <w:rPr>
      <w:rFonts w:ascii="Times New Roman" w:hAnsi="Times New Roman" w:eastAsia="仿宋_GB2312" w:cs="Times New Roman"/>
      <w:b/>
      <w:kern w:val="2"/>
      <w:sz w:val="24"/>
      <w:szCs w:val="24"/>
      <w:lang w:val="en-US" w:eastAsia="zh-CN" w:bidi="ar-SA"/>
    </w:rPr>
  </w:style>
  <w:style w:type="paragraph" w:customStyle="1" w:styleId="700">
    <w:name w:val="表格 首行文字"/>
    <w:autoRedefine/>
    <w:qFormat/>
    <w:uiPriority w:val="0"/>
    <w:pPr>
      <w:adjustRightInd w:val="0"/>
      <w:snapToGrid w:val="0"/>
      <w:jc w:val="center"/>
    </w:pPr>
    <w:rPr>
      <w:rFonts w:ascii="Times New Roman" w:hAnsi="Times New Roman" w:eastAsia="仿宋_GB2312" w:cs="Times New Roman"/>
      <w:b/>
      <w:kern w:val="2"/>
      <w:sz w:val="21"/>
      <w:szCs w:val="22"/>
      <w:lang w:val="en-US" w:eastAsia="zh-CN" w:bidi="ar-SA"/>
    </w:rPr>
  </w:style>
  <w:style w:type="paragraph" w:customStyle="1" w:styleId="701">
    <w:name w:val="0000"/>
    <w:basedOn w:val="1"/>
    <w:autoRedefine/>
    <w:qFormat/>
    <w:uiPriority w:val="0"/>
    <w:pPr>
      <w:adjustRightInd w:val="0"/>
      <w:snapToGrid w:val="0"/>
    </w:pPr>
    <w:rPr>
      <w:rFonts w:hint="eastAsia"/>
      <w:sz w:val="24"/>
      <w:lang w:val="zh-TW"/>
    </w:rPr>
  </w:style>
  <w:style w:type="paragraph" w:customStyle="1" w:styleId="702">
    <w:name w:val="环正文"/>
    <w:basedOn w:val="1"/>
    <w:autoRedefine/>
    <w:qFormat/>
    <w:uiPriority w:val="0"/>
    <w:pPr>
      <w:widowControl/>
      <w:tabs>
        <w:tab w:val="left" w:pos="5094"/>
      </w:tabs>
      <w:adjustRightInd w:val="0"/>
      <w:snapToGrid w:val="0"/>
      <w:spacing w:line="500" w:lineRule="exact"/>
      <w:ind w:firstLine="562"/>
      <w:textAlignment w:val="baseline"/>
    </w:pPr>
    <w:rPr>
      <w:rFonts w:eastAsia="仿宋_GB2312"/>
      <w:b/>
      <w:kern w:val="24"/>
      <w:sz w:val="28"/>
      <w:szCs w:val="28"/>
    </w:rPr>
  </w:style>
  <w:style w:type="paragraph" w:customStyle="1" w:styleId="703">
    <w:name w:val="第一、五章 表格正文"/>
    <w:basedOn w:val="20"/>
    <w:autoRedefine/>
    <w:qFormat/>
    <w:uiPriority w:val="0"/>
    <w:pPr>
      <w:jc w:val="center"/>
    </w:pPr>
    <w:rPr>
      <w:rFonts w:eastAsia="仿宋_GB2312"/>
    </w:rPr>
  </w:style>
  <w:style w:type="paragraph" w:customStyle="1" w:styleId="704">
    <w:name w:val="图表"/>
    <w:basedOn w:val="1"/>
    <w:autoRedefine/>
    <w:qFormat/>
    <w:uiPriority w:val="0"/>
    <w:pPr>
      <w:adjustRightInd w:val="0"/>
      <w:snapToGrid w:val="0"/>
      <w:jc w:val="center"/>
    </w:pPr>
    <w:rPr>
      <w:color w:val="000000"/>
      <w:szCs w:val="22"/>
      <w:lang w:val="zh-CN"/>
    </w:rPr>
  </w:style>
  <w:style w:type="paragraph" w:customStyle="1" w:styleId="705">
    <w:name w:val="正本文字"/>
    <w:basedOn w:val="1"/>
    <w:autoRedefine/>
    <w:qFormat/>
    <w:uiPriority w:val="0"/>
    <w:pPr>
      <w:adjustRightInd w:val="0"/>
      <w:snapToGrid w:val="0"/>
      <w:spacing w:line="360" w:lineRule="auto"/>
      <w:ind w:firstLine="200" w:firstLineChars="200"/>
      <w:jc w:val="left"/>
    </w:pPr>
    <w:rPr>
      <w:kern w:val="18"/>
      <w:sz w:val="24"/>
    </w:rPr>
  </w:style>
  <w:style w:type="paragraph" w:customStyle="1" w:styleId="706">
    <w:name w:val="正文加粗"/>
    <w:basedOn w:val="697"/>
    <w:autoRedefine/>
    <w:qFormat/>
    <w:uiPriority w:val="0"/>
    <w:pPr>
      <w:ind w:firstLine="482"/>
    </w:pPr>
    <w:rPr>
      <w:b/>
    </w:rPr>
  </w:style>
  <w:style w:type="paragraph" w:customStyle="1" w:styleId="707">
    <w:name w:val="Char2 Char Char Char1"/>
    <w:basedOn w:val="1"/>
    <w:autoRedefine/>
    <w:qFormat/>
    <w:uiPriority w:val="0"/>
    <w:rPr>
      <w:rFonts w:ascii="宋体"/>
      <w:kern w:val="0"/>
      <w:sz w:val="24"/>
      <w:szCs w:val="20"/>
    </w:rPr>
  </w:style>
  <w:style w:type="paragraph" w:customStyle="1" w:styleId="708">
    <w:name w:val="Char Char24 Char Char Char Char Char Char Char Char Char Char Char Char3"/>
    <w:basedOn w:val="1"/>
    <w:autoRedefine/>
    <w:qFormat/>
    <w:uiPriority w:val="0"/>
    <w:pPr>
      <w:spacing w:line="360" w:lineRule="auto"/>
      <w:ind w:firstLine="200" w:firstLineChars="200"/>
    </w:pPr>
    <w:rPr>
      <w:sz w:val="24"/>
    </w:rPr>
  </w:style>
  <w:style w:type="paragraph" w:customStyle="1" w:styleId="709">
    <w:name w:val="111正文"/>
    <w:basedOn w:val="1"/>
    <w:autoRedefine/>
    <w:qFormat/>
    <w:uiPriority w:val="0"/>
    <w:pPr>
      <w:tabs>
        <w:tab w:val="left" w:pos="600"/>
      </w:tabs>
      <w:spacing w:line="360" w:lineRule="auto"/>
      <w:ind w:firstLine="200" w:firstLineChars="200"/>
    </w:pPr>
    <w:rPr>
      <w:kern w:val="0"/>
      <w:sz w:val="24"/>
      <w:szCs w:val="22"/>
    </w:rPr>
  </w:style>
  <w:style w:type="paragraph" w:customStyle="1" w:styleId="710">
    <w:name w:val="1正文"/>
    <w:basedOn w:val="1"/>
    <w:qFormat/>
    <w:uiPriority w:val="0"/>
    <w:pPr>
      <w:spacing w:line="500" w:lineRule="exact"/>
      <w:ind w:left="0" w:leftChars="0" w:right="0" w:rightChars="0"/>
    </w:p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1.bin"/><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1" Type="http://schemas.openxmlformats.org/officeDocument/2006/relationships/fontTable" Target="fontTable.xml"/><Relationship Id="rId40" Type="http://schemas.openxmlformats.org/officeDocument/2006/relationships/numbering" Target="numbering.xml"/><Relationship Id="rId4" Type="http://schemas.openxmlformats.org/officeDocument/2006/relationships/footer" Target="footer2.xml"/><Relationship Id="rId39" Type="http://schemas.openxmlformats.org/officeDocument/2006/relationships/customXml" Target="../customXml/item1.xml"/><Relationship Id="rId38" Type="http://schemas.openxmlformats.org/officeDocument/2006/relationships/image" Target="media/image21.png"/><Relationship Id="rId37" Type="http://schemas.openxmlformats.org/officeDocument/2006/relationships/image" Target="media/image20.wmf"/><Relationship Id="rId36" Type="http://schemas.openxmlformats.org/officeDocument/2006/relationships/oleObject" Target="embeddings/oleObject10.bin"/><Relationship Id="rId35" Type="http://schemas.openxmlformats.org/officeDocument/2006/relationships/image" Target="media/image19.wmf"/><Relationship Id="rId34" Type="http://schemas.openxmlformats.org/officeDocument/2006/relationships/oleObject" Target="embeddings/oleObject9.bin"/><Relationship Id="rId33" Type="http://schemas.openxmlformats.org/officeDocument/2006/relationships/image" Target="media/image18.png"/><Relationship Id="rId32" Type="http://schemas.openxmlformats.org/officeDocument/2006/relationships/image" Target="media/image17.png"/><Relationship Id="rId31" Type="http://schemas.openxmlformats.org/officeDocument/2006/relationships/image" Target="media/image16.png"/><Relationship Id="rId30" Type="http://schemas.openxmlformats.org/officeDocument/2006/relationships/image" Target="media/image15.png"/><Relationship Id="rId3" Type="http://schemas.openxmlformats.org/officeDocument/2006/relationships/footer" Target="footer1.xml"/><Relationship Id="rId29" Type="http://schemas.openxmlformats.org/officeDocument/2006/relationships/image" Target="media/image14.png"/><Relationship Id="rId28" Type="http://schemas.openxmlformats.org/officeDocument/2006/relationships/image" Target="media/image13.png"/><Relationship Id="rId27" Type="http://schemas.openxmlformats.org/officeDocument/2006/relationships/image" Target="media/image12.png"/><Relationship Id="rId26" Type="http://schemas.openxmlformats.org/officeDocument/2006/relationships/image" Target="media/image11.emf"/><Relationship Id="rId25" Type="http://schemas.openxmlformats.org/officeDocument/2006/relationships/oleObject" Target="embeddings/oleObject8.bin"/><Relationship Id="rId24" Type="http://schemas.openxmlformats.org/officeDocument/2006/relationships/image" Target="media/image10.wmf"/><Relationship Id="rId23" Type="http://schemas.openxmlformats.org/officeDocument/2006/relationships/oleObject" Target="embeddings/oleObject7.bin"/><Relationship Id="rId22" Type="http://schemas.openxmlformats.org/officeDocument/2006/relationships/image" Target="media/image9.emf"/><Relationship Id="rId21" Type="http://schemas.openxmlformats.org/officeDocument/2006/relationships/oleObject" Target="embeddings/oleObject6.bin"/><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emf"/><Relationship Id="rId17" Type="http://schemas.openxmlformats.org/officeDocument/2006/relationships/oleObject" Target="embeddings/oleObject5.bin"/><Relationship Id="rId16" Type="http://schemas.openxmlformats.org/officeDocument/2006/relationships/image" Target="media/image5.emf"/><Relationship Id="rId15" Type="http://schemas.openxmlformats.org/officeDocument/2006/relationships/oleObject" Target="embeddings/oleObject4.bin"/><Relationship Id="rId14" Type="http://schemas.openxmlformats.org/officeDocument/2006/relationships/image" Target="media/image4.emf"/><Relationship Id="rId13" Type="http://schemas.openxmlformats.org/officeDocument/2006/relationships/oleObject" Target="embeddings/oleObject3.bin"/><Relationship Id="rId12" Type="http://schemas.openxmlformats.org/officeDocument/2006/relationships/image" Target="media/image3.emf"/><Relationship Id="rId11" Type="http://schemas.openxmlformats.org/officeDocument/2006/relationships/oleObject" Target="embeddings/oleObject2.bin"/><Relationship Id="rId10" Type="http://schemas.openxmlformats.org/officeDocument/2006/relationships/image" Target="media/image2.emf"/><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Home</Company>
  <Pages>91</Pages>
  <Words>21831</Words>
  <Characters>23270</Characters>
  <Lines>650</Lines>
  <Paragraphs>183</Paragraphs>
  <TotalTime>8</TotalTime>
  <ScaleCrop>false</ScaleCrop>
  <LinksUpToDate>false</LinksUpToDate>
  <CharactersWithSpaces>23335</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2022-01-07T05:11:00Z</dcterms:created>
  <dc:creator>China</dc:creator>
  <cp:lastModifiedBy>球球</cp:lastModifiedBy>
  <cp:lastPrinted>2022-08-02T03:49:00Z</cp:lastPrinted>
  <dcterms:modified xsi:type="dcterms:W3CDTF">2025-09-29T06:18:58Z</dcterms:modified>
  <dc:title>附件2</dc:title>
  <cp:revision>115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D7F06F5EB3094F79A1EA379844811BD8_13</vt:lpwstr>
  </property>
  <property fmtid="{D5CDD505-2E9C-101B-9397-08002B2CF9AE}" pid="4" name="KSOTemplateDocerSaveRecord">
    <vt:lpwstr>eyJoZGlkIjoiYWZhMzA0MTE2MGQ3ODcwOTgyMWY3NzY0ZDhkYzQxODciLCJ1c2VySWQiOiIzODk2NzQyOTcifQ==</vt:lpwstr>
  </property>
</Properties>
</file>